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30" w:rsidRDefault="00B11430" w:rsidP="00B11430">
      <w:pPr>
        <w:pStyle w:val="Title"/>
      </w:pPr>
      <w:r w:rsidRPr="00536831">
        <w:t>Small-scale LNG in East Med: unlocking the permitting puzzle through robust safety assessment methodologies and expertise</w:t>
      </w:r>
    </w:p>
    <w:p w:rsidR="00B11430" w:rsidRPr="00536831" w:rsidRDefault="00377A6B" w:rsidP="00B11430">
      <w:pPr>
        <w:pStyle w:val="Author"/>
      </w:pPr>
      <w:r>
        <w:t>Anna APOSTOLOPOULOU</w:t>
      </w:r>
      <w:r w:rsidR="00B11430">
        <w:rPr>
          <w:vertAlign w:val="superscript"/>
        </w:rPr>
        <w:t>a,</w:t>
      </w:r>
      <w:r w:rsidR="00B11430">
        <w:rPr>
          <w:rStyle w:val="FootnoteReference"/>
        </w:rPr>
        <w:footnoteReference w:id="1"/>
      </w:r>
      <w:proofErr w:type="gramStart"/>
      <w:r w:rsidR="00B11430">
        <w:t>,</w:t>
      </w:r>
      <w:proofErr w:type="gramEnd"/>
      <w:r w:rsidR="00B11430">
        <w:t xml:space="preserve"> Thanos KOLIOPULOS</w:t>
      </w:r>
      <w:r w:rsidR="00B11430" w:rsidRPr="00536831">
        <w:rPr>
          <w:vertAlign w:val="superscript"/>
        </w:rPr>
        <w:t xml:space="preserve"> </w:t>
      </w:r>
      <w:r w:rsidR="00B11430">
        <w:rPr>
          <w:vertAlign w:val="superscript"/>
        </w:rPr>
        <w:t>b</w:t>
      </w:r>
      <w:r w:rsidR="00B11430">
        <w:t xml:space="preserve">, Theodoros KOURBELIS </w:t>
      </w:r>
      <w:r w:rsidR="00B11430">
        <w:rPr>
          <w:vertAlign w:val="superscript"/>
        </w:rPr>
        <w:t>a</w:t>
      </w:r>
      <w:r w:rsidR="00B11430">
        <w:t>, Anastasia KOUVERTARI</w:t>
      </w:r>
      <w:r w:rsidR="00B11430" w:rsidRPr="00536831">
        <w:rPr>
          <w:vertAlign w:val="superscript"/>
        </w:rPr>
        <w:t xml:space="preserve"> </w:t>
      </w:r>
      <w:r w:rsidR="00B11430">
        <w:rPr>
          <w:vertAlign w:val="superscript"/>
        </w:rPr>
        <w:t>a</w:t>
      </w:r>
      <w:r w:rsidR="00B11430">
        <w:t>, Panagiota MENTZI</w:t>
      </w:r>
      <w:r w:rsidR="00B11430" w:rsidRPr="00536831">
        <w:rPr>
          <w:vertAlign w:val="superscript"/>
        </w:rPr>
        <w:t xml:space="preserve"> </w:t>
      </w:r>
      <w:r w:rsidR="00B11430">
        <w:rPr>
          <w:vertAlign w:val="superscript"/>
        </w:rPr>
        <w:t>a</w:t>
      </w:r>
      <w:r w:rsidR="00B11430">
        <w:t>, Panayiotis MITROU</w:t>
      </w:r>
      <w:r w:rsidR="00B11430" w:rsidRPr="00536831">
        <w:rPr>
          <w:vertAlign w:val="superscript"/>
        </w:rPr>
        <w:t xml:space="preserve"> </w:t>
      </w:r>
      <w:r w:rsidR="00B11430">
        <w:rPr>
          <w:vertAlign w:val="superscript"/>
        </w:rPr>
        <w:t>a</w:t>
      </w:r>
    </w:p>
    <w:p w:rsidR="00B11430" w:rsidRDefault="00B11430" w:rsidP="00B11430">
      <w:pPr>
        <w:pStyle w:val="Affiliation"/>
      </w:pPr>
      <w:proofErr w:type="gramStart"/>
      <w:r>
        <w:rPr>
          <w:i w:val="0"/>
          <w:vertAlign w:val="superscript"/>
        </w:rPr>
        <w:t>a</w:t>
      </w:r>
      <w:proofErr w:type="gramEnd"/>
      <w:r>
        <w:rPr>
          <w:sz w:val="8"/>
          <w:szCs w:val="8"/>
        </w:rPr>
        <w:t xml:space="preserve"> </w:t>
      </w:r>
      <w:r>
        <w:t>Lloyd’s Register, Piraeus, Greece</w:t>
      </w:r>
    </w:p>
    <w:p w:rsidR="00B11430" w:rsidRDefault="00B11430" w:rsidP="00B11430">
      <w:pPr>
        <w:pStyle w:val="Affiliation"/>
      </w:pPr>
      <w:proofErr w:type="gramStart"/>
      <w:r>
        <w:rPr>
          <w:i w:val="0"/>
          <w:vertAlign w:val="superscript"/>
        </w:rPr>
        <w:t>b</w:t>
      </w:r>
      <w:proofErr w:type="gramEnd"/>
      <w:r>
        <w:rPr>
          <w:sz w:val="8"/>
          <w:szCs w:val="8"/>
        </w:rPr>
        <w:t xml:space="preserve"> </w:t>
      </w:r>
      <w:r>
        <w:t>Lloyd’s Register, EMEA</w:t>
      </w:r>
    </w:p>
    <w:p w:rsidR="00B11430" w:rsidRDefault="00B11430" w:rsidP="00B11430">
      <w:pPr>
        <w:pStyle w:val="Abstract"/>
      </w:pPr>
      <w:r>
        <w:rPr>
          <w:b/>
        </w:rPr>
        <w:t>Abstract.</w:t>
      </w:r>
      <w:r>
        <w:t xml:space="preserve"> </w:t>
      </w:r>
      <w:r w:rsidRPr="00536831">
        <w:t xml:space="preserve">One of the key challenges to switch to LNG as fuel era is to create “a safe passage” for LNG bunkering, by designing safe, reliable and operable LNG port facilities and operations.  Eastern Mediterranean region brings step changes towards small-scale use of LNG fuel for marine transportation through the extensive groundwork developed within European co-funded Poseidon Med II project. Lloyd’s Register, as one of the leading project partners, gauges the risks, by applying efficient tools and advanced methodologies that can accurately model risks and assess potential consequences for LNG bunkering operations in each participating port. This </w:t>
      </w:r>
      <w:r>
        <w:t>paper</w:t>
      </w:r>
      <w:r w:rsidRPr="00536831">
        <w:t xml:space="preserve"> features experience gathered from the strategic mapping and approach taken and implemented for all project ports, focusing on the Port of Patras in Western Greece, a port with the plan to combine LNG infrastructure and LNG bunkering operations. There, LR and project experts have undertaken onsite inspections suggesting alternative solutions for infrastructure and operations; have gained experience from the design from scratch of the Shore-to-ship LNG bunkering infrastructure; have set safety and exclusion zones as layers of </w:t>
      </w:r>
      <w:r w:rsidR="00CE2397" w:rsidRPr="00536831">
        <w:t>defense</w:t>
      </w:r>
      <w:r w:rsidRPr="00536831">
        <w:t xml:space="preserve"> in potential hazards; have safely navigated vessels to/from port installation running real-time simulation scenarios under various environmental conditions; have identified potential hazards and mitigation strategies addressing critical scenarios (HAZID workshops); have developed preliminary hazard &amp; operability (HAZOP) and Quantitative Risk Assessment (QRA) analysis, to evaluate issues and risks to personnel or equipment, and have worked together with the Ministries to create the relevant national legislation for the new supply chain requirements.</w:t>
      </w:r>
    </w:p>
    <w:p w:rsidR="00B11430" w:rsidRDefault="00B11430" w:rsidP="00B11430">
      <w:pPr>
        <w:pStyle w:val="Keywords"/>
      </w:pPr>
      <w:proofErr w:type="gramStart"/>
      <w:r>
        <w:rPr>
          <w:b/>
        </w:rPr>
        <w:t>Keywords.</w:t>
      </w:r>
      <w:proofErr w:type="gramEnd"/>
      <w:r>
        <w:t xml:space="preserve"> Small-scale LNG port facilities, permits, risk assessment, Eastern Mediterranean, LNG bunkering</w:t>
      </w:r>
    </w:p>
    <w:p w:rsidR="00B05D6E" w:rsidRDefault="00B05D6E" w:rsidP="00F07FC3">
      <w:pPr>
        <w:pStyle w:val="Heading1"/>
      </w:pPr>
      <w:r>
        <w:t>Introduction</w:t>
      </w:r>
    </w:p>
    <w:p w:rsidR="00B23D88" w:rsidRDefault="00B23D88" w:rsidP="00720D07">
      <w:pPr>
        <w:pStyle w:val="NoindentNormal"/>
      </w:pPr>
      <w:r>
        <w:t xml:space="preserve">In the current decade, the general increased focus on global and local environmental matters has led to a plethora of additional regulations in both international and national level. Some of them are ready and will be entering into force in the near future, whereas other are still under development and will have an impact in the intermediate </w:t>
      </w:r>
      <w:r>
        <w:lastRenderedPageBreak/>
        <w:t>term, with the scope to reduce shipping emissions.</w:t>
      </w:r>
      <w:r w:rsidR="003361CF">
        <w:t xml:space="preserve"> </w:t>
      </w:r>
      <w:r>
        <w:t>Regulations can be followed by mitigating emissions through either changing fuel type/considering alternative fuel options or by exhaust gas cleaning. One of the results this has led to is the development of sophisticated dual fuel</w:t>
      </w:r>
      <w:r w:rsidR="00AD087C">
        <w:t xml:space="preserve"> engines and LNG fuelled ships. The European </w:t>
      </w:r>
      <w:r w:rsidR="004D4C0D">
        <w:t xml:space="preserve">Commission </w:t>
      </w:r>
      <w:r w:rsidR="00AD087C">
        <w:t>supports the adoption of alternative fuels solutions, one of them being LNG, as well as their supply chain and availability strengthening</w:t>
      </w:r>
      <w:r w:rsidR="00882A29">
        <w:t xml:space="preserve"> [1]</w:t>
      </w:r>
      <w:r w:rsidR="00700E3D">
        <w:t xml:space="preserve"> </w:t>
      </w:r>
      <w:r w:rsidR="00882A29">
        <w:t>[2]</w:t>
      </w:r>
      <w:r w:rsidR="00AD087C">
        <w:t>.</w:t>
      </w:r>
    </w:p>
    <w:p w:rsidR="00B23D88" w:rsidRDefault="00B23D88" w:rsidP="00B23D88">
      <w:r>
        <w:t xml:space="preserve">The aim of this paper is to </w:t>
      </w:r>
      <w:r w:rsidR="00AD087C">
        <w:t xml:space="preserve">present core elements of the EU </w:t>
      </w:r>
      <w:r w:rsidR="00AD087C" w:rsidRPr="00AD087C">
        <w:t xml:space="preserve">Eastern Mediterranean region </w:t>
      </w:r>
      <w:r w:rsidR="00AD087C">
        <w:t>plan and roadmap</w:t>
      </w:r>
      <w:r w:rsidR="00AD087C" w:rsidRPr="00AD087C">
        <w:t xml:space="preserve"> towards small-scale use of LNG fuel for marine transportation</w:t>
      </w:r>
      <w:r w:rsidR="00650C06">
        <w:t>,</w:t>
      </w:r>
      <w:r w:rsidR="00AD087C" w:rsidRPr="00AD087C">
        <w:t xml:space="preserve"> through the extensive groundwork developed within European co-funded Poseidon Med II project. </w:t>
      </w:r>
    </w:p>
    <w:p w:rsidR="00B05D6E" w:rsidRDefault="00B11430">
      <w:pPr>
        <w:pStyle w:val="Heading1"/>
        <w:rPr>
          <w:szCs w:val="20"/>
          <w:lang w:eastAsia="en-US"/>
        </w:rPr>
      </w:pPr>
      <w:r>
        <w:rPr>
          <w:lang w:eastAsia="en-US"/>
        </w:rPr>
        <w:t>Small-scale LNG supply chain in the Eastern Mediterranean</w:t>
      </w:r>
    </w:p>
    <w:p w:rsidR="00B05D6E" w:rsidRPr="005F6BDB" w:rsidRDefault="009461DA" w:rsidP="00454CC7">
      <w:pPr>
        <w:pStyle w:val="Heading2"/>
      </w:pPr>
      <w:r>
        <w:t xml:space="preserve">The framework: </w:t>
      </w:r>
      <w:r w:rsidR="00B11430" w:rsidRPr="005F6BDB">
        <w:t>Poseidon Med II</w:t>
      </w:r>
    </w:p>
    <w:p w:rsidR="00944C0F" w:rsidRPr="00944C0F" w:rsidRDefault="009461DA" w:rsidP="00720D07">
      <w:pPr>
        <w:pStyle w:val="NoindentNormal"/>
      </w:pPr>
      <w:r>
        <w:rPr>
          <w:lang w:eastAsia="en-US"/>
        </w:rPr>
        <w:t xml:space="preserve">Poseidon Med II, the </w:t>
      </w:r>
      <w:r w:rsidR="00944C0F">
        <w:rPr>
          <w:lang w:eastAsia="en-US"/>
        </w:rPr>
        <w:t xml:space="preserve">European co-funded project is </w:t>
      </w:r>
      <w:r w:rsidR="00B11430">
        <w:rPr>
          <w:lang w:eastAsia="en-US"/>
        </w:rPr>
        <w:t xml:space="preserve">a practical roadmap which aims to </w:t>
      </w:r>
      <w:r w:rsidR="00944C0F">
        <w:rPr>
          <w:lang w:eastAsia="en-US"/>
        </w:rPr>
        <w:t>transform Eastern Mediter</w:t>
      </w:r>
      <w:r w:rsidR="00B26D7B">
        <w:rPr>
          <w:lang w:eastAsia="en-US"/>
        </w:rPr>
        <w:t>ranean ports into small LNG hub</w:t>
      </w:r>
      <w:r w:rsidR="00ED0062">
        <w:rPr>
          <w:lang w:eastAsia="en-US"/>
        </w:rPr>
        <w:t>s</w:t>
      </w:r>
      <w:r w:rsidR="00944C0F">
        <w:rPr>
          <w:lang w:eastAsia="en-US"/>
        </w:rPr>
        <w:t xml:space="preserve">. </w:t>
      </w:r>
      <w:r w:rsidR="00B11430">
        <w:rPr>
          <w:lang w:eastAsia="en-US"/>
        </w:rPr>
        <w:t xml:space="preserve">The </w:t>
      </w:r>
      <w:r w:rsidR="00B11430">
        <w:t>project</w:t>
      </w:r>
      <w:r w:rsidR="00B11430">
        <w:rPr>
          <w:lang w:eastAsia="en-US"/>
        </w:rPr>
        <w:t>, involves three countries Greece, Italy and Cyprus</w:t>
      </w:r>
      <w:r w:rsidR="00B26D7B">
        <w:rPr>
          <w:lang w:eastAsia="en-US"/>
        </w:rPr>
        <w:t>, 26 partners</w:t>
      </w:r>
      <w:r w:rsidR="00B11430">
        <w:rPr>
          <w:lang w:eastAsia="en-US"/>
        </w:rPr>
        <w:t>, six European ports (Piraeus, Patras, Limassol, Venice, Heraklion and Igoumenitsa) as well as the Revithoussa LNG terminal</w:t>
      </w:r>
      <w:r w:rsidR="00944C0F">
        <w:rPr>
          <w:lang w:eastAsia="en-US"/>
        </w:rPr>
        <w:t xml:space="preserve">. </w:t>
      </w:r>
      <w:r w:rsidR="006A48E8" w:rsidRPr="006A48E8">
        <w:rPr>
          <w:lang w:eastAsia="en-US"/>
        </w:rPr>
        <w:t>Eastern Mediterranean region has already identified large potential in small-scale LNG facilities. The wide number of core and satellite ports in the region and the existence of the LNG Import Terminal at Revithoussa Island in Greece, create a fertile ground for developing a secure and efficient small-scale supply chain in the region, covering the needs for Short-Sea Shipping.</w:t>
      </w:r>
    </w:p>
    <w:p w:rsidR="00454CC7" w:rsidRDefault="00944C0F" w:rsidP="005F6BDB">
      <w:pPr>
        <w:pStyle w:val="Heading2"/>
      </w:pPr>
      <w:r>
        <w:t>The distribution model &amp; the case of Patras Port</w:t>
      </w:r>
    </w:p>
    <w:p w:rsidR="006E29F3" w:rsidRDefault="00972568" w:rsidP="00FE76E0">
      <w:pPr>
        <w:ind w:firstLine="0"/>
        <w:rPr>
          <w:lang w:eastAsia="en-US"/>
        </w:rPr>
      </w:pPr>
      <w:r>
        <w:rPr>
          <w:lang w:eastAsia="en-US"/>
        </w:rPr>
        <w:t>Revithoussa LNG Import Terminal with an existing capacity of 130,000 m</w:t>
      </w:r>
      <w:r w:rsidRPr="005F6BDB">
        <w:rPr>
          <w:vertAlign w:val="superscript"/>
          <w:lang w:eastAsia="en-US"/>
        </w:rPr>
        <w:t>3</w:t>
      </w:r>
      <w:r>
        <w:rPr>
          <w:lang w:eastAsia="en-US"/>
        </w:rPr>
        <w:t xml:space="preserve"> and an </w:t>
      </w:r>
      <w:r w:rsidRPr="00D3171A">
        <w:rPr>
          <w:lang w:eastAsia="en-US"/>
        </w:rPr>
        <w:t xml:space="preserve">under </w:t>
      </w:r>
      <w:r w:rsidR="005F6BDB" w:rsidRPr="00D3171A">
        <w:rPr>
          <w:lang w:eastAsia="en-US"/>
        </w:rPr>
        <w:t>construction</w:t>
      </w:r>
      <w:r w:rsidRPr="00D3171A">
        <w:rPr>
          <w:lang w:eastAsia="en-US"/>
        </w:rPr>
        <w:t xml:space="preserve"> </w:t>
      </w:r>
      <w:r w:rsidR="004D0904" w:rsidRPr="00D3171A">
        <w:rPr>
          <w:lang w:eastAsia="en-US"/>
        </w:rPr>
        <w:t>extension</w:t>
      </w:r>
      <w:r w:rsidRPr="00D3171A">
        <w:rPr>
          <w:lang w:eastAsia="en-US"/>
        </w:rPr>
        <w:t xml:space="preserve"> of </w:t>
      </w:r>
      <w:r>
        <w:rPr>
          <w:lang w:eastAsia="en-US"/>
        </w:rPr>
        <w:t>90,000 m</w:t>
      </w:r>
      <w:r w:rsidRPr="005F6BDB">
        <w:rPr>
          <w:vertAlign w:val="superscript"/>
          <w:lang w:eastAsia="en-US"/>
        </w:rPr>
        <w:t>3</w:t>
      </w:r>
      <w:r>
        <w:rPr>
          <w:lang w:eastAsia="en-US"/>
        </w:rPr>
        <w:t xml:space="preserve"> plays a leading role</w:t>
      </w:r>
      <w:r w:rsidR="006E29F3">
        <w:rPr>
          <w:lang w:eastAsia="en-US"/>
        </w:rPr>
        <w:t xml:space="preserve"> as</w:t>
      </w:r>
      <w:r>
        <w:rPr>
          <w:lang w:eastAsia="en-US"/>
        </w:rPr>
        <w:t xml:space="preserve"> </w:t>
      </w:r>
      <w:r w:rsidR="006E29F3">
        <w:rPr>
          <w:lang w:eastAsia="en-US"/>
        </w:rPr>
        <w:t xml:space="preserve">LNG distribution hub, </w:t>
      </w:r>
      <w:r>
        <w:rPr>
          <w:lang w:eastAsia="en-US"/>
        </w:rPr>
        <w:t>as it is located in the vicinity of Piraeus Port –the largest port of the region- and in the centre of the LNG supply chain in the region</w:t>
      </w:r>
      <w:r w:rsidR="006E29F3">
        <w:rPr>
          <w:lang w:eastAsia="en-US"/>
        </w:rPr>
        <w:t xml:space="preserve"> (see Figure 1)</w:t>
      </w:r>
      <w:r>
        <w:rPr>
          <w:lang w:eastAsia="en-US"/>
        </w:rPr>
        <w:t>.</w:t>
      </w:r>
    </w:p>
    <w:p w:rsidR="00255D1D" w:rsidRDefault="00255D1D" w:rsidP="00AE2EF1">
      <w:pPr>
        <w:ind w:firstLine="0"/>
        <w:jc w:val="center"/>
        <w:rPr>
          <w:lang w:eastAsia="en-US"/>
        </w:rPr>
      </w:pPr>
      <w:r>
        <w:rPr>
          <w:noProof/>
          <w:lang w:val="en-GB" w:eastAsia="en-GB"/>
        </w:rPr>
        <w:drawing>
          <wp:inline distT="0" distB="0" distL="0" distR="0" wp14:anchorId="27AF7BF7" wp14:editId="12337725">
            <wp:extent cx="2493818" cy="964359"/>
            <wp:effectExtent l="0" t="0" r="1905" b="7620"/>
            <wp:docPr id="5" name="Picture 5" descr="C:\Users\PIRNMY\AppData\Local\Microsoft\Windows\Temporary Internet Files\Content.Word\PMII_map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RNMY\AppData\Local\Microsoft\Windows\Temporary Internet Files\Content.Word\PMII_map_Page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4885" cy="984107"/>
                    </a:xfrm>
                    <a:prstGeom prst="rect">
                      <a:avLst/>
                    </a:prstGeom>
                    <a:noFill/>
                    <a:ln>
                      <a:noFill/>
                    </a:ln>
                  </pic:spPr>
                </pic:pic>
              </a:graphicData>
            </a:graphic>
          </wp:inline>
        </w:drawing>
      </w:r>
    </w:p>
    <w:p w:rsidR="00972568" w:rsidRPr="00AE2EF1" w:rsidRDefault="00255D1D" w:rsidP="00AE2EF1">
      <w:pPr>
        <w:pStyle w:val="CaptionShort"/>
        <w:rPr>
          <w:b/>
        </w:rPr>
      </w:pPr>
      <w:proofErr w:type="gramStart"/>
      <w:r>
        <w:rPr>
          <w:b/>
        </w:rPr>
        <w:t>Figure 1.</w:t>
      </w:r>
      <w:proofErr w:type="gramEnd"/>
      <w:r w:rsidRPr="00AE2EF1">
        <w:rPr>
          <w:b/>
        </w:rPr>
        <w:t xml:space="preserve"> </w:t>
      </w:r>
      <w:r w:rsidR="00901CEF" w:rsidRPr="00051AD1">
        <w:t>Poseidon Med II map</w:t>
      </w:r>
    </w:p>
    <w:p w:rsidR="00454CC7" w:rsidRDefault="006E29F3" w:rsidP="00720D07">
      <w:pPr>
        <w:rPr>
          <w:lang w:eastAsia="en-US"/>
        </w:rPr>
      </w:pPr>
      <w:r>
        <w:rPr>
          <w:lang w:eastAsia="en-US"/>
        </w:rPr>
        <w:t xml:space="preserve">In order to develop a robust and sustainable LNG bunkering system, Poseidon Med </w:t>
      </w:r>
      <w:r w:rsidR="00ED0062">
        <w:rPr>
          <w:lang w:eastAsia="en-US"/>
        </w:rPr>
        <w:t xml:space="preserve">II </w:t>
      </w:r>
      <w:r w:rsidR="00901CEF">
        <w:rPr>
          <w:lang w:eastAsia="en-US"/>
        </w:rPr>
        <w:t>designs the core LNG bunkering fleet, including a n</w:t>
      </w:r>
      <w:r w:rsidR="00B26D7B">
        <w:rPr>
          <w:lang w:eastAsia="en-US"/>
        </w:rPr>
        <w:t xml:space="preserve">ewly-built LNG feeder with 7k </w:t>
      </w:r>
      <w:r w:rsidR="00901CEF">
        <w:rPr>
          <w:lang w:eastAsia="en-US"/>
        </w:rPr>
        <w:t>m</w:t>
      </w:r>
      <w:r w:rsidR="00901CEF" w:rsidRPr="005F6BDB">
        <w:rPr>
          <w:vertAlign w:val="superscript"/>
          <w:lang w:eastAsia="en-US"/>
        </w:rPr>
        <w:t>3</w:t>
      </w:r>
      <w:r w:rsidR="00901CEF">
        <w:rPr>
          <w:vertAlign w:val="superscript"/>
          <w:lang w:eastAsia="en-US"/>
        </w:rPr>
        <w:t xml:space="preserve"> </w:t>
      </w:r>
      <w:r w:rsidR="00901CEF">
        <w:rPr>
          <w:lang w:eastAsia="en-US"/>
        </w:rPr>
        <w:t xml:space="preserve">capacity to channel LNG cargos to regional ports as well as </w:t>
      </w:r>
      <w:r w:rsidR="007A470A">
        <w:rPr>
          <w:lang w:eastAsia="en-US"/>
        </w:rPr>
        <w:t xml:space="preserve">a </w:t>
      </w:r>
      <w:r w:rsidR="00B26D7B">
        <w:rPr>
          <w:lang w:eastAsia="en-US"/>
        </w:rPr>
        <w:t xml:space="preserve">smaller </w:t>
      </w:r>
      <w:r w:rsidR="007A470A">
        <w:rPr>
          <w:lang w:eastAsia="en-US"/>
        </w:rPr>
        <w:t>L</w:t>
      </w:r>
      <w:r w:rsidR="00901CEF">
        <w:rPr>
          <w:lang w:eastAsia="en-US"/>
        </w:rPr>
        <w:t>NG bu</w:t>
      </w:r>
      <w:r w:rsidR="007A470A">
        <w:rPr>
          <w:lang w:eastAsia="en-US"/>
        </w:rPr>
        <w:t>nkering barge with a capacity of</w:t>
      </w:r>
      <w:r w:rsidR="00B26D7B">
        <w:rPr>
          <w:lang w:eastAsia="en-US"/>
        </w:rPr>
        <w:t xml:space="preserve"> 1k </w:t>
      </w:r>
      <w:r w:rsidR="00901CEF">
        <w:rPr>
          <w:lang w:eastAsia="en-US"/>
        </w:rPr>
        <w:t>m</w:t>
      </w:r>
      <w:r w:rsidR="00901CEF" w:rsidRPr="005F6BDB">
        <w:rPr>
          <w:vertAlign w:val="superscript"/>
          <w:lang w:eastAsia="en-US"/>
        </w:rPr>
        <w:t>3</w:t>
      </w:r>
      <w:r w:rsidR="00901CEF">
        <w:rPr>
          <w:lang w:eastAsia="en-US"/>
        </w:rPr>
        <w:t>.</w:t>
      </w:r>
      <w:r w:rsidR="00B26D7B">
        <w:rPr>
          <w:lang w:eastAsia="en-US"/>
        </w:rPr>
        <w:t xml:space="preserve"> </w:t>
      </w:r>
      <w:r w:rsidR="00901CEF">
        <w:rPr>
          <w:lang w:eastAsia="en-US"/>
        </w:rPr>
        <w:t xml:space="preserve">Additionally, the project </w:t>
      </w:r>
      <w:r w:rsidR="00B91052">
        <w:rPr>
          <w:lang w:eastAsia="en-US"/>
        </w:rPr>
        <w:t xml:space="preserve">aims to instigate the demand of LNG as fuel, by developing detailed designs for retrofitting various types of vessels to LNG-powered as well as </w:t>
      </w:r>
      <w:r w:rsidR="007A470A">
        <w:rPr>
          <w:lang w:eastAsia="en-US"/>
        </w:rPr>
        <w:t>for new-</w:t>
      </w:r>
      <w:r w:rsidR="004D4C0D">
        <w:rPr>
          <w:lang w:eastAsia="en-US"/>
        </w:rPr>
        <w:t xml:space="preserve">built </w:t>
      </w:r>
      <w:r w:rsidR="007A470A">
        <w:rPr>
          <w:lang w:eastAsia="en-US"/>
        </w:rPr>
        <w:t>vessels.</w:t>
      </w:r>
      <w:r w:rsidR="00720D07">
        <w:rPr>
          <w:lang w:eastAsia="en-US"/>
        </w:rPr>
        <w:t xml:space="preserve"> </w:t>
      </w:r>
      <w:r w:rsidR="007A470A">
        <w:rPr>
          <w:lang w:eastAsia="en-US"/>
        </w:rPr>
        <w:t xml:space="preserve">Specific emphasis is </w:t>
      </w:r>
      <w:r w:rsidR="00931986">
        <w:rPr>
          <w:lang w:eastAsia="en-US"/>
        </w:rPr>
        <w:t xml:space="preserve">also </w:t>
      </w:r>
      <w:r w:rsidR="007A470A">
        <w:rPr>
          <w:lang w:eastAsia="en-US"/>
        </w:rPr>
        <w:t>given to the Port of Patras in Western Greece, as it represents a high potential growth for LNG bunkering services</w:t>
      </w:r>
      <w:r w:rsidR="00931986">
        <w:rPr>
          <w:lang w:eastAsia="en-US"/>
        </w:rPr>
        <w:t xml:space="preserve">, both </w:t>
      </w:r>
      <w:r w:rsidR="004D4C0D">
        <w:rPr>
          <w:lang w:eastAsia="en-US"/>
        </w:rPr>
        <w:t xml:space="preserve">from </w:t>
      </w:r>
      <w:r w:rsidR="00931986">
        <w:rPr>
          <w:lang w:eastAsia="en-US"/>
        </w:rPr>
        <w:t>operations, as well as infrastructure</w:t>
      </w:r>
      <w:r w:rsidR="004D4C0D">
        <w:rPr>
          <w:lang w:eastAsia="en-US"/>
        </w:rPr>
        <w:t xml:space="preserve"> aspects.</w:t>
      </w:r>
    </w:p>
    <w:p w:rsidR="00B11430" w:rsidRPr="00B11430" w:rsidRDefault="001F53FB" w:rsidP="00B11430">
      <w:pPr>
        <w:pStyle w:val="Heading2"/>
        <w:rPr>
          <w:lang w:eastAsia="en-US"/>
        </w:rPr>
      </w:pPr>
      <w:r>
        <w:rPr>
          <w:lang w:eastAsia="en-US"/>
        </w:rPr>
        <w:lastRenderedPageBreak/>
        <w:t>The LNG as fuel option</w:t>
      </w:r>
    </w:p>
    <w:p w:rsidR="00B11430" w:rsidRPr="00B11430" w:rsidRDefault="00B11430" w:rsidP="00B11430">
      <w:pPr>
        <w:pStyle w:val="NoindentNormal"/>
        <w:rPr>
          <w:lang w:eastAsia="en-US"/>
        </w:rPr>
      </w:pPr>
      <w:r w:rsidRPr="00B11430">
        <w:rPr>
          <w:lang w:eastAsia="en-US"/>
        </w:rPr>
        <w:t>Fundamental for understanding LNG is the examination of its chemical and physical properties both as a gas or vapour and as a liquid. These determine</w:t>
      </w:r>
      <w:r w:rsidR="00173B43">
        <w:rPr>
          <w:lang w:eastAsia="en-US"/>
        </w:rPr>
        <w:t xml:space="preserve"> and predict how LNG behaves </w:t>
      </w:r>
      <w:r w:rsidRPr="00B11430">
        <w:rPr>
          <w:lang w:eastAsia="en-US"/>
        </w:rPr>
        <w:t>and influence how safety risks are assessed and managed through the whole supply chain</w:t>
      </w:r>
      <w:r w:rsidR="00BB167A">
        <w:rPr>
          <w:lang w:eastAsia="en-US"/>
        </w:rPr>
        <w:t>, both for normal operations and for emergency situations</w:t>
      </w:r>
      <w:r w:rsidRPr="00B11430">
        <w:rPr>
          <w:lang w:eastAsia="en-US"/>
        </w:rPr>
        <w:t>. Misunderstanding LNG is not uncommon</w:t>
      </w:r>
      <w:r w:rsidR="00720D07">
        <w:rPr>
          <w:lang w:eastAsia="en-US"/>
        </w:rPr>
        <w:t>.</w:t>
      </w:r>
      <w:r w:rsidRPr="00B11430">
        <w:rPr>
          <w:lang w:eastAsia="en-US"/>
        </w:rPr>
        <w:t xml:space="preserve"> </w:t>
      </w:r>
      <w:r w:rsidR="003A348D">
        <w:rPr>
          <w:lang w:eastAsia="en-US"/>
        </w:rPr>
        <w:t>C</w:t>
      </w:r>
      <w:r w:rsidRPr="00B11430">
        <w:rPr>
          <w:lang w:eastAsia="en-US"/>
        </w:rPr>
        <w:t xml:space="preserve">ompanies in </w:t>
      </w:r>
      <w:r w:rsidR="00B26D7B">
        <w:rPr>
          <w:lang w:eastAsia="en-US"/>
        </w:rPr>
        <w:t>Asia</w:t>
      </w:r>
      <w:r w:rsidRPr="00B11430">
        <w:rPr>
          <w:lang w:eastAsia="en-US"/>
        </w:rPr>
        <w:t xml:space="preserve"> have gone to great lengths to share information about their facilities and to educate </w:t>
      </w:r>
      <w:r w:rsidR="00173AEF">
        <w:rPr>
          <w:lang w:eastAsia="en-US"/>
        </w:rPr>
        <w:t>locals</w:t>
      </w:r>
      <w:r w:rsidRPr="00B11430">
        <w:rPr>
          <w:lang w:eastAsia="en-US"/>
        </w:rPr>
        <w:t xml:space="preserve"> about LNG. </w:t>
      </w:r>
    </w:p>
    <w:p w:rsidR="00B11430" w:rsidRPr="00B11430" w:rsidRDefault="00B11430" w:rsidP="00B11430">
      <w:r w:rsidRPr="00B11430">
        <w:t>LNG is natural gas (predominantly methane, CH</w:t>
      </w:r>
      <w:r w:rsidRPr="005F6BDB">
        <w:rPr>
          <w:vertAlign w:val="subscript"/>
        </w:rPr>
        <w:t>4</w:t>
      </w:r>
      <w:r w:rsidRPr="00B11430">
        <w:t>, with some mixture of ethane C</w:t>
      </w:r>
      <w:r w:rsidRPr="005F6BDB">
        <w:rPr>
          <w:vertAlign w:val="subscript"/>
        </w:rPr>
        <w:t>2</w:t>
      </w:r>
      <w:r w:rsidRPr="00B11430">
        <w:t>H</w:t>
      </w:r>
      <w:r w:rsidRPr="005F6BDB">
        <w:rPr>
          <w:vertAlign w:val="subscript"/>
        </w:rPr>
        <w:t>6</w:t>
      </w:r>
      <w:r w:rsidRPr="00B11430">
        <w:t>) which has been converted to liquid form for ease of storage or transport. It is classified as hazardous substance or dangerous good. LNG takes up about 1/600 of the volume of natural gas. Depending upon its exact composition, natural gas becomes a liquid at approximately -162°C (-259°F) at atmospheric pressure, maximum transport pressure is set at around 25kPa (4 psi). LNG’s extremely low temperature makes it a cryogenic liquid. To remain a liquid, LNG must be kept in containers</w:t>
      </w:r>
      <w:r w:rsidR="00AD7645">
        <w:t>, of specific material,</w:t>
      </w:r>
      <w:r w:rsidRPr="00B11430">
        <w:t xml:space="preserve"> which function like thermos bottles</w:t>
      </w:r>
      <w:r w:rsidR="008D2443">
        <w:t xml:space="preserve"> and are of specific material</w:t>
      </w:r>
      <w:r w:rsidR="00037683">
        <w:t xml:space="preserve"> [3] [4]</w:t>
      </w:r>
      <w:r w:rsidRPr="00B11430">
        <w:t xml:space="preserve">. </w:t>
      </w:r>
    </w:p>
    <w:p w:rsidR="00B05D6E" w:rsidRDefault="00B11430" w:rsidP="008D2443">
      <w:r w:rsidRPr="00B11430">
        <w:t xml:space="preserve">LNG achieves a high reduction in volume so that the (volumetric) energy density of LNG is 60 percent greater than that of diesel fuel. This makes LNG cost efficient to transport over distances where pipelines do not exist. </w:t>
      </w:r>
      <w:r w:rsidR="00504BA7">
        <w:t>L</w:t>
      </w:r>
      <w:r w:rsidRPr="00B11430">
        <w:t xml:space="preserve">NG is odourless, colourless, non-corrosive, non-flammable, and non-toxic. </w:t>
      </w:r>
      <w:r w:rsidRPr="007E2128">
        <w:t xml:space="preserve">Key liquid and gas properties for LNG are: </w:t>
      </w:r>
      <w:r w:rsidR="007E2128">
        <w:t xml:space="preserve">Chemical Composition, Boiling Point, Density and Specific Gravity, </w:t>
      </w:r>
      <w:r w:rsidR="006A3A52">
        <w:t>Flammability,</w:t>
      </w:r>
      <w:r w:rsidR="007E2128">
        <w:t xml:space="preserve"> and Ignition and Flame Temperatures</w:t>
      </w:r>
      <w:r w:rsidR="0052729E">
        <w:t xml:space="preserve"> [</w:t>
      </w:r>
      <w:r w:rsidR="00037683">
        <w:t>5</w:t>
      </w:r>
      <w:r w:rsidR="0052729E">
        <w:t>]</w:t>
      </w:r>
      <w:r w:rsidR="007E2128">
        <w:t>.</w:t>
      </w:r>
    </w:p>
    <w:p w:rsidR="007E2128" w:rsidRDefault="007E2128" w:rsidP="007E2128">
      <w:pPr>
        <w:pStyle w:val="Heading1"/>
        <w:rPr>
          <w:lang w:eastAsia="en-US"/>
        </w:rPr>
      </w:pPr>
      <w:r>
        <w:rPr>
          <w:lang w:eastAsia="en-US"/>
        </w:rPr>
        <w:t xml:space="preserve">LNG Bunkering </w:t>
      </w:r>
      <w:r w:rsidR="00720D07">
        <w:rPr>
          <w:lang w:eastAsia="en-US"/>
        </w:rPr>
        <w:t xml:space="preserve">and </w:t>
      </w:r>
      <w:r>
        <w:rPr>
          <w:lang w:eastAsia="en-US"/>
        </w:rPr>
        <w:t>infrastructure in a port, relevant operations, navigation, safety, regulatory and monitor</w:t>
      </w:r>
      <w:r w:rsidR="008D2443">
        <w:rPr>
          <w:lang w:eastAsia="en-US"/>
        </w:rPr>
        <w:t>ing aspects</w:t>
      </w:r>
    </w:p>
    <w:p w:rsidR="007E2128" w:rsidRDefault="007E2128" w:rsidP="00305637">
      <w:pPr>
        <w:ind w:firstLine="0"/>
      </w:pPr>
      <w:r>
        <w:t>There is an unquestionable need to create the roadmap</w:t>
      </w:r>
      <w:r w:rsidR="00931986">
        <w:t>, the plan</w:t>
      </w:r>
      <w:r>
        <w:t xml:space="preserve"> and strategy of ports and EU member states towards adopting means and infrastructure</w:t>
      </w:r>
      <w:r w:rsidR="00F1668B">
        <w:t xml:space="preserve"> – for vessels and ports -</w:t>
      </w:r>
      <w:r>
        <w:t xml:space="preserve"> for alternative fuels for the marine industry</w:t>
      </w:r>
      <w:r w:rsidR="00B51D99">
        <w:t xml:space="preserve"> [</w:t>
      </w:r>
      <w:r w:rsidR="00037683">
        <w:t>6</w:t>
      </w:r>
      <w:r w:rsidR="00B51D99">
        <w:t>]</w:t>
      </w:r>
      <w:r>
        <w:t xml:space="preserve">. This goes together with certain </w:t>
      </w:r>
      <w:r w:rsidR="004E22D8">
        <w:t>EU Directives</w:t>
      </w:r>
      <w:r>
        <w:t>, this is in line with the trend, absolute need and culture for less and less emissions and care for the environment and our health</w:t>
      </w:r>
      <w:r w:rsidR="00931986">
        <w:t xml:space="preserve">. </w:t>
      </w:r>
      <w:r>
        <w:t>So, the focus is at all levels</w:t>
      </w:r>
      <w:r w:rsidR="00931986">
        <w:t>.</w:t>
      </w:r>
      <w:r w:rsidR="00305637">
        <w:t xml:space="preserve"> </w:t>
      </w:r>
      <w:r>
        <w:t>This is how EU, Poseidon Med</w:t>
      </w:r>
      <w:r w:rsidR="009147D1">
        <w:t xml:space="preserve"> </w:t>
      </w:r>
      <w:r w:rsidR="00432247">
        <w:t>II project and its partners have</w:t>
      </w:r>
      <w:r>
        <w:t xml:space="preserve"> seen this, starting with setting the plan, then implementing and then adjusting it according to every day developments at </w:t>
      </w:r>
      <w:r w:rsidR="00FE65A4">
        <w:t>all</w:t>
      </w:r>
      <w:r w:rsidR="00305637">
        <w:t xml:space="preserve"> levels.</w:t>
      </w:r>
    </w:p>
    <w:p w:rsidR="007E2128" w:rsidRDefault="007E2128" w:rsidP="007E2128">
      <w:pPr>
        <w:pStyle w:val="Heading2"/>
        <w:rPr>
          <w:lang w:eastAsia="en-US"/>
        </w:rPr>
      </w:pPr>
      <w:r>
        <w:rPr>
          <w:lang w:eastAsia="en-US"/>
        </w:rPr>
        <w:t>Risk Assessment</w:t>
      </w:r>
      <w:r w:rsidR="003A6E9C">
        <w:rPr>
          <w:lang w:eastAsia="en-US"/>
        </w:rPr>
        <w:t xml:space="preserve"> – HAZID</w:t>
      </w:r>
      <w:r w:rsidR="001A4876">
        <w:rPr>
          <w:lang w:eastAsia="en-US"/>
        </w:rPr>
        <w:t>,</w:t>
      </w:r>
      <w:r w:rsidR="00D3171A">
        <w:rPr>
          <w:lang w:eastAsia="en-US"/>
        </w:rPr>
        <w:t xml:space="preserve"> </w:t>
      </w:r>
      <w:r w:rsidR="003A6E9C">
        <w:rPr>
          <w:lang w:eastAsia="en-US"/>
        </w:rPr>
        <w:t>HAZOP</w:t>
      </w:r>
      <w:r w:rsidR="001A4876">
        <w:rPr>
          <w:lang w:eastAsia="en-US"/>
        </w:rPr>
        <w:t>&amp; QRA</w:t>
      </w:r>
      <w:r w:rsidR="003A6E9C">
        <w:rPr>
          <w:lang w:eastAsia="en-US"/>
        </w:rPr>
        <w:t xml:space="preserve"> Methodologies</w:t>
      </w:r>
    </w:p>
    <w:p w:rsidR="00FB3CAA" w:rsidRPr="00FB3CAA" w:rsidRDefault="00FB3CAA" w:rsidP="00FB3CAA">
      <w:pPr>
        <w:pStyle w:val="NoindentNormal"/>
        <w:rPr>
          <w:lang w:eastAsia="en-US"/>
        </w:rPr>
      </w:pPr>
      <w:r>
        <w:rPr>
          <w:lang w:eastAsia="en-US"/>
        </w:rPr>
        <w:t>For the port of Patras, and as part of the studies</w:t>
      </w:r>
      <w:r w:rsidR="005930F6">
        <w:rPr>
          <w:lang w:eastAsia="en-US"/>
        </w:rPr>
        <w:t xml:space="preserve"> [</w:t>
      </w:r>
      <w:r w:rsidR="00037683">
        <w:rPr>
          <w:lang w:eastAsia="en-US"/>
        </w:rPr>
        <w:t>7</w:t>
      </w:r>
      <w:r w:rsidR="005930F6">
        <w:rPr>
          <w:lang w:eastAsia="en-US"/>
        </w:rPr>
        <w:t>]</w:t>
      </w:r>
      <w:r>
        <w:rPr>
          <w:lang w:eastAsia="en-US"/>
        </w:rPr>
        <w:t xml:space="preserve"> for the whole supply chain for vessels bunkering and small scale LNG infrastructure, risk assessment methodologies </w:t>
      </w:r>
      <w:r w:rsidR="00296821">
        <w:rPr>
          <w:lang w:eastAsia="en-US"/>
        </w:rPr>
        <w:t>are being</w:t>
      </w:r>
      <w:r w:rsidR="00FA3626">
        <w:rPr>
          <w:lang w:eastAsia="en-US"/>
        </w:rPr>
        <w:t xml:space="preserve"> applied during all</w:t>
      </w:r>
      <w:r>
        <w:rPr>
          <w:lang w:eastAsia="en-US"/>
        </w:rPr>
        <w:t xml:space="preserve"> design phase</w:t>
      </w:r>
      <w:r w:rsidR="00FA3626">
        <w:rPr>
          <w:lang w:eastAsia="en-US"/>
        </w:rPr>
        <w:t>s as appropriate</w:t>
      </w:r>
      <w:r>
        <w:rPr>
          <w:lang w:eastAsia="en-US"/>
        </w:rPr>
        <w:t>.</w:t>
      </w:r>
    </w:p>
    <w:p w:rsidR="00254836" w:rsidRDefault="003A6E9C" w:rsidP="00254836">
      <w:pPr>
        <w:pStyle w:val="Heading3"/>
      </w:pPr>
      <w:r>
        <w:t>Vessel Designs</w:t>
      </w:r>
    </w:p>
    <w:p w:rsidR="003A6E9C" w:rsidRDefault="00977B09" w:rsidP="004316C8">
      <w:pPr>
        <w:pStyle w:val="NoindentNormal"/>
      </w:pPr>
      <w:r>
        <w:t xml:space="preserve">As part of the Poseidon Med II project, a risk assessment of the </w:t>
      </w:r>
      <w:r w:rsidR="00913768">
        <w:t xml:space="preserve">vessel </w:t>
      </w:r>
      <w:r>
        <w:t>desi</w:t>
      </w:r>
      <w:r w:rsidR="00873867">
        <w:t>gn</w:t>
      </w:r>
      <w:r w:rsidR="00913768">
        <w:t>s (both retrofits and new construction ones)</w:t>
      </w:r>
      <w:r w:rsidR="00873867">
        <w:t xml:space="preserve"> for ‘natural gas as fuel’ is </w:t>
      </w:r>
      <w:r>
        <w:t>required. This is often referred to as the ‘LNG Fuel Risk Assess</w:t>
      </w:r>
      <w:r w:rsidR="00873867">
        <w:t xml:space="preserve">ment’ or simply HAZID and forms </w:t>
      </w:r>
      <w:r>
        <w:t>part of LR’s formal Risk Based Design (RBD)</w:t>
      </w:r>
      <w:r w:rsidR="00873867">
        <w:t xml:space="preserve"> </w:t>
      </w:r>
      <w:r w:rsidR="00913768">
        <w:t>process</w:t>
      </w:r>
      <w:r w:rsidR="0040640C">
        <w:t xml:space="preserve"> [8]</w:t>
      </w:r>
      <w:r w:rsidR="00913768">
        <w:t xml:space="preserve">. </w:t>
      </w:r>
      <w:r>
        <w:t>A principal part of the risk assessment is a workshop, and thi</w:t>
      </w:r>
      <w:r w:rsidR="00873867">
        <w:t xml:space="preserve">s Terms of Reference (ToR) is a </w:t>
      </w:r>
      <w:r>
        <w:t xml:space="preserve">summary of the </w:t>
      </w:r>
      <w:r>
        <w:lastRenderedPageBreak/>
        <w:t>design information and an overview of the risk assessme</w:t>
      </w:r>
      <w:r w:rsidR="00873867">
        <w:t xml:space="preserve">nt approach proposed </w:t>
      </w:r>
      <w:r>
        <w:t>for that workshop.</w:t>
      </w:r>
      <w:r w:rsidR="00581D68" w:rsidRPr="00581D68">
        <w:t xml:space="preserve"> </w:t>
      </w:r>
      <w:r w:rsidR="00581D68">
        <w:t>The workshop is facilitated by LR and consists of a team collectively knowledgeable in the design and operation of natural ga</w:t>
      </w:r>
      <w:r w:rsidR="004D32EB">
        <w:t>s fuelled vessels. The team</w:t>
      </w:r>
      <w:r w:rsidR="00581D68">
        <w:t xml:space="preserve"> use</w:t>
      </w:r>
      <w:r w:rsidR="004D32EB">
        <w:t>s</w:t>
      </w:r>
      <w:r w:rsidR="00581D68">
        <w:t xml:space="preserve"> a qualitative/semi-quantitative approach in-line with the risk assessment standard ISO 31010. In simple terms, the team identifies ‘what could go wrong?’, ‘how bad could it be?’, ‘are additional safeguards required?’ and if so, ‘what safeguards are needed?’</w:t>
      </w:r>
      <w:r w:rsidR="00CB2E2D">
        <w:t xml:space="preserve"> [9] [10]</w:t>
      </w:r>
    </w:p>
    <w:p w:rsidR="003A6E9C" w:rsidRDefault="003A6E9C" w:rsidP="007E2128">
      <w:r>
        <w:rPr>
          <w:noProof/>
          <w:lang w:val="en-GB" w:eastAsia="en-GB"/>
        </w:rPr>
        <w:drawing>
          <wp:anchor distT="0" distB="0" distL="114300" distR="114300" simplePos="0" relativeHeight="251659264" behindDoc="1" locked="0" layoutInCell="1" allowOverlap="1" wp14:anchorId="766129E5" wp14:editId="08912F34">
            <wp:simplePos x="0" y="0"/>
            <wp:positionH relativeFrom="column">
              <wp:posOffset>-1963</wp:posOffset>
            </wp:positionH>
            <wp:positionV relativeFrom="paragraph">
              <wp:posOffset>55187</wp:posOffset>
            </wp:positionV>
            <wp:extent cx="4322618" cy="66957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22618" cy="669579"/>
                    </a:xfrm>
                    <a:prstGeom prst="rect">
                      <a:avLst/>
                    </a:prstGeom>
                  </pic:spPr>
                </pic:pic>
              </a:graphicData>
            </a:graphic>
            <wp14:sizeRelH relativeFrom="margin">
              <wp14:pctWidth>0</wp14:pctWidth>
            </wp14:sizeRelH>
            <wp14:sizeRelV relativeFrom="margin">
              <wp14:pctHeight>0</wp14:pctHeight>
            </wp14:sizeRelV>
          </wp:anchor>
        </w:drawing>
      </w:r>
    </w:p>
    <w:p w:rsidR="003A6E9C" w:rsidRDefault="003A6E9C" w:rsidP="007E2128"/>
    <w:p w:rsidR="003A6E9C" w:rsidRDefault="003A6E9C" w:rsidP="007E2128"/>
    <w:p w:rsidR="007E2128" w:rsidRDefault="003A6E9C" w:rsidP="007E2128">
      <w:pPr>
        <w:pStyle w:val="NoindentNormal"/>
        <w:spacing w:before="240"/>
        <w:jc w:val="center"/>
      </w:pPr>
      <w:r w:rsidRPr="003A6E9C">
        <w:rPr>
          <w:noProof/>
          <w:lang w:val="en-GB" w:eastAsia="en-GB"/>
        </w:rPr>
        <w:t xml:space="preserve">  </w:t>
      </w:r>
    </w:p>
    <w:p w:rsidR="007E2128" w:rsidRDefault="007E2128" w:rsidP="004316C8">
      <w:pPr>
        <w:pStyle w:val="CaptionShort"/>
      </w:pPr>
      <w:proofErr w:type="gramStart"/>
      <w:r>
        <w:rPr>
          <w:b/>
        </w:rPr>
        <w:t xml:space="preserve">Figure </w:t>
      </w:r>
      <w:r w:rsidR="00254F10">
        <w:rPr>
          <w:b/>
        </w:rPr>
        <w:t>2</w:t>
      </w:r>
      <w:r>
        <w:rPr>
          <w:b/>
        </w:rPr>
        <w:t>.</w:t>
      </w:r>
      <w:proofErr w:type="gramEnd"/>
      <w:r w:rsidR="00836739">
        <w:t xml:space="preserve"> Generic process for the Assessment of Risk Based Designs (RBD)</w:t>
      </w:r>
    </w:p>
    <w:p w:rsidR="00863B90" w:rsidRDefault="00913768" w:rsidP="00305637">
      <w:r>
        <w:t>The objective of the risk assessment, as noted in the IGF Code, is to help ‘</w:t>
      </w:r>
      <w:r w:rsidRPr="00EF0CAA">
        <w:rPr>
          <w:i/>
        </w:rPr>
        <w:t>eliminate or mitigate any adverse effect to the persons on board, the environment or the ship’</w:t>
      </w:r>
      <w:r>
        <w:t>. In achieving this objective the risk assessment: helps identify and recommend safeguards that could reduce risk; and, helps determine if the risks have been ‘</w:t>
      </w:r>
      <w:r w:rsidRPr="00EF0CAA">
        <w:rPr>
          <w:i/>
        </w:rPr>
        <w:t>mitigated as necessary’</w:t>
      </w:r>
      <w:r>
        <w:t>.</w:t>
      </w:r>
      <w:r w:rsidR="00305637">
        <w:t xml:space="preserve"> </w:t>
      </w:r>
      <w:r w:rsidR="00863B90">
        <w:t xml:space="preserve">The scope of the risk assessment is the use of natural gas, and covers equipment installed on board to: receive, store, prepare and transfer fuel to the engines and other consumers; control the operation; detect, alarm and initiate safety actions; vent, contain or handle operations outside of that intended; protect surfaces from fire, fuel contact and escalation through use of fire-fighting appliances, etc.; and purge and inert fuel lines. The scope also covers consideration of structures and constructions to house equipment, and bunkering equipment installed on board. </w:t>
      </w:r>
      <w:r w:rsidR="004D32EB">
        <w:t>Following the workshop, LR prepares and distributes a report on the workshop’s findings, deliverables and follow-up actions.</w:t>
      </w:r>
    </w:p>
    <w:p w:rsidR="00654463" w:rsidRDefault="00730E20" w:rsidP="00FD3184">
      <w:r>
        <w:t xml:space="preserve">The RBD (Risk Based Design) process consists of </w:t>
      </w:r>
      <w:r w:rsidR="00305637">
        <w:t>four stages as shown in Figure 2</w:t>
      </w:r>
      <w:r>
        <w:t xml:space="preserve">. Responsibility for completing this process lies with the organisation requesting full approval or </w:t>
      </w:r>
      <w:r w:rsidR="00A1364F">
        <w:t>‘</w:t>
      </w:r>
      <w:r>
        <w:t xml:space="preserve">Approval </w:t>
      </w:r>
      <w:proofErr w:type="gramStart"/>
      <w:r>
        <w:t>In</w:t>
      </w:r>
      <w:proofErr w:type="gramEnd"/>
      <w:r>
        <w:t xml:space="preserve"> Principle</w:t>
      </w:r>
      <w:r w:rsidR="00A1364F">
        <w:t>’</w:t>
      </w:r>
      <w:r>
        <w:t xml:space="preserve"> (AIP) from LR. The HAZOP</w:t>
      </w:r>
      <w:r w:rsidR="00882920">
        <w:t xml:space="preserve"> (Hazard &amp; Operability Study)</w:t>
      </w:r>
      <w:r w:rsidR="00BF4DDB">
        <w:t xml:space="preserve"> [11]</w:t>
      </w:r>
      <w:r>
        <w:t xml:space="preserve"> forms part of the Risk Assessment for Stage 4 of RBD.</w:t>
      </w:r>
      <w:r w:rsidR="004D4BEB">
        <w:t xml:space="preserve"> During the HAZOP workshop and study, the system is being looked at in detail, and is separated into discrete process sections accordingly, called ‘Nodes’.</w:t>
      </w:r>
      <w:r w:rsidR="00FD3184" w:rsidRPr="00FD3184">
        <w:t xml:space="preserve"> </w:t>
      </w:r>
      <w:r w:rsidR="00FD3184">
        <w:t xml:space="preserve">The principal objective of the HAZOP is to increase confidence </w:t>
      </w:r>
      <w:r w:rsidR="004144A6">
        <w:t xml:space="preserve">at the final stage </w:t>
      </w:r>
      <w:r w:rsidR="00FD3184">
        <w:t>that safety related aspects of the design are appropriate</w:t>
      </w:r>
      <w:r w:rsidR="00BF4DDB">
        <w:t xml:space="preserve"> [12]</w:t>
      </w:r>
      <w:r w:rsidR="00FD3184">
        <w:t>.</w:t>
      </w:r>
    </w:p>
    <w:p w:rsidR="007E2128" w:rsidRDefault="00A71FC3" w:rsidP="003A6E9C">
      <w:pPr>
        <w:pStyle w:val="Heading3"/>
      </w:pPr>
      <w:r>
        <w:t xml:space="preserve">Small scale LNG </w:t>
      </w:r>
      <w:r w:rsidR="003A6E9C">
        <w:t>Infrastructure Designs</w:t>
      </w:r>
    </w:p>
    <w:p w:rsidR="00E370CC" w:rsidRDefault="007B7E40" w:rsidP="00EE52B2">
      <w:pPr>
        <w:pStyle w:val="NoindentNormal"/>
      </w:pPr>
      <w:r>
        <w:t>The main objectives of the Site</w:t>
      </w:r>
      <w:r w:rsidR="00AA60FC">
        <w:t xml:space="preserve"> Evaluation HAZID study are to: u</w:t>
      </w:r>
      <w:r>
        <w:t>ndertake a site survey and discuss feasible types of operation</w:t>
      </w:r>
      <w:r w:rsidR="00115809">
        <w:t xml:space="preserve">s and appropriate sites </w:t>
      </w:r>
      <w:r>
        <w:t>to ma</w:t>
      </w:r>
      <w:r w:rsidR="009846BA">
        <w:t xml:space="preserve">ke </w:t>
      </w:r>
      <w:r w:rsidR="00D269EB">
        <w:t xml:space="preserve">it </w:t>
      </w:r>
      <w:r w:rsidR="009846BA">
        <w:t xml:space="preserve">feasible with minimum impact; </w:t>
      </w:r>
      <w:r w:rsidR="00AA60FC">
        <w:t>Additionall</w:t>
      </w:r>
      <w:r w:rsidR="00D269EB">
        <w:t>y it</w:t>
      </w:r>
      <w:r w:rsidR="004316C8">
        <w:t xml:space="preserve"> </w:t>
      </w:r>
      <w:r w:rsidR="00AA60FC">
        <w:t>a</w:t>
      </w:r>
      <w:r>
        <w:t>ssess</w:t>
      </w:r>
      <w:r w:rsidR="00D269EB">
        <w:t>es</w:t>
      </w:r>
      <w:r>
        <w:t xml:space="preserve"> bunkering fuel capacity requirements </w:t>
      </w:r>
      <w:r w:rsidR="00AA60FC">
        <w:t>under current and future trades, as well as</w:t>
      </w:r>
      <w:r>
        <w:t xml:space="preserve"> size and numbers of barges, capability for re- loading LNG cargo locally or at remote location, turnaround time service </w:t>
      </w:r>
      <w:r w:rsidR="00AA60FC">
        <w:t>requirements and</w:t>
      </w:r>
      <w:r>
        <w:t xml:space="preserve"> identify short and long ter</w:t>
      </w:r>
      <w:r w:rsidR="00AA60FC">
        <w:t>m solutions for storage options; Furthermore</w:t>
      </w:r>
      <w:r w:rsidR="00D269EB">
        <w:t xml:space="preserve"> it is to</w:t>
      </w:r>
      <w:r w:rsidR="00AA60FC">
        <w:t xml:space="preserve"> a</w:t>
      </w:r>
      <w:r>
        <w:t>ssess impact of LNG barge traffic in the Port Authority traffic operations, provide knowledge basis for sim</w:t>
      </w:r>
      <w:r w:rsidR="009846BA">
        <w:t>ilar operations in other ports</w:t>
      </w:r>
      <w:r>
        <w:t xml:space="preserve">, </w:t>
      </w:r>
      <w:r w:rsidR="00AA60FC">
        <w:t>and address</w:t>
      </w:r>
      <w:r>
        <w:t xml:space="preserve"> traffic control, jetty operations, port support op</w:t>
      </w:r>
      <w:r w:rsidR="00AA60FC">
        <w:t xml:space="preserve">erations and emergency response; </w:t>
      </w:r>
      <w:r>
        <w:t>Preliminar</w:t>
      </w:r>
      <w:r w:rsidR="00D269EB">
        <w:t>il</w:t>
      </w:r>
      <w:r>
        <w:t xml:space="preserve">y evaluate bunkering systems for service at port including </w:t>
      </w:r>
      <w:r w:rsidR="00115809">
        <w:t>LNG trucks; Also a</w:t>
      </w:r>
      <w:r>
        <w:t>ddress crew co</w:t>
      </w:r>
      <w:r w:rsidR="00115809">
        <w:t>mpetence standards requirements;</w:t>
      </w:r>
      <w:r w:rsidR="00EE52B2">
        <w:t xml:space="preserve"> and finally i</w:t>
      </w:r>
      <w:r>
        <w:t xml:space="preserve">ssue HAZID Report inclusive of work sheets identifying findings, recommendations and </w:t>
      </w:r>
      <w:r w:rsidR="00EE52B2">
        <w:t xml:space="preserve">follow up </w:t>
      </w:r>
      <w:r>
        <w:t>actions.</w:t>
      </w:r>
    </w:p>
    <w:p w:rsidR="00B11834" w:rsidRDefault="00B11834" w:rsidP="00B11834">
      <w:r>
        <w:lastRenderedPageBreak/>
        <w:t xml:space="preserve">In order to effectively and qualitatively rank risks at the stages of design an appropriate Risk Assessment Matrix (RAM) has been </w:t>
      </w:r>
      <w:r w:rsidR="00CA6AE3">
        <w:t>adopted and shown in Figure 3</w:t>
      </w:r>
      <w:r>
        <w:t>.</w:t>
      </w:r>
    </w:p>
    <w:p w:rsidR="00B11834" w:rsidRDefault="00B11834" w:rsidP="00B11834">
      <w:r>
        <w:rPr>
          <w:noProof/>
          <w:lang w:val="en-GB" w:eastAsia="en-GB"/>
        </w:rPr>
        <w:drawing>
          <wp:anchor distT="0" distB="0" distL="114300" distR="114300" simplePos="0" relativeHeight="251661312" behindDoc="1" locked="0" layoutInCell="1" allowOverlap="1" wp14:anchorId="7C157075" wp14:editId="5D88345C">
            <wp:simplePos x="0" y="0"/>
            <wp:positionH relativeFrom="column">
              <wp:posOffset>696307</wp:posOffset>
            </wp:positionH>
            <wp:positionV relativeFrom="paragraph">
              <wp:posOffset>103139</wp:posOffset>
            </wp:positionV>
            <wp:extent cx="2743200" cy="95218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36384" cy="949819"/>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B11834" w:rsidRDefault="00B11834" w:rsidP="00B11834">
      <w:pPr>
        <w:ind w:firstLine="0"/>
      </w:pPr>
    </w:p>
    <w:p w:rsidR="00B11834" w:rsidRDefault="00B11834" w:rsidP="00B11834">
      <w:pPr>
        <w:ind w:firstLine="0"/>
      </w:pPr>
    </w:p>
    <w:p w:rsidR="00B11834" w:rsidRDefault="00B11834" w:rsidP="00B11834">
      <w:pPr>
        <w:ind w:firstLine="0"/>
      </w:pPr>
    </w:p>
    <w:p w:rsidR="00B11834" w:rsidRDefault="00B11834" w:rsidP="00B11834">
      <w:pPr>
        <w:ind w:firstLine="0"/>
      </w:pPr>
    </w:p>
    <w:p w:rsidR="00B11834" w:rsidRDefault="00B11834" w:rsidP="00B11834">
      <w:pPr>
        <w:ind w:firstLine="0"/>
      </w:pPr>
    </w:p>
    <w:p w:rsidR="00B11834" w:rsidRDefault="00B11834" w:rsidP="00B11834">
      <w:pPr>
        <w:ind w:firstLine="0"/>
      </w:pPr>
    </w:p>
    <w:p w:rsidR="00696008" w:rsidRPr="00E32ED7" w:rsidRDefault="00696008" w:rsidP="00AE2EF1">
      <w:pPr>
        <w:pStyle w:val="CaptionShort"/>
        <w:rPr>
          <w:b/>
        </w:rPr>
      </w:pPr>
      <w:proofErr w:type="gramStart"/>
      <w:r w:rsidRPr="00E32ED7">
        <w:rPr>
          <w:b/>
        </w:rPr>
        <w:t xml:space="preserve">Figure </w:t>
      </w:r>
      <w:r>
        <w:rPr>
          <w:b/>
        </w:rPr>
        <w:t>3.</w:t>
      </w:r>
      <w:proofErr w:type="gramEnd"/>
      <w:r w:rsidRPr="00E32ED7">
        <w:rPr>
          <w:b/>
        </w:rPr>
        <w:t xml:space="preserve"> </w:t>
      </w:r>
      <w:r w:rsidRPr="00E32ED7">
        <w:t>Risk Assessment Matrix</w:t>
      </w:r>
    </w:p>
    <w:p w:rsidR="00B11834" w:rsidRDefault="00B11834" w:rsidP="00187DF0">
      <w:r>
        <w:t xml:space="preserve">The orange and green areas of Risk Assessment Matrix represent the range where the risks are tolerable if they are </w:t>
      </w:r>
      <w:r w:rsidR="00187DF0">
        <w:t>‘</w:t>
      </w:r>
      <w:r>
        <w:t xml:space="preserve">As Low </w:t>
      </w:r>
      <w:proofErr w:type="gramStart"/>
      <w:r>
        <w:t>As</w:t>
      </w:r>
      <w:proofErr w:type="gramEnd"/>
      <w:r>
        <w:t xml:space="preserve"> Reasonably Practicable</w:t>
      </w:r>
      <w:r w:rsidR="00187DF0">
        <w:t>’</w:t>
      </w:r>
      <w:r>
        <w:t xml:space="preserve"> (ALARP).  This is achieved if the cost of risk reduction would greatly exceed the safety improvements gained.  The greater the risk, the greater the disproportion between cost and benefit which is required before an improvement bec</w:t>
      </w:r>
      <w:r w:rsidR="009E4159">
        <w:t>omes impractical.  In t</w:t>
      </w:r>
      <w:r>
        <w:t xml:space="preserve">he red shaded region </w:t>
      </w:r>
      <w:r w:rsidR="009E4159">
        <w:t xml:space="preserve">the </w:t>
      </w:r>
      <w:r>
        <w:t>risks are intolerable and would be required to b</w:t>
      </w:r>
      <w:r w:rsidR="00187DF0">
        <w:t xml:space="preserve">e reduced by design activities. </w:t>
      </w:r>
      <w:r>
        <w:t xml:space="preserve">The risks identified during the HAZID study </w:t>
      </w:r>
      <w:r w:rsidR="00187DF0">
        <w:t>are</w:t>
      </w:r>
      <w:r>
        <w:t xml:space="preserve"> classified according to their severity to the operations (downtime), impact on personnel on-board ships or at jetty (health/safety), impact to the environment and their likelihood of occurrence.</w:t>
      </w:r>
    </w:p>
    <w:p w:rsidR="00C3242C" w:rsidRDefault="00C3242C" w:rsidP="00131AFF">
      <w:r>
        <w:t xml:space="preserve">With the </w:t>
      </w:r>
      <w:r w:rsidRPr="00FE6E48">
        <w:t>same philosophy as for vessels designs, HAZID is stage 2 of the RDB and HAZ</w:t>
      </w:r>
      <w:r w:rsidR="00305637">
        <w:t>OP(s) follow in the next stages</w:t>
      </w:r>
      <w:r w:rsidR="004A0FD9" w:rsidRPr="00FE6E48">
        <w:t>.</w:t>
      </w:r>
      <w:r w:rsidR="00C93B97" w:rsidRPr="00FE6E48">
        <w:t xml:space="preserve"> The final stages are also accompanied by a QRA (Quantitative Risk Assessment) study</w:t>
      </w:r>
      <w:r w:rsidR="00131AFF" w:rsidRPr="00FE6E48">
        <w:t xml:space="preserve"> and modelling exercise</w:t>
      </w:r>
      <w:r w:rsidR="00C93B97" w:rsidRPr="00FE6E48">
        <w:t>, which</w:t>
      </w:r>
      <w:r w:rsidR="00131AFF" w:rsidRPr="00FE6E48">
        <w:t xml:space="preserve"> is based on determined scenario releases and which confirms that </w:t>
      </w:r>
      <w:r w:rsidR="00142659" w:rsidRPr="00FE6E48">
        <w:t>a</w:t>
      </w:r>
      <w:r w:rsidR="00131AFF" w:rsidRPr="00FE6E48">
        <w:t>ll generated risks have been identified to be within tolerable and acceptable levels. Also that the terminal generated risk zones do not have any detrimental impact neither would affect future passing ship traffic or cargo fuel loading operations at the nearby buoy, and that the overall societal risks are also within the ‘tolerable ALARP’ region and are dominated only by risks to personnel on-site.</w:t>
      </w:r>
    </w:p>
    <w:p w:rsidR="005975D9" w:rsidRPr="00B11834" w:rsidRDefault="004E6CC4" w:rsidP="00187DF0">
      <w:r>
        <w:t>The stronger</w:t>
      </w:r>
      <w:r w:rsidR="005975D9">
        <w:t xml:space="preserve"> the risk assessment during the design phase, the higher the confidence given upon the design and </w:t>
      </w:r>
      <w:r w:rsidR="00CE3B84">
        <w:t xml:space="preserve">the knowledge acquired, and the easier the permitting and construction steps are unlocked. Authorities, </w:t>
      </w:r>
      <w:r w:rsidR="00FF25AB">
        <w:t>interested bodies</w:t>
      </w:r>
      <w:r w:rsidR="00CE3B84">
        <w:t xml:space="preserve">, key stakeholders and the public </w:t>
      </w:r>
      <w:r w:rsidR="00D269EB">
        <w:t xml:space="preserve">should </w:t>
      </w:r>
      <w:r w:rsidR="00CE3B84">
        <w:t xml:space="preserve">be involved in early stages of the design and decision making, so that the plan </w:t>
      </w:r>
      <w:r w:rsidR="00D269EB">
        <w:t xml:space="preserve">receives, constructive input and </w:t>
      </w:r>
      <w:r w:rsidR="00F8108B">
        <w:t>public acceptance as necessary.</w:t>
      </w:r>
    </w:p>
    <w:p w:rsidR="007E2128" w:rsidRDefault="007E2128" w:rsidP="007E2128">
      <w:pPr>
        <w:pStyle w:val="Heading2"/>
        <w:rPr>
          <w:lang w:eastAsia="en-US"/>
        </w:rPr>
      </w:pPr>
      <w:r>
        <w:rPr>
          <w:lang w:eastAsia="en-US"/>
        </w:rPr>
        <w:t>Exclusion Zones</w:t>
      </w:r>
    </w:p>
    <w:p w:rsidR="007C76B5" w:rsidRDefault="00D217FB" w:rsidP="00D217FB">
      <w:pPr>
        <w:ind w:firstLine="0"/>
      </w:pPr>
      <w:r>
        <w:t>Exclusion zone studies</w:t>
      </w:r>
      <w:r w:rsidR="00925D09">
        <w:t>,</w:t>
      </w:r>
      <w:r>
        <w:t xml:space="preserve"> which constitute a part of the Risk Assessment process, aim at the calculation of minimum distances where activities should be prohibited for a defined set of operational cases, in order to contain hazards from a potential safety incident with LNG (i.e. fire, explosion, exposure to cryogenic temperatures). </w:t>
      </w:r>
    </w:p>
    <w:p w:rsidR="007C76B5" w:rsidRDefault="007C76B5" w:rsidP="007C76B5">
      <w:pPr>
        <w:ind w:firstLine="0"/>
        <w:jc w:val="center"/>
      </w:pPr>
      <w:r w:rsidRPr="00AC708B">
        <w:rPr>
          <w:noProof/>
          <w:lang w:val="en-GB" w:eastAsia="en-GB"/>
        </w:rPr>
        <w:drawing>
          <wp:inline distT="0" distB="0" distL="0" distR="0" wp14:anchorId="0D76B5C2" wp14:editId="1E2785E8">
            <wp:extent cx="2078182" cy="953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78182" cy="953671"/>
                    </a:xfrm>
                    <a:prstGeom prst="rect">
                      <a:avLst/>
                    </a:prstGeom>
                  </pic:spPr>
                </pic:pic>
              </a:graphicData>
            </a:graphic>
          </wp:inline>
        </w:drawing>
      </w:r>
    </w:p>
    <w:p w:rsidR="007C76B5" w:rsidRPr="00720D07" w:rsidRDefault="007C76B5" w:rsidP="007C76B5">
      <w:pPr>
        <w:pStyle w:val="CaptionShort"/>
      </w:pPr>
      <w:proofErr w:type="gramStart"/>
      <w:r w:rsidRPr="00E32ED7">
        <w:rPr>
          <w:b/>
        </w:rPr>
        <w:t xml:space="preserve">Figure </w:t>
      </w:r>
      <w:r w:rsidR="00CA6AE3">
        <w:rPr>
          <w:b/>
        </w:rPr>
        <w:t>4</w:t>
      </w:r>
      <w:r>
        <w:rPr>
          <w:b/>
        </w:rPr>
        <w:t>.</w:t>
      </w:r>
      <w:proofErr w:type="gramEnd"/>
      <w:r w:rsidRPr="00E32ED7">
        <w:rPr>
          <w:b/>
        </w:rPr>
        <w:t xml:space="preserve"> </w:t>
      </w:r>
      <w:r>
        <w:t>LNG Bunkering Options</w:t>
      </w:r>
    </w:p>
    <w:p w:rsidR="007C76B5" w:rsidRDefault="00E8786B" w:rsidP="007C76B5">
      <w:pPr>
        <w:ind w:firstLine="426"/>
      </w:pPr>
      <w:r>
        <w:lastRenderedPageBreak/>
        <w:t xml:space="preserve">Scenarios include bunkering modes </w:t>
      </w:r>
      <w:r w:rsidR="00D217FB">
        <w:t>from bunker barge to vessel</w:t>
      </w:r>
      <w:r>
        <w:t xml:space="preserve"> </w:t>
      </w:r>
      <w:r w:rsidR="00D217FB">
        <w:t xml:space="preserve">(namely Ship to Ship or STS), while the second </w:t>
      </w:r>
      <w:r>
        <w:t xml:space="preserve">is </w:t>
      </w:r>
      <w:r w:rsidR="00D217FB">
        <w:t>from truck to vessel</w:t>
      </w:r>
      <w:r>
        <w:t xml:space="preserve"> </w:t>
      </w:r>
      <w:r w:rsidR="00D217FB">
        <w:t>(Truck to Ship or TT</w:t>
      </w:r>
      <w:r w:rsidR="00CA6AE3">
        <w:t>S). Figure 4</w:t>
      </w:r>
      <w:r w:rsidR="00D217FB">
        <w:t xml:space="preserve"> depicts these 2 options for bunkering operations. </w:t>
      </w:r>
      <w:r w:rsidR="00925D09">
        <w:t>I</w:t>
      </w:r>
      <w:r w:rsidR="00D217FB">
        <w:t xml:space="preserve">n order to determine the exclusion zones during bunkering operations, indicative gas release locations </w:t>
      </w:r>
      <w:r w:rsidR="006D2CF6">
        <w:t xml:space="preserve">are </w:t>
      </w:r>
      <w:r w:rsidR="00D217FB">
        <w:t xml:space="preserve">used to represent potential points of release from the bunkering system on either the bunkering vessel or truck and the receiving vessel. </w:t>
      </w:r>
      <w:r w:rsidR="006D2CF6">
        <w:t>Examples include</w:t>
      </w:r>
      <w:r w:rsidR="00D217FB">
        <w:t xml:space="preserve"> three broad categories of release sizes</w:t>
      </w:r>
      <w:r w:rsidR="006D2CF6">
        <w:t>:</w:t>
      </w:r>
      <w:r w:rsidR="00D217FB">
        <w:t xml:space="preserve"> a hole with diameter 5mm which represents the majority of all leaks</w:t>
      </w:r>
      <w:r w:rsidR="004459CE">
        <w:t xml:space="preserve">, </w:t>
      </w:r>
      <w:r w:rsidR="00D217FB">
        <w:t>and 2</w:t>
      </w:r>
      <w:r w:rsidR="00D217FB" w:rsidRPr="00384026">
        <w:rPr>
          <w:vertAlign w:val="superscript"/>
        </w:rPr>
        <w:t>nd</w:t>
      </w:r>
      <w:r w:rsidR="00D217FB">
        <w:t xml:space="preserve"> and 3</w:t>
      </w:r>
      <w:r w:rsidR="00D217FB" w:rsidRPr="00384026">
        <w:rPr>
          <w:vertAlign w:val="superscript"/>
        </w:rPr>
        <w:t>rd</w:t>
      </w:r>
      <w:r w:rsidR="00D217FB">
        <w:t xml:space="preserve"> </w:t>
      </w:r>
      <w:r w:rsidR="006D2CF6">
        <w:t>with</w:t>
      </w:r>
      <w:r w:rsidR="00D217FB">
        <w:t xml:space="preserve"> 25mm and 35mm holes which represent equipment failure associated with isolation valve and transfer piping failures</w:t>
      </w:r>
      <w:r w:rsidR="004459CE">
        <w:t>, all</w:t>
      </w:r>
      <w:r w:rsidR="00D217FB">
        <w:t xml:space="preserve"> based on a steady state release at the normal operating pressure. Figure 4(a) below </w:t>
      </w:r>
      <w:r w:rsidR="00D217FB" w:rsidRPr="001F14E1">
        <w:t>shows a representative profile of the LNG release under free field conditions where the gas dispersion is not influenced b</w:t>
      </w:r>
      <w:r w:rsidR="006D2CF6">
        <w:t>y any structures or obstruction</w:t>
      </w:r>
      <w:r w:rsidR="00D217FB" w:rsidRPr="001F14E1">
        <w:t>. As natural gas vapour is denser than air at the initial stages of release, the profile of the flammable gas plume is expected to sink downwards.</w:t>
      </w:r>
      <w:r w:rsidR="006D2CF6" w:rsidRPr="006D2CF6">
        <w:t xml:space="preserve"> </w:t>
      </w:r>
      <w:r w:rsidR="006D2CF6" w:rsidRPr="001F14E1">
        <w:t xml:space="preserve">Figure </w:t>
      </w:r>
      <w:r w:rsidR="00CA6AE3">
        <w:t>5</w:t>
      </w:r>
      <w:r w:rsidR="006D2CF6">
        <w:t>(b)</w:t>
      </w:r>
      <w:r w:rsidR="006D2CF6" w:rsidRPr="001F14E1">
        <w:t xml:space="preserve"> shows the profile on the flammable gas for leaks </w:t>
      </w:r>
      <w:r w:rsidR="006D2CF6">
        <w:t xml:space="preserve">shown in Figure </w:t>
      </w:r>
      <w:r w:rsidR="00CA6AE3">
        <w:t>5</w:t>
      </w:r>
      <w:r w:rsidR="006D2CF6">
        <w:t>(a)</w:t>
      </w:r>
      <w:r w:rsidR="006D2CF6" w:rsidRPr="001F14E1">
        <w:t>.</w:t>
      </w:r>
    </w:p>
    <w:p w:rsidR="00D217FB" w:rsidRDefault="006D2CF6" w:rsidP="007C76B5">
      <w:pPr>
        <w:ind w:firstLine="426"/>
      </w:pPr>
      <w:r w:rsidRPr="001F14E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581"/>
      </w:tblGrid>
      <w:tr w:rsidR="00D217FB" w:rsidTr="00384026">
        <w:tc>
          <w:tcPr>
            <w:tcW w:w="3666" w:type="dxa"/>
          </w:tcPr>
          <w:p w:rsidR="00D217FB" w:rsidRDefault="00D217FB" w:rsidP="00384026">
            <w:pPr>
              <w:ind w:firstLine="0"/>
            </w:pPr>
            <w:r w:rsidRPr="002F5E6A">
              <w:rPr>
                <w:noProof/>
                <w:lang w:val="en-GB" w:eastAsia="en-GB"/>
              </w:rPr>
              <w:drawing>
                <wp:inline distT="0" distB="0" distL="0" distR="0" wp14:anchorId="39D77971" wp14:editId="1A5ABC65">
                  <wp:extent cx="1662545" cy="778124"/>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7840" t="4166" r="16667" b="8594"/>
                          <a:stretch/>
                        </pic:blipFill>
                        <pic:spPr bwMode="auto">
                          <a:xfrm>
                            <a:off x="0" y="0"/>
                            <a:ext cx="1661325" cy="777553"/>
                          </a:xfrm>
                          <a:prstGeom prst="rect">
                            <a:avLst/>
                          </a:prstGeom>
                          <a:ln>
                            <a:noFill/>
                          </a:ln>
                          <a:extLst>
                            <a:ext uri="{53640926-AAD7-44D8-BBD7-CCE9431645EC}">
                              <a14:shadowObscured xmlns:a14="http://schemas.microsoft.com/office/drawing/2010/main"/>
                            </a:ext>
                          </a:extLst>
                        </pic:spPr>
                      </pic:pic>
                    </a:graphicData>
                  </a:graphic>
                </wp:inline>
              </w:drawing>
            </w:r>
          </w:p>
        </w:tc>
        <w:tc>
          <w:tcPr>
            <w:tcW w:w="3581" w:type="dxa"/>
          </w:tcPr>
          <w:p w:rsidR="00D217FB" w:rsidRDefault="00D217FB" w:rsidP="00384026">
            <w:pPr>
              <w:ind w:firstLine="0"/>
            </w:pPr>
            <w:r>
              <w:rPr>
                <w:noProof/>
                <w:lang w:val="en-GB" w:eastAsia="en-GB"/>
              </w:rPr>
              <w:drawing>
                <wp:inline distT="0" distB="0" distL="0" distR="0" wp14:anchorId="25FA2817" wp14:editId="08E0B314">
                  <wp:extent cx="1080655" cy="82517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6963" cy="829994"/>
                          </a:xfrm>
                          <a:prstGeom prst="rect">
                            <a:avLst/>
                          </a:prstGeom>
                          <a:noFill/>
                        </pic:spPr>
                      </pic:pic>
                    </a:graphicData>
                  </a:graphic>
                </wp:inline>
              </w:drawing>
            </w:r>
          </w:p>
        </w:tc>
      </w:tr>
    </w:tbl>
    <w:p w:rsidR="006D2CF6" w:rsidRPr="00384026" w:rsidRDefault="00D217FB" w:rsidP="002F73E2">
      <w:pPr>
        <w:pStyle w:val="CaptionShort"/>
      </w:pPr>
      <w:r w:rsidRPr="00E32ED7">
        <w:rPr>
          <w:b/>
        </w:rPr>
        <w:t xml:space="preserve">Figure </w:t>
      </w:r>
      <w:r w:rsidR="00CA6AE3">
        <w:rPr>
          <w:b/>
        </w:rPr>
        <w:t>5</w:t>
      </w:r>
      <w:r>
        <w:rPr>
          <w:b/>
        </w:rPr>
        <w:t>(a) and (b):</w:t>
      </w:r>
      <w:r w:rsidRPr="00E32ED7">
        <w:rPr>
          <w:b/>
        </w:rPr>
        <w:t xml:space="preserve"> </w:t>
      </w:r>
      <w:r>
        <w:t>Release Scenarios for STS operations</w:t>
      </w:r>
    </w:p>
    <w:p w:rsidR="007C76B5" w:rsidRDefault="00D217FB" w:rsidP="004316C8">
      <w:pPr>
        <w:ind w:firstLine="426"/>
      </w:pPr>
      <w:r>
        <w:t xml:space="preserve">For the truck to ship operations the same assumptions </w:t>
      </w:r>
      <w:r w:rsidR="004459CE">
        <w:t>are</w:t>
      </w:r>
      <w:r>
        <w:t xml:space="preserve"> employed. </w:t>
      </w:r>
      <w:r w:rsidRPr="000E3A46">
        <w:t xml:space="preserve">Figure </w:t>
      </w:r>
      <w:r w:rsidR="00CA6AE3">
        <w:t>6</w:t>
      </w:r>
      <w:r>
        <w:t>(a)</w:t>
      </w:r>
      <w:r w:rsidRPr="000E3A46">
        <w:t xml:space="preserve"> below shows a representative profile of the LNG release that is close to ground level</w:t>
      </w:r>
      <w:r>
        <w:t xml:space="preserve"> while figure </w:t>
      </w:r>
      <w:r w:rsidR="00CA6AE3">
        <w:t>6</w:t>
      </w:r>
      <w:r>
        <w:t>(b) depicts</w:t>
      </w:r>
      <w:r w:rsidRPr="000E3A46">
        <w:t xml:space="preserve"> the profile of the flammable gas for leaks at </w:t>
      </w:r>
      <w:r>
        <w:t>the 3 locations</w:t>
      </w:r>
      <w:r w:rsidRPr="000E3A46">
        <w:t xml:space="preserve"> shown in Figure </w:t>
      </w:r>
      <w:r w:rsidR="00CA6AE3">
        <w:t>6</w:t>
      </w:r>
      <w:r>
        <w:t>(a)</w:t>
      </w:r>
      <w:r w:rsidRPr="000E3A4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581"/>
      </w:tblGrid>
      <w:tr w:rsidR="00D217FB" w:rsidTr="00384026">
        <w:tc>
          <w:tcPr>
            <w:tcW w:w="3666" w:type="dxa"/>
          </w:tcPr>
          <w:p w:rsidR="00D217FB" w:rsidRDefault="00D217FB" w:rsidP="00384026">
            <w:pPr>
              <w:ind w:firstLine="0"/>
            </w:pPr>
            <w:r>
              <w:rPr>
                <w:noProof/>
                <w:lang w:val="en-GB" w:eastAsia="en-GB"/>
              </w:rPr>
              <w:drawing>
                <wp:inline distT="0" distB="0" distL="0" distR="0" wp14:anchorId="09F3001C" wp14:editId="4A57ECC4">
                  <wp:extent cx="1664898" cy="77305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3754" t="4417" r="22525" b="10695"/>
                          <a:stretch/>
                        </pic:blipFill>
                        <pic:spPr bwMode="auto">
                          <a:xfrm>
                            <a:off x="0" y="0"/>
                            <a:ext cx="1699159" cy="788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81" w:type="dxa"/>
          </w:tcPr>
          <w:p w:rsidR="00D217FB" w:rsidRDefault="00D217FB" w:rsidP="00384026">
            <w:pPr>
              <w:ind w:firstLine="0"/>
            </w:pPr>
            <w:r w:rsidRPr="000B7D68">
              <w:rPr>
                <w:noProof/>
                <w:lang w:val="en-GB" w:eastAsia="en-GB"/>
              </w:rPr>
              <w:drawing>
                <wp:inline distT="0" distB="0" distL="0" distR="0" wp14:anchorId="2A22F6B1" wp14:editId="1A5EB5D3">
                  <wp:extent cx="1190446" cy="7254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86435" cy="723017"/>
                          </a:xfrm>
                          <a:prstGeom prst="rect">
                            <a:avLst/>
                          </a:prstGeom>
                        </pic:spPr>
                      </pic:pic>
                    </a:graphicData>
                  </a:graphic>
                </wp:inline>
              </w:drawing>
            </w:r>
          </w:p>
        </w:tc>
      </w:tr>
    </w:tbl>
    <w:p w:rsidR="006D2CF6" w:rsidRDefault="00D217FB" w:rsidP="007C76B5">
      <w:pPr>
        <w:pStyle w:val="CaptionShort"/>
      </w:pPr>
      <w:r w:rsidRPr="00E32ED7">
        <w:rPr>
          <w:b/>
        </w:rPr>
        <w:t xml:space="preserve">Figure </w:t>
      </w:r>
      <w:r w:rsidR="00CA6AE3">
        <w:rPr>
          <w:b/>
        </w:rPr>
        <w:t>6</w:t>
      </w:r>
      <w:r>
        <w:rPr>
          <w:b/>
        </w:rPr>
        <w:t>(a) and (b):</w:t>
      </w:r>
      <w:r w:rsidRPr="00E32ED7">
        <w:rPr>
          <w:b/>
        </w:rPr>
        <w:t xml:space="preserve"> </w:t>
      </w:r>
      <w:r>
        <w:t>Release Scenarios for TTS operations</w:t>
      </w:r>
    </w:p>
    <w:p w:rsidR="00D217FB" w:rsidRDefault="005677CB" w:rsidP="004316C8">
      <w:pPr>
        <w:ind w:firstLine="426"/>
      </w:pPr>
      <w:r>
        <w:t>T</w:t>
      </w:r>
      <w:r w:rsidR="00D217FB">
        <w:t>he mos</w:t>
      </w:r>
      <w:r>
        <w:t>t ‘credible worst case’ event is</w:t>
      </w:r>
      <w:r w:rsidR="00D217FB">
        <w:t xml:space="preserve"> the release under pressure from a 5mm hole</w:t>
      </w:r>
      <w:r w:rsidR="004459CE">
        <w:t>,</w:t>
      </w:r>
      <w:r w:rsidR="00D217FB">
        <w:t xml:space="preserve"> based on historical data. While atmospheric conditions can be seen to have some effect on the calculated distances it is apparent that the worst case conditions for dispersion are generally those for typical daytime conditions. T</w:t>
      </w:r>
      <w:r w:rsidR="004459CE">
        <w:t>he</w:t>
      </w:r>
      <w:r w:rsidR="00D217FB">
        <w:t xml:space="preserve"> recommended safety exclusion zone distances were calculated</w:t>
      </w:r>
      <w:r>
        <w:t xml:space="preserve"> for operations in the port of Patras</w:t>
      </w:r>
      <w:r w:rsidR="00D217FB">
        <w:t xml:space="preserve"> and are </w:t>
      </w:r>
      <w:r w:rsidR="004459CE">
        <w:t xml:space="preserve">indicatively </w:t>
      </w:r>
      <w:r w:rsidR="00D217FB">
        <w:t>presented at the table below</w:t>
      </w:r>
      <w:r w:rsidR="002F73E2">
        <w:t>.</w:t>
      </w:r>
    </w:p>
    <w:p w:rsidR="00126C05" w:rsidRPr="00126C05" w:rsidRDefault="00126C05" w:rsidP="00126C05">
      <w:pPr>
        <w:pStyle w:val="Equation"/>
        <w:spacing w:after="0"/>
        <w:jc w:val="center"/>
        <w:rPr>
          <w:sz w:val="16"/>
        </w:rPr>
      </w:pPr>
      <w:r w:rsidRPr="00D217FB">
        <w:rPr>
          <w:b/>
          <w:sz w:val="16"/>
        </w:rPr>
        <w:t>Table I:</w:t>
      </w:r>
      <w:r w:rsidRPr="00D217FB">
        <w:rPr>
          <w:sz w:val="16"/>
        </w:rPr>
        <w:t xml:space="preserve"> Recommended Safety Exclusion Zones Distances</w:t>
      </w:r>
    </w:p>
    <w:tbl>
      <w:tblPr>
        <w:tblStyle w:val="LightList-Accent1"/>
        <w:tblW w:w="0" w:type="auto"/>
        <w:jc w:val="center"/>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849"/>
        <w:gridCol w:w="3135"/>
        <w:gridCol w:w="1858"/>
      </w:tblGrid>
      <w:tr w:rsidR="00D217FB" w:rsidRPr="00384026" w:rsidTr="002F73E2">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849" w:type="dxa"/>
            <w:tcBorders>
              <w:top w:val="nil"/>
              <w:left w:val="nil"/>
              <w:right w:val="nil"/>
            </w:tcBorders>
            <w:shd w:val="clear" w:color="auto" w:fill="auto"/>
            <w:vAlign w:val="center"/>
          </w:tcPr>
          <w:p w:rsidR="00D217FB" w:rsidRPr="00384026" w:rsidRDefault="00D217FB" w:rsidP="00384026">
            <w:pPr>
              <w:jc w:val="left"/>
              <w:rPr>
                <w:rFonts w:ascii="Times New Roman" w:hAnsi="Times New Roman" w:cs="Times New Roman"/>
                <w:color w:val="auto"/>
                <w:sz w:val="16"/>
                <w:szCs w:val="16"/>
              </w:rPr>
            </w:pPr>
            <w:r w:rsidRPr="00384026">
              <w:rPr>
                <w:rFonts w:ascii="Times New Roman" w:hAnsi="Times New Roman" w:cs="Times New Roman"/>
                <w:color w:val="auto"/>
                <w:sz w:val="16"/>
                <w:szCs w:val="16"/>
              </w:rPr>
              <w:t>Operations</w:t>
            </w:r>
          </w:p>
        </w:tc>
        <w:tc>
          <w:tcPr>
            <w:cnfStyle w:val="000010000000" w:firstRow="0" w:lastRow="0" w:firstColumn="0" w:lastColumn="0" w:oddVBand="1" w:evenVBand="0" w:oddHBand="0" w:evenHBand="0" w:firstRowFirstColumn="0" w:firstRowLastColumn="0" w:lastRowFirstColumn="0" w:lastRowLastColumn="0"/>
            <w:tcW w:w="3135" w:type="dxa"/>
            <w:tcBorders>
              <w:top w:val="nil"/>
              <w:left w:val="nil"/>
              <w:right w:val="nil"/>
            </w:tcBorders>
            <w:shd w:val="clear" w:color="auto" w:fill="auto"/>
            <w:vAlign w:val="center"/>
          </w:tcPr>
          <w:p w:rsidR="00D217FB" w:rsidRPr="00384026" w:rsidRDefault="00D217FB" w:rsidP="00384026">
            <w:pPr>
              <w:ind w:firstLine="0"/>
              <w:jc w:val="left"/>
              <w:rPr>
                <w:rFonts w:ascii="Times New Roman" w:hAnsi="Times New Roman" w:cs="Times New Roman"/>
                <w:color w:val="auto"/>
                <w:sz w:val="16"/>
                <w:szCs w:val="16"/>
              </w:rPr>
            </w:pPr>
            <w:r w:rsidRPr="00384026">
              <w:rPr>
                <w:rFonts w:ascii="Times New Roman" w:hAnsi="Times New Roman" w:cs="Times New Roman"/>
                <w:color w:val="auto"/>
                <w:sz w:val="16"/>
                <w:szCs w:val="16"/>
              </w:rPr>
              <w:t>Location</w:t>
            </w:r>
          </w:p>
        </w:tc>
        <w:tc>
          <w:tcPr>
            <w:tcW w:w="1858" w:type="dxa"/>
            <w:tcBorders>
              <w:top w:val="nil"/>
              <w:left w:val="nil"/>
              <w:right w:val="nil"/>
            </w:tcBorders>
            <w:shd w:val="clear" w:color="auto" w:fill="auto"/>
            <w:vAlign w:val="center"/>
          </w:tcPr>
          <w:p w:rsidR="00D217FB" w:rsidRPr="00384026" w:rsidRDefault="00D217FB" w:rsidP="00384026">
            <w:pPr>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384026">
              <w:rPr>
                <w:rFonts w:ascii="Times New Roman" w:hAnsi="Times New Roman" w:cs="Times New Roman"/>
                <w:color w:val="auto"/>
                <w:sz w:val="16"/>
                <w:szCs w:val="16"/>
              </w:rPr>
              <w:t>Minimum Safety Exclusion Distance</w:t>
            </w:r>
            <w:r>
              <w:rPr>
                <w:rFonts w:ascii="Times New Roman" w:hAnsi="Times New Roman" w:cs="Times New Roman"/>
                <w:color w:val="auto"/>
                <w:sz w:val="16"/>
                <w:szCs w:val="16"/>
              </w:rPr>
              <w:t xml:space="preserve"> </w:t>
            </w:r>
            <w:r w:rsidRPr="00384026">
              <w:rPr>
                <w:rFonts w:ascii="Times New Roman" w:hAnsi="Times New Roman" w:cs="Times New Roman"/>
                <w:color w:val="auto"/>
                <w:sz w:val="16"/>
                <w:szCs w:val="16"/>
              </w:rPr>
              <w:t>(m)</w:t>
            </w:r>
          </w:p>
        </w:tc>
      </w:tr>
      <w:tr w:rsidR="00D217FB" w:rsidRPr="00384026" w:rsidTr="00305637">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1849" w:type="dxa"/>
            <w:tcBorders>
              <w:top w:val="none" w:sz="0" w:space="0" w:color="auto"/>
              <w:left w:val="nil"/>
              <w:bottom w:val="none" w:sz="0" w:space="0" w:color="auto"/>
              <w:right w:val="nil"/>
            </w:tcBorders>
            <w:shd w:val="clear" w:color="auto" w:fill="auto"/>
            <w:vAlign w:val="center"/>
          </w:tcPr>
          <w:p w:rsidR="00D217FB" w:rsidRPr="00384026" w:rsidRDefault="00D217FB" w:rsidP="00384026">
            <w:pPr>
              <w:ind w:firstLine="0"/>
              <w:rPr>
                <w:rFonts w:ascii="Times New Roman" w:hAnsi="Times New Roman" w:cs="Times New Roman"/>
                <w:b w:val="0"/>
                <w:sz w:val="16"/>
                <w:szCs w:val="16"/>
              </w:rPr>
            </w:pPr>
            <w:r w:rsidRPr="00384026">
              <w:rPr>
                <w:rFonts w:ascii="Times New Roman" w:hAnsi="Times New Roman" w:cs="Times New Roman"/>
                <w:b w:val="0"/>
                <w:sz w:val="16"/>
                <w:szCs w:val="16"/>
              </w:rPr>
              <w:t>Ship to Ship Transfer</w:t>
            </w:r>
          </w:p>
        </w:tc>
        <w:tc>
          <w:tcPr>
            <w:cnfStyle w:val="000010000000" w:firstRow="0" w:lastRow="0" w:firstColumn="0" w:lastColumn="0" w:oddVBand="1" w:evenVBand="0" w:oddHBand="0" w:evenHBand="0" w:firstRowFirstColumn="0" w:firstRowLastColumn="0" w:lastRowFirstColumn="0" w:lastRowLastColumn="0"/>
            <w:tcW w:w="3135" w:type="dxa"/>
            <w:tcBorders>
              <w:top w:val="none" w:sz="0" w:space="0" w:color="auto"/>
              <w:left w:val="nil"/>
              <w:bottom w:val="none" w:sz="0" w:space="0" w:color="auto"/>
              <w:right w:val="nil"/>
            </w:tcBorders>
            <w:shd w:val="clear" w:color="auto" w:fill="auto"/>
          </w:tcPr>
          <w:p w:rsidR="00D217FB" w:rsidRPr="00384026" w:rsidRDefault="00D217FB" w:rsidP="00305637">
            <w:pPr>
              <w:ind w:firstLine="0"/>
              <w:rPr>
                <w:rFonts w:ascii="Times New Roman" w:hAnsi="Times New Roman" w:cs="Times New Roman"/>
                <w:sz w:val="16"/>
                <w:szCs w:val="16"/>
              </w:rPr>
            </w:pPr>
            <w:r w:rsidRPr="00384026">
              <w:rPr>
                <w:rFonts w:ascii="Times New Roman" w:hAnsi="Times New Roman" w:cs="Times New Roman"/>
                <w:sz w:val="16"/>
                <w:szCs w:val="16"/>
              </w:rPr>
              <w:t>LNG barge Bunkering Station</w:t>
            </w:r>
            <w:r w:rsidR="00305637">
              <w:rPr>
                <w:rFonts w:ascii="Times New Roman" w:hAnsi="Times New Roman" w:cs="Times New Roman"/>
                <w:sz w:val="16"/>
                <w:szCs w:val="16"/>
              </w:rPr>
              <w:t xml:space="preserve">, </w:t>
            </w:r>
            <w:r w:rsidRPr="00384026">
              <w:rPr>
                <w:rFonts w:ascii="Times New Roman" w:hAnsi="Times New Roman" w:cs="Times New Roman"/>
                <w:sz w:val="16"/>
                <w:szCs w:val="16"/>
              </w:rPr>
              <w:t>LNG transfer hoses</w:t>
            </w:r>
            <w:r w:rsidR="00305637">
              <w:rPr>
                <w:rFonts w:ascii="Times New Roman" w:hAnsi="Times New Roman" w:cs="Times New Roman"/>
                <w:sz w:val="16"/>
                <w:szCs w:val="16"/>
              </w:rPr>
              <w:t xml:space="preserve">, </w:t>
            </w:r>
            <w:r w:rsidRPr="00384026">
              <w:rPr>
                <w:rFonts w:ascii="Times New Roman" w:hAnsi="Times New Roman" w:cs="Times New Roman"/>
                <w:sz w:val="16"/>
                <w:szCs w:val="16"/>
              </w:rPr>
              <w:t>Receiving ship Bunkering Station</w:t>
            </w:r>
          </w:p>
        </w:tc>
        <w:tc>
          <w:tcPr>
            <w:tcW w:w="1858" w:type="dxa"/>
            <w:tcBorders>
              <w:top w:val="none" w:sz="0" w:space="0" w:color="auto"/>
              <w:left w:val="nil"/>
              <w:bottom w:val="none" w:sz="0" w:space="0" w:color="auto"/>
              <w:right w:val="nil"/>
            </w:tcBorders>
            <w:shd w:val="clear" w:color="auto" w:fill="auto"/>
            <w:vAlign w:val="center"/>
          </w:tcPr>
          <w:p w:rsidR="00D217FB" w:rsidRPr="00384026" w:rsidRDefault="00D217FB" w:rsidP="003840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84026">
              <w:rPr>
                <w:rFonts w:ascii="Times New Roman" w:hAnsi="Times New Roman" w:cs="Times New Roman"/>
                <w:sz w:val="16"/>
                <w:szCs w:val="16"/>
              </w:rPr>
              <w:t>11.5</w:t>
            </w:r>
          </w:p>
        </w:tc>
      </w:tr>
      <w:tr w:rsidR="00D217FB" w:rsidRPr="00384026" w:rsidTr="00AB379A">
        <w:trPr>
          <w:trHeight w:val="266"/>
          <w:jc w:val="center"/>
        </w:trPr>
        <w:tc>
          <w:tcPr>
            <w:cnfStyle w:val="001000000000" w:firstRow="0" w:lastRow="0" w:firstColumn="1" w:lastColumn="0" w:oddVBand="0" w:evenVBand="0" w:oddHBand="0" w:evenHBand="0" w:firstRowFirstColumn="0" w:firstRowLastColumn="0" w:lastRowFirstColumn="0" w:lastRowLastColumn="0"/>
            <w:tcW w:w="1849" w:type="dxa"/>
            <w:vMerge w:val="restart"/>
            <w:tcBorders>
              <w:left w:val="nil"/>
              <w:right w:val="nil"/>
            </w:tcBorders>
            <w:shd w:val="clear" w:color="auto" w:fill="auto"/>
          </w:tcPr>
          <w:p w:rsidR="00D217FB" w:rsidRDefault="00D217FB" w:rsidP="00384026">
            <w:pPr>
              <w:ind w:firstLine="0"/>
              <w:rPr>
                <w:rFonts w:ascii="Times New Roman" w:hAnsi="Times New Roman" w:cs="Times New Roman"/>
                <w:b w:val="0"/>
                <w:sz w:val="16"/>
                <w:szCs w:val="16"/>
              </w:rPr>
            </w:pPr>
          </w:p>
          <w:p w:rsidR="002F73E2" w:rsidRDefault="002F73E2" w:rsidP="00384026">
            <w:pPr>
              <w:ind w:firstLine="0"/>
              <w:rPr>
                <w:rFonts w:ascii="Times New Roman" w:hAnsi="Times New Roman" w:cs="Times New Roman"/>
                <w:b w:val="0"/>
                <w:sz w:val="16"/>
                <w:szCs w:val="16"/>
              </w:rPr>
            </w:pPr>
          </w:p>
          <w:p w:rsidR="00D217FB" w:rsidRPr="00384026" w:rsidRDefault="00D217FB" w:rsidP="00384026">
            <w:pPr>
              <w:ind w:firstLine="0"/>
              <w:rPr>
                <w:rFonts w:ascii="Times New Roman" w:hAnsi="Times New Roman" w:cs="Times New Roman"/>
                <w:b w:val="0"/>
                <w:sz w:val="16"/>
                <w:szCs w:val="16"/>
              </w:rPr>
            </w:pPr>
            <w:r w:rsidRPr="00384026">
              <w:rPr>
                <w:rFonts w:ascii="Times New Roman" w:hAnsi="Times New Roman" w:cs="Times New Roman"/>
                <w:b w:val="0"/>
                <w:sz w:val="16"/>
                <w:szCs w:val="16"/>
              </w:rPr>
              <w:t>Truck to Ship Transfer</w:t>
            </w:r>
          </w:p>
        </w:tc>
        <w:tc>
          <w:tcPr>
            <w:cnfStyle w:val="000010000000" w:firstRow="0" w:lastRow="0" w:firstColumn="0" w:lastColumn="0" w:oddVBand="1" w:evenVBand="0" w:oddHBand="0" w:evenHBand="0" w:firstRowFirstColumn="0" w:firstRowLastColumn="0" w:lastRowFirstColumn="0" w:lastRowLastColumn="0"/>
            <w:tcW w:w="3135" w:type="dxa"/>
            <w:tcBorders>
              <w:left w:val="nil"/>
              <w:right w:val="nil"/>
            </w:tcBorders>
            <w:shd w:val="clear" w:color="auto" w:fill="auto"/>
            <w:vAlign w:val="center"/>
          </w:tcPr>
          <w:p w:rsidR="00D217FB" w:rsidRPr="00384026" w:rsidRDefault="00D217FB" w:rsidP="00384026">
            <w:pPr>
              <w:ind w:firstLine="0"/>
              <w:jc w:val="left"/>
              <w:rPr>
                <w:rFonts w:ascii="Times New Roman" w:hAnsi="Times New Roman" w:cs="Times New Roman"/>
                <w:sz w:val="16"/>
                <w:szCs w:val="16"/>
              </w:rPr>
            </w:pPr>
            <w:r w:rsidRPr="00384026">
              <w:rPr>
                <w:rFonts w:ascii="Times New Roman" w:hAnsi="Times New Roman" w:cs="Times New Roman"/>
                <w:sz w:val="16"/>
                <w:szCs w:val="16"/>
              </w:rPr>
              <w:t xml:space="preserve">LNG transfer hoses </w:t>
            </w:r>
            <w:r w:rsidR="00AB379A">
              <w:rPr>
                <w:rFonts w:ascii="Times New Roman" w:hAnsi="Times New Roman" w:cs="Times New Roman"/>
                <w:sz w:val="16"/>
                <w:szCs w:val="16"/>
              </w:rPr>
              <w:t>&amp; Receiving ship</w:t>
            </w:r>
            <w:r w:rsidRPr="00384026">
              <w:rPr>
                <w:rFonts w:ascii="Times New Roman" w:hAnsi="Times New Roman" w:cs="Times New Roman"/>
                <w:sz w:val="16"/>
                <w:szCs w:val="16"/>
              </w:rPr>
              <w:t xml:space="preserve"> Station</w:t>
            </w:r>
          </w:p>
        </w:tc>
        <w:tc>
          <w:tcPr>
            <w:tcW w:w="1858" w:type="dxa"/>
            <w:tcBorders>
              <w:left w:val="nil"/>
              <w:right w:val="nil"/>
            </w:tcBorders>
            <w:shd w:val="clear" w:color="auto" w:fill="auto"/>
            <w:vAlign w:val="center"/>
          </w:tcPr>
          <w:p w:rsidR="00D217FB" w:rsidRPr="00384026" w:rsidRDefault="00D217FB" w:rsidP="003840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84026">
              <w:rPr>
                <w:rFonts w:ascii="Times New Roman" w:hAnsi="Times New Roman" w:cs="Times New Roman"/>
                <w:sz w:val="16"/>
                <w:szCs w:val="16"/>
              </w:rPr>
              <w:t>10</w:t>
            </w:r>
          </w:p>
        </w:tc>
      </w:tr>
      <w:tr w:rsidR="00D217FB" w:rsidRPr="00384026" w:rsidTr="00384026">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1849" w:type="dxa"/>
            <w:vMerge/>
            <w:tcBorders>
              <w:top w:val="none" w:sz="0" w:space="0" w:color="auto"/>
              <w:left w:val="nil"/>
              <w:bottom w:val="none" w:sz="0" w:space="0" w:color="auto"/>
              <w:right w:val="nil"/>
            </w:tcBorders>
            <w:shd w:val="clear" w:color="auto" w:fill="auto"/>
          </w:tcPr>
          <w:p w:rsidR="00D217FB" w:rsidRPr="00384026" w:rsidRDefault="00D217FB" w:rsidP="00384026">
            <w:pPr>
              <w:jc w:val="left"/>
              <w:rPr>
                <w:rFonts w:ascii="Times New Roman" w:hAnsi="Times New Roman" w:cs="Times New Roman"/>
                <w:b w:val="0"/>
                <w:sz w:val="16"/>
                <w:szCs w:val="16"/>
              </w:rPr>
            </w:pPr>
          </w:p>
        </w:tc>
        <w:tc>
          <w:tcPr>
            <w:cnfStyle w:val="000010000000" w:firstRow="0" w:lastRow="0" w:firstColumn="0" w:lastColumn="0" w:oddVBand="1" w:evenVBand="0" w:oddHBand="0" w:evenHBand="0" w:firstRowFirstColumn="0" w:firstRowLastColumn="0" w:lastRowFirstColumn="0" w:lastRowLastColumn="0"/>
            <w:tcW w:w="3135" w:type="dxa"/>
            <w:tcBorders>
              <w:top w:val="none" w:sz="0" w:space="0" w:color="auto"/>
              <w:left w:val="nil"/>
              <w:bottom w:val="none" w:sz="0" w:space="0" w:color="auto"/>
              <w:right w:val="nil"/>
            </w:tcBorders>
            <w:shd w:val="clear" w:color="auto" w:fill="auto"/>
            <w:vAlign w:val="center"/>
          </w:tcPr>
          <w:p w:rsidR="00D217FB" w:rsidRPr="00384026" w:rsidRDefault="00D217FB" w:rsidP="00384026">
            <w:pPr>
              <w:ind w:firstLine="0"/>
              <w:jc w:val="left"/>
              <w:rPr>
                <w:rFonts w:ascii="Times New Roman" w:hAnsi="Times New Roman" w:cs="Times New Roman"/>
                <w:sz w:val="16"/>
                <w:szCs w:val="16"/>
              </w:rPr>
            </w:pPr>
            <w:r w:rsidRPr="00384026">
              <w:rPr>
                <w:rFonts w:ascii="Times New Roman" w:hAnsi="Times New Roman" w:cs="Times New Roman"/>
                <w:sz w:val="16"/>
                <w:szCs w:val="16"/>
              </w:rPr>
              <w:t xml:space="preserve">LNG Truck Bunkering Station and hose close to ground level </w:t>
            </w:r>
          </w:p>
        </w:tc>
        <w:tc>
          <w:tcPr>
            <w:tcW w:w="1858" w:type="dxa"/>
            <w:tcBorders>
              <w:top w:val="none" w:sz="0" w:space="0" w:color="auto"/>
              <w:left w:val="nil"/>
              <w:bottom w:val="none" w:sz="0" w:space="0" w:color="auto"/>
              <w:right w:val="nil"/>
            </w:tcBorders>
            <w:shd w:val="clear" w:color="auto" w:fill="auto"/>
            <w:vAlign w:val="center"/>
          </w:tcPr>
          <w:p w:rsidR="00D217FB" w:rsidRPr="00384026" w:rsidRDefault="00D217FB" w:rsidP="003840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84026">
              <w:rPr>
                <w:rFonts w:ascii="Times New Roman" w:hAnsi="Times New Roman" w:cs="Times New Roman"/>
                <w:sz w:val="16"/>
                <w:szCs w:val="16"/>
              </w:rPr>
              <w:t>22</w:t>
            </w:r>
          </w:p>
        </w:tc>
      </w:tr>
      <w:tr w:rsidR="00D217FB" w:rsidRPr="00384026" w:rsidTr="00384026">
        <w:trPr>
          <w:trHeight w:val="211"/>
          <w:jc w:val="center"/>
        </w:trPr>
        <w:tc>
          <w:tcPr>
            <w:cnfStyle w:val="001000000000" w:firstRow="0" w:lastRow="0" w:firstColumn="1" w:lastColumn="0" w:oddVBand="0" w:evenVBand="0" w:oddHBand="0" w:evenHBand="0" w:firstRowFirstColumn="0" w:firstRowLastColumn="0" w:lastRowFirstColumn="0" w:lastRowLastColumn="0"/>
            <w:tcW w:w="1849" w:type="dxa"/>
            <w:tcBorders>
              <w:left w:val="nil"/>
              <w:right w:val="nil"/>
            </w:tcBorders>
            <w:shd w:val="clear" w:color="auto" w:fill="auto"/>
          </w:tcPr>
          <w:p w:rsidR="00D217FB" w:rsidRPr="00384026" w:rsidRDefault="00D217FB" w:rsidP="00384026">
            <w:pPr>
              <w:ind w:firstLine="0"/>
              <w:jc w:val="left"/>
              <w:rPr>
                <w:rFonts w:ascii="Times New Roman" w:hAnsi="Times New Roman" w:cs="Times New Roman"/>
                <w:b w:val="0"/>
                <w:sz w:val="16"/>
                <w:szCs w:val="16"/>
              </w:rPr>
            </w:pPr>
            <w:r w:rsidRPr="00384026">
              <w:rPr>
                <w:rFonts w:ascii="Times New Roman" w:hAnsi="Times New Roman" w:cs="Times New Roman"/>
                <w:b w:val="0"/>
                <w:sz w:val="16"/>
                <w:szCs w:val="16"/>
              </w:rPr>
              <w:t>Relief and venting</w:t>
            </w:r>
          </w:p>
        </w:tc>
        <w:tc>
          <w:tcPr>
            <w:cnfStyle w:val="000010000000" w:firstRow="0" w:lastRow="0" w:firstColumn="0" w:lastColumn="0" w:oddVBand="1" w:evenVBand="0" w:oddHBand="0" w:evenHBand="0" w:firstRowFirstColumn="0" w:firstRowLastColumn="0" w:lastRowFirstColumn="0" w:lastRowLastColumn="0"/>
            <w:tcW w:w="3135" w:type="dxa"/>
            <w:tcBorders>
              <w:left w:val="nil"/>
              <w:bottom w:val="none" w:sz="0" w:space="0" w:color="auto"/>
              <w:right w:val="nil"/>
            </w:tcBorders>
            <w:shd w:val="clear" w:color="auto" w:fill="auto"/>
            <w:vAlign w:val="center"/>
          </w:tcPr>
          <w:p w:rsidR="00D217FB" w:rsidRPr="00384026" w:rsidRDefault="00D217FB" w:rsidP="00384026">
            <w:pPr>
              <w:ind w:firstLine="0"/>
              <w:jc w:val="left"/>
              <w:rPr>
                <w:rFonts w:ascii="Times New Roman" w:hAnsi="Times New Roman" w:cs="Times New Roman"/>
                <w:sz w:val="16"/>
                <w:szCs w:val="16"/>
              </w:rPr>
            </w:pPr>
            <w:r w:rsidRPr="00384026">
              <w:rPr>
                <w:rFonts w:ascii="Times New Roman" w:hAnsi="Times New Roman" w:cs="Times New Roman"/>
                <w:sz w:val="16"/>
                <w:szCs w:val="16"/>
              </w:rPr>
              <w:t>Vent Mast Tip</w:t>
            </w:r>
          </w:p>
        </w:tc>
        <w:tc>
          <w:tcPr>
            <w:tcW w:w="1858" w:type="dxa"/>
            <w:tcBorders>
              <w:left w:val="nil"/>
              <w:right w:val="nil"/>
            </w:tcBorders>
            <w:shd w:val="clear" w:color="auto" w:fill="auto"/>
            <w:vAlign w:val="center"/>
          </w:tcPr>
          <w:p w:rsidR="00D217FB" w:rsidRPr="00384026" w:rsidRDefault="00D217FB" w:rsidP="003840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84026">
              <w:rPr>
                <w:rFonts w:ascii="Times New Roman" w:hAnsi="Times New Roman" w:cs="Times New Roman"/>
                <w:sz w:val="16"/>
                <w:szCs w:val="16"/>
              </w:rPr>
              <w:t>5m</w:t>
            </w:r>
          </w:p>
        </w:tc>
      </w:tr>
    </w:tbl>
    <w:p w:rsidR="007E2128" w:rsidRDefault="007E2128" w:rsidP="007E2128">
      <w:pPr>
        <w:pStyle w:val="Heading2"/>
        <w:rPr>
          <w:lang w:eastAsia="en-US"/>
        </w:rPr>
      </w:pPr>
      <w:r>
        <w:rPr>
          <w:lang w:eastAsia="en-US"/>
        </w:rPr>
        <w:lastRenderedPageBreak/>
        <w:t>Navigation Simulations</w:t>
      </w:r>
    </w:p>
    <w:p w:rsidR="008C52D1" w:rsidRDefault="00851365" w:rsidP="00AB379A">
      <w:pPr>
        <w:ind w:firstLine="0"/>
        <w:rPr>
          <w:szCs w:val="20"/>
        </w:rPr>
      </w:pPr>
      <w:r>
        <w:rPr>
          <w:szCs w:val="20"/>
        </w:rPr>
        <w:t xml:space="preserve">Among the aims of the Navigation Simulation workshop </w:t>
      </w:r>
      <w:r w:rsidR="00F874DF">
        <w:rPr>
          <w:szCs w:val="20"/>
        </w:rPr>
        <w:t>is</w:t>
      </w:r>
      <w:r>
        <w:rPr>
          <w:szCs w:val="20"/>
        </w:rPr>
        <w:t xml:space="preserve"> the verification of the following aspects</w:t>
      </w:r>
      <w:r w:rsidR="00FC2F05">
        <w:rPr>
          <w:szCs w:val="20"/>
        </w:rPr>
        <w:t xml:space="preserve"> for the port of Patras</w:t>
      </w:r>
      <w:r>
        <w:rPr>
          <w:szCs w:val="20"/>
        </w:rPr>
        <w:t>:</w:t>
      </w:r>
      <w:r w:rsidR="00F874DF">
        <w:rPr>
          <w:szCs w:val="20"/>
        </w:rPr>
        <w:t xml:space="preserve"> </w:t>
      </w:r>
      <w:r w:rsidRPr="00F874DF">
        <w:rPr>
          <w:szCs w:val="20"/>
        </w:rPr>
        <w:t xml:space="preserve">the safe passage of LNG barge and feeder vessels from Revithoussa to </w:t>
      </w:r>
      <w:r>
        <w:t>Patras</w:t>
      </w:r>
      <w:r w:rsidR="005976CD">
        <w:t xml:space="preserve"> small scale LNG infrastructure</w:t>
      </w:r>
      <w:r w:rsidR="00F874DF">
        <w:rPr>
          <w:szCs w:val="20"/>
        </w:rPr>
        <w:t xml:space="preserve">, </w:t>
      </w:r>
      <w:r w:rsidRPr="00F874DF">
        <w:rPr>
          <w:szCs w:val="20"/>
        </w:rPr>
        <w:t xml:space="preserve">the safe manoeuvre of </w:t>
      </w:r>
      <w:r>
        <w:t xml:space="preserve">a </w:t>
      </w:r>
      <w:r w:rsidRPr="00F874DF">
        <w:rPr>
          <w:szCs w:val="20"/>
        </w:rPr>
        <w:t xml:space="preserve">feeder vessel and </w:t>
      </w:r>
      <w:r>
        <w:t xml:space="preserve">a </w:t>
      </w:r>
      <w:r w:rsidRPr="00F874DF">
        <w:rPr>
          <w:szCs w:val="20"/>
        </w:rPr>
        <w:t>barge for berthing alongsi</w:t>
      </w:r>
      <w:r w:rsidR="00F874DF">
        <w:rPr>
          <w:szCs w:val="20"/>
        </w:rPr>
        <w:t xml:space="preserve">de, bunkering at Port of Patras, </w:t>
      </w:r>
      <w:r w:rsidRPr="00F874DF">
        <w:rPr>
          <w:szCs w:val="20"/>
        </w:rPr>
        <w:t xml:space="preserve">the number and size of tugs </w:t>
      </w:r>
      <w:r>
        <w:t xml:space="preserve">that </w:t>
      </w:r>
      <w:r w:rsidRPr="00F874DF">
        <w:rPr>
          <w:szCs w:val="20"/>
        </w:rPr>
        <w:t xml:space="preserve">maybe required and </w:t>
      </w:r>
      <w:r>
        <w:t>the identification of</w:t>
      </w:r>
      <w:r w:rsidRPr="00F874DF">
        <w:rPr>
          <w:szCs w:val="20"/>
        </w:rPr>
        <w:t xml:space="preserve"> appropriate emergency procedures. </w:t>
      </w:r>
      <w:r w:rsidR="00DD232D">
        <w:rPr>
          <w:rFonts w:eastAsia="Calibri"/>
          <w:szCs w:val="20"/>
        </w:rPr>
        <w:t>The exercise involves a workshop and p</w:t>
      </w:r>
      <w:r w:rsidRPr="00023B71">
        <w:rPr>
          <w:rFonts w:eastAsia="Calibri"/>
          <w:szCs w:val="20"/>
        </w:rPr>
        <w:t>articipation</w:t>
      </w:r>
      <w:r w:rsidR="00F874DF">
        <w:rPr>
          <w:rFonts w:eastAsia="Calibri"/>
          <w:szCs w:val="20"/>
        </w:rPr>
        <w:t xml:space="preserve"> to </w:t>
      </w:r>
      <w:r w:rsidR="00DD232D">
        <w:rPr>
          <w:rFonts w:eastAsia="Calibri"/>
          <w:szCs w:val="20"/>
        </w:rPr>
        <w:t>it</w:t>
      </w:r>
      <w:r w:rsidRPr="000B0814">
        <w:rPr>
          <w:rFonts w:eastAsia="Calibri"/>
          <w:szCs w:val="20"/>
        </w:rPr>
        <w:t xml:space="preserve"> included specialists </w:t>
      </w:r>
      <w:r>
        <w:rPr>
          <w:rFonts w:eastAsia="Calibri"/>
          <w:szCs w:val="20"/>
        </w:rPr>
        <w:t xml:space="preserve">from </w:t>
      </w:r>
      <w:r w:rsidR="00DD232D">
        <w:rPr>
          <w:rFonts w:eastAsia="Calibri"/>
          <w:szCs w:val="20"/>
        </w:rPr>
        <w:t>LR</w:t>
      </w:r>
      <w:r>
        <w:rPr>
          <w:rFonts w:eastAsia="Calibri"/>
          <w:szCs w:val="20"/>
        </w:rPr>
        <w:t xml:space="preserve">, BMT who employed the </w:t>
      </w:r>
      <w:r w:rsidRPr="00F874DF">
        <w:rPr>
          <w:szCs w:val="20"/>
        </w:rPr>
        <w:t xml:space="preserve">REMBRANDT </w:t>
      </w:r>
      <w:r w:rsidRPr="00F874DF">
        <w:rPr>
          <w:rFonts w:eastAsia="Calibri"/>
          <w:szCs w:val="20"/>
        </w:rPr>
        <w:t>software</w:t>
      </w:r>
      <w:r w:rsidRPr="000B0814">
        <w:rPr>
          <w:rFonts w:eastAsia="Calibri"/>
          <w:szCs w:val="20"/>
        </w:rPr>
        <w:t>, port pilots, as well as key partners and relevant stakeholders</w:t>
      </w:r>
      <w:r>
        <w:rPr>
          <w:rFonts w:eastAsia="Calibri"/>
          <w:szCs w:val="20"/>
        </w:rPr>
        <w:t xml:space="preserve">. </w:t>
      </w:r>
      <w:r w:rsidRPr="000B0814">
        <w:rPr>
          <w:szCs w:val="20"/>
        </w:rPr>
        <w:t xml:space="preserve">The official Greek Hydrographic Office S-57 </w:t>
      </w:r>
      <w:r w:rsidRPr="00F874DF">
        <w:rPr>
          <w:szCs w:val="20"/>
        </w:rPr>
        <w:t>electronic chart was</w:t>
      </w:r>
      <w:r w:rsidRPr="000B0814">
        <w:rPr>
          <w:szCs w:val="20"/>
        </w:rPr>
        <w:t xml:space="preserve"> used for the simulations</w:t>
      </w:r>
      <w:r>
        <w:rPr>
          <w:szCs w:val="20"/>
        </w:rPr>
        <w:t xml:space="preserve"> whereas w</w:t>
      </w:r>
      <w:r w:rsidRPr="000B0814">
        <w:rPr>
          <w:szCs w:val="20"/>
        </w:rPr>
        <w:t>ind, wave and current data was based on input from the port’s pilot representatives.</w:t>
      </w:r>
      <w:r>
        <w:rPr>
          <w:szCs w:val="20"/>
        </w:rPr>
        <w:t xml:space="preserve"> </w:t>
      </w:r>
      <w:r>
        <w:rPr>
          <w:rFonts w:eastAsia="Calibri"/>
          <w:szCs w:val="20"/>
        </w:rPr>
        <w:t xml:space="preserve">Simulations were </w:t>
      </w:r>
      <w:r w:rsidRPr="000B0814">
        <w:rPr>
          <w:szCs w:val="20"/>
        </w:rPr>
        <w:t xml:space="preserve">conducted by a Pilot </w:t>
      </w:r>
      <w:r>
        <w:rPr>
          <w:szCs w:val="20"/>
        </w:rPr>
        <w:t xml:space="preserve">who controlled the vessel directly and had access to real time information, namely an </w:t>
      </w:r>
      <w:r w:rsidRPr="000B0814">
        <w:rPr>
          <w:szCs w:val="20"/>
        </w:rPr>
        <w:t>electronic chart view (ECDIS) sho</w:t>
      </w:r>
      <w:r>
        <w:rPr>
          <w:szCs w:val="20"/>
        </w:rPr>
        <w:t xml:space="preserve">wing the position of the vessel, </w:t>
      </w:r>
      <w:r w:rsidRPr="000B0814">
        <w:rPr>
          <w:szCs w:val="20"/>
        </w:rPr>
        <w:t>turning circles and exclusion zones</w:t>
      </w:r>
      <w:r>
        <w:rPr>
          <w:szCs w:val="20"/>
        </w:rPr>
        <w:t xml:space="preserve">, </w:t>
      </w:r>
      <w:r w:rsidRPr="00736FC9">
        <w:rPr>
          <w:szCs w:val="20"/>
        </w:rPr>
        <w:t>a</w:t>
      </w:r>
      <w:r>
        <w:rPr>
          <w:szCs w:val="20"/>
        </w:rPr>
        <w:t xml:space="preserve"> 3D view from the ship’s bridge, </w:t>
      </w:r>
      <w:r w:rsidRPr="00736FC9">
        <w:rPr>
          <w:szCs w:val="20"/>
        </w:rPr>
        <w:t>vessel</w:t>
      </w:r>
      <w:r>
        <w:rPr>
          <w:szCs w:val="20"/>
        </w:rPr>
        <w:t>’s</w:t>
      </w:r>
      <w:r w:rsidR="00AB379A">
        <w:rPr>
          <w:szCs w:val="20"/>
        </w:rPr>
        <w:t xml:space="preserve"> speed</w:t>
      </w:r>
      <w:r w:rsidRPr="00736FC9">
        <w:rPr>
          <w:szCs w:val="20"/>
        </w:rPr>
        <w:t>, hea</w:t>
      </w:r>
      <w:r>
        <w:rPr>
          <w:szCs w:val="20"/>
        </w:rPr>
        <w:t>ding and course over the ground;</w:t>
      </w:r>
      <w:r w:rsidRPr="00736FC9">
        <w:rPr>
          <w:szCs w:val="20"/>
        </w:rPr>
        <w:t xml:space="preserve"> depth profile and engine/rudder values</w:t>
      </w:r>
      <w:r>
        <w:rPr>
          <w:szCs w:val="20"/>
        </w:rPr>
        <w:t xml:space="preserve"> and finally the </w:t>
      </w:r>
      <w:r w:rsidR="00AB379A">
        <w:rPr>
          <w:szCs w:val="20"/>
        </w:rPr>
        <w:t>position and %</w:t>
      </w:r>
      <w:r w:rsidRPr="000B0814">
        <w:rPr>
          <w:szCs w:val="20"/>
        </w:rPr>
        <w:t xml:space="preserve"> of power usage for each tug</w:t>
      </w:r>
      <w:r>
        <w:rPr>
          <w:szCs w:val="20"/>
        </w:rPr>
        <w:t>.</w:t>
      </w:r>
    </w:p>
    <w:p w:rsidR="00851365" w:rsidRPr="00696203" w:rsidRDefault="00851365" w:rsidP="00CE47AA">
      <w:pPr>
        <w:rPr>
          <w:szCs w:val="20"/>
        </w:rPr>
      </w:pPr>
      <w:r>
        <w:rPr>
          <w:szCs w:val="20"/>
        </w:rPr>
        <w:t>For the exercise</w:t>
      </w:r>
      <w:r w:rsidR="003F0096">
        <w:rPr>
          <w:szCs w:val="20"/>
        </w:rPr>
        <w:t>,</w:t>
      </w:r>
      <w:r>
        <w:rPr>
          <w:szCs w:val="20"/>
        </w:rPr>
        <w:t xml:space="preserve"> </w:t>
      </w:r>
      <w:r w:rsidRPr="000B0814">
        <w:rPr>
          <w:szCs w:val="20"/>
        </w:rPr>
        <w:t>a</w:t>
      </w:r>
      <w:r>
        <w:rPr>
          <w:szCs w:val="20"/>
        </w:rPr>
        <w:t>n</w:t>
      </w:r>
      <w:r w:rsidRPr="000B0814">
        <w:rPr>
          <w:szCs w:val="20"/>
        </w:rPr>
        <w:t xml:space="preserve"> LNG Bunker Barge and a slightly larger LNG Feeder Tanker</w:t>
      </w:r>
      <w:r>
        <w:rPr>
          <w:szCs w:val="20"/>
        </w:rPr>
        <w:t xml:space="preserve"> were modelled. </w:t>
      </w:r>
      <w:r w:rsidRPr="000B0814">
        <w:rPr>
          <w:szCs w:val="20"/>
        </w:rPr>
        <w:t>In addition to the arrival, d</w:t>
      </w:r>
      <w:r>
        <w:t>eparture and berthing alongside, passage scenarios</w:t>
      </w:r>
      <w:r w:rsidRPr="000B0814">
        <w:rPr>
          <w:szCs w:val="20"/>
        </w:rPr>
        <w:t xml:space="preserve"> for feeder tanker and bunker barge </w:t>
      </w:r>
      <w:r>
        <w:t xml:space="preserve">were assessed. </w:t>
      </w:r>
      <w:r w:rsidRPr="000B0814">
        <w:rPr>
          <w:szCs w:val="20"/>
        </w:rPr>
        <w:t xml:space="preserve">Emergency response scenarios </w:t>
      </w:r>
      <w:r>
        <w:t xml:space="preserve">were also </w:t>
      </w:r>
      <w:r w:rsidRPr="000B0814">
        <w:rPr>
          <w:szCs w:val="20"/>
        </w:rPr>
        <w:t>simulated</w:t>
      </w:r>
      <w:r>
        <w:t>, as well as</w:t>
      </w:r>
      <w:r w:rsidRPr="000B0814">
        <w:rPr>
          <w:szCs w:val="20"/>
        </w:rPr>
        <w:t xml:space="preserve"> feeder </w:t>
      </w:r>
      <w:r>
        <w:t>vessel blackout and stuck rudd</w:t>
      </w:r>
      <w:r w:rsidR="003F0096">
        <w:t>er, also through w</w:t>
      </w:r>
      <w:r w:rsidRPr="000B0814">
        <w:rPr>
          <w:szCs w:val="20"/>
        </w:rPr>
        <w:t xml:space="preserve">orst case </w:t>
      </w:r>
      <w:r>
        <w:t xml:space="preserve">weather </w:t>
      </w:r>
      <w:r w:rsidRPr="000B0814">
        <w:rPr>
          <w:szCs w:val="20"/>
        </w:rPr>
        <w:t>conditions</w:t>
      </w:r>
      <w:r w:rsidR="003F0096">
        <w:rPr>
          <w:szCs w:val="20"/>
        </w:rPr>
        <w:t>.</w:t>
      </w:r>
      <w:r w:rsidR="00CE47AA">
        <w:rPr>
          <w:szCs w:val="20"/>
        </w:rPr>
        <w:t xml:space="preserve"> </w:t>
      </w:r>
      <w:r>
        <w:rPr>
          <w:rFonts w:eastAsia="Calibri"/>
          <w:szCs w:val="20"/>
        </w:rPr>
        <w:t xml:space="preserve">A total of fourteen run reports were presented with the help of a qualitative grading matrix </w:t>
      </w:r>
      <w:r w:rsidR="00ED0062">
        <w:rPr>
          <w:rFonts w:eastAsia="Calibri"/>
          <w:szCs w:val="20"/>
        </w:rPr>
        <w:t xml:space="preserve">(shown in Figure </w:t>
      </w:r>
      <w:r w:rsidR="00CA6AE3">
        <w:rPr>
          <w:rFonts w:eastAsia="Calibri"/>
          <w:szCs w:val="20"/>
        </w:rPr>
        <w:t>7</w:t>
      </w:r>
      <w:r w:rsidR="00ED0062">
        <w:rPr>
          <w:rFonts w:eastAsia="Calibri"/>
          <w:szCs w:val="20"/>
        </w:rPr>
        <w:t xml:space="preserve">) </w:t>
      </w:r>
      <w:r>
        <w:rPr>
          <w:rFonts w:eastAsia="Calibri"/>
          <w:szCs w:val="20"/>
        </w:rPr>
        <w:t xml:space="preserve">that demonstrates the grade of difficulty for each run </w:t>
      </w:r>
      <w:r w:rsidRPr="000B0814">
        <w:rPr>
          <w:rFonts w:eastAsia="Calibri"/>
          <w:szCs w:val="20"/>
        </w:rPr>
        <w:t>as a means of comparison for the study.</w:t>
      </w:r>
    </w:p>
    <w:p w:rsidR="00851365" w:rsidRDefault="00851365" w:rsidP="00851365">
      <w:pPr>
        <w:rPr>
          <w:rFonts w:eastAsia="Calibri"/>
          <w:szCs w:val="20"/>
        </w:rPr>
      </w:pPr>
    </w:p>
    <w:p w:rsidR="00851365" w:rsidRPr="00F84DBA" w:rsidRDefault="00851365" w:rsidP="00F84DBA">
      <w:pPr>
        <w:ind w:firstLine="0"/>
        <w:rPr>
          <w:rFonts w:eastAsia="Calibri"/>
          <w:szCs w:val="20"/>
        </w:rPr>
      </w:pPr>
      <w:r>
        <w:rPr>
          <w:rFonts w:eastAsia="Calibri"/>
          <w:noProof/>
          <w:szCs w:val="20"/>
          <w:lang w:val="en-GB" w:eastAsia="en-GB"/>
        </w:rPr>
        <w:drawing>
          <wp:inline distT="0" distB="0" distL="0" distR="0" wp14:anchorId="16C53783" wp14:editId="26EF61C0">
            <wp:extent cx="4464685" cy="224155"/>
            <wp:effectExtent l="0" t="0" r="0" b="444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64685" cy="224155"/>
                    </a:xfrm>
                    <a:prstGeom prst="rect">
                      <a:avLst/>
                    </a:prstGeom>
                  </pic:spPr>
                </pic:pic>
              </a:graphicData>
            </a:graphic>
          </wp:inline>
        </w:drawing>
      </w:r>
    </w:p>
    <w:p w:rsidR="008C52D1" w:rsidRDefault="00ED0062" w:rsidP="004316C8">
      <w:pPr>
        <w:pStyle w:val="CaptionShort"/>
        <w:rPr>
          <w:szCs w:val="20"/>
        </w:rPr>
      </w:pPr>
      <w:r w:rsidRPr="00E32ED7">
        <w:rPr>
          <w:b/>
        </w:rPr>
        <w:t xml:space="preserve">Figure </w:t>
      </w:r>
      <w:r w:rsidR="00CA6AE3">
        <w:rPr>
          <w:b/>
        </w:rPr>
        <w:t>7</w:t>
      </w:r>
      <w:r>
        <w:rPr>
          <w:b/>
        </w:rPr>
        <w:t>:</w:t>
      </w:r>
      <w:r w:rsidRPr="00E32ED7">
        <w:rPr>
          <w:b/>
        </w:rPr>
        <w:t xml:space="preserve"> </w:t>
      </w:r>
      <w:r>
        <w:t xml:space="preserve">Qualitative grading matrix for navigation simulation run reports </w:t>
      </w:r>
    </w:p>
    <w:p w:rsidR="00851365" w:rsidRPr="00A04F4E" w:rsidRDefault="00851365" w:rsidP="00A04F4E">
      <w:pPr>
        <w:rPr>
          <w:szCs w:val="20"/>
        </w:rPr>
      </w:pPr>
      <w:r>
        <w:rPr>
          <w:szCs w:val="20"/>
        </w:rPr>
        <w:t>Drawing from the r</w:t>
      </w:r>
      <w:r w:rsidRPr="000B0814">
        <w:rPr>
          <w:szCs w:val="20"/>
        </w:rPr>
        <w:t xml:space="preserve">esults of the </w:t>
      </w:r>
      <w:r w:rsidR="00A04F4E" w:rsidRPr="000B0814">
        <w:rPr>
          <w:szCs w:val="20"/>
        </w:rPr>
        <w:t>maneuvering</w:t>
      </w:r>
      <w:r w:rsidRPr="000B0814">
        <w:rPr>
          <w:szCs w:val="20"/>
        </w:rPr>
        <w:t xml:space="preserve"> simulations the following </w:t>
      </w:r>
      <w:r w:rsidRPr="00A04F4E">
        <w:rPr>
          <w:szCs w:val="20"/>
        </w:rPr>
        <w:t>conclusions were</w:t>
      </w:r>
      <w:r w:rsidRPr="000B0814">
        <w:rPr>
          <w:szCs w:val="20"/>
        </w:rPr>
        <w:t xml:space="preserve"> made:</w:t>
      </w:r>
      <w:r w:rsidR="00A04F4E">
        <w:rPr>
          <w:szCs w:val="20"/>
        </w:rPr>
        <w:t xml:space="preserve"> </w:t>
      </w:r>
      <w:r w:rsidR="00A04F4E" w:rsidRPr="00EA306A">
        <w:t>M</w:t>
      </w:r>
      <w:r w:rsidR="00A04F4E" w:rsidRPr="00A04F4E">
        <w:rPr>
          <w:szCs w:val="20"/>
        </w:rPr>
        <w:t>aneuvering</w:t>
      </w:r>
      <w:r w:rsidRPr="00EA306A">
        <w:t xml:space="preserve"> operations</w:t>
      </w:r>
      <w:r w:rsidRPr="00A04F4E">
        <w:rPr>
          <w:szCs w:val="20"/>
        </w:rPr>
        <w:t xml:space="preserve"> of LNG feeder vessel and LNG barge in and around the port did not </w:t>
      </w:r>
      <w:r w:rsidRPr="00EA306A">
        <w:t xml:space="preserve">pose any significant problems. </w:t>
      </w:r>
      <w:r w:rsidRPr="00A04F4E">
        <w:rPr>
          <w:szCs w:val="20"/>
        </w:rPr>
        <w:t>However significant difficulties were experienced in wind speeds above 30 knots</w:t>
      </w:r>
      <w:r w:rsidRPr="00EA306A">
        <w:t xml:space="preserve"> where the presence </w:t>
      </w:r>
      <w:r w:rsidR="00A04F4E">
        <w:t>of two tugs was deemed critical;</w:t>
      </w:r>
      <w:r w:rsidRPr="00EA306A">
        <w:t xml:space="preserve"> </w:t>
      </w:r>
      <w:r>
        <w:t>E</w:t>
      </w:r>
      <w:r w:rsidRPr="00A04F4E">
        <w:rPr>
          <w:szCs w:val="20"/>
        </w:rPr>
        <w:t xml:space="preserve">xisting </w:t>
      </w:r>
      <w:r>
        <w:t xml:space="preserve">operating tugs </w:t>
      </w:r>
      <w:r w:rsidRPr="00A04F4E">
        <w:rPr>
          <w:szCs w:val="20"/>
        </w:rPr>
        <w:t>have sufficient bollard pull to support</w:t>
      </w:r>
      <w:r>
        <w:t xml:space="preserve"> </w:t>
      </w:r>
      <w:r w:rsidRPr="00A04F4E">
        <w:rPr>
          <w:szCs w:val="20"/>
        </w:rPr>
        <w:t xml:space="preserve">feeding vessel </w:t>
      </w:r>
      <w:r w:rsidR="00A04F4E" w:rsidRPr="00A04F4E">
        <w:rPr>
          <w:szCs w:val="20"/>
        </w:rPr>
        <w:t>maneuvering</w:t>
      </w:r>
      <w:r w:rsidRPr="00A04F4E">
        <w:rPr>
          <w:szCs w:val="20"/>
        </w:rPr>
        <w:t xml:space="preserve"> in the port during simulated emergency procedures</w:t>
      </w:r>
      <w:r>
        <w:t xml:space="preserve"> and </w:t>
      </w:r>
      <w:r w:rsidRPr="00A04F4E">
        <w:rPr>
          <w:szCs w:val="20"/>
        </w:rPr>
        <w:t>berthing / un-berthing operation</w:t>
      </w:r>
      <w:r>
        <w:t>s</w:t>
      </w:r>
      <w:r w:rsidRPr="00A04F4E">
        <w:rPr>
          <w:szCs w:val="20"/>
        </w:rPr>
        <w:t xml:space="preserve"> </w:t>
      </w:r>
      <w:r>
        <w:t>under</w:t>
      </w:r>
      <w:r w:rsidRPr="00A04F4E">
        <w:rPr>
          <w:szCs w:val="20"/>
        </w:rPr>
        <w:t xml:space="preserve"> all investi</w:t>
      </w:r>
      <w:r w:rsidR="00A04F4E">
        <w:rPr>
          <w:szCs w:val="20"/>
        </w:rPr>
        <w:t>gated meteorological conditions</w:t>
      </w:r>
      <w:r w:rsidR="002F3D54">
        <w:rPr>
          <w:szCs w:val="20"/>
        </w:rPr>
        <w:t xml:space="preserve"> </w:t>
      </w:r>
      <w:r w:rsidRPr="00086591">
        <w:t>and exit from the port</w:t>
      </w:r>
      <w:r w:rsidRPr="00A04F4E">
        <w:rPr>
          <w:szCs w:val="20"/>
        </w:rPr>
        <w:t xml:space="preserve"> </w:t>
      </w:r>
      <w:r w:rsidRPr="00086591">
        <w:t xml:space="preserve">for </w:t>
      </w:r>
      <w:r w:rsidRPr="00A04F4E">
        <w:rPr>
          <w:szCs w:val="20"/>
        </w:rPr>
        <w:t xml:space="preserve">the LNG Feeder and barge </w:t>
      </w:r>
      <w:r w:rsidRPr="00086591">
        <w:t xml:space="preserve">and also during bunkering operations. </w:t>
      </w:r>
    </w:p>
    <w:p w:rsidR="007E2128" w:rsidRDefault="007E2128" w:rsidP="007E2128">
      <w:pPr>
        <w:pStyle w:val="Heading1"/>
        <w:rPr>
          <w:lang w:eastAsia="en-US"/>
        </w:rPr>
      </w:pPr>
      <w:r>
        <w:rPr>
          <w:lang w:eastAsia="en-US"/>
        </w:rPr>
        <w:t>A light on the regulatory aspects</w:t>
      </w:r>
    </w:p>
    <w:p w:rsidR="00AC104F" w:rsidRDefault="00AC104F" w:rsidP="00AC104F">
      <w:pPr>
        <w:ind w:firstLine="0"/>
      </w:pPr>
      <w:r>
        <w:t xml:space="preserve">Looking at the pillars of a regulatory framework, one can consider </w:t>
      </w:r>
      <w:r w:rsidR="00DD057A">
        <w:t xml:space="preserve">it </w:t>
      </w:r>
      <w:r>
        <w:t>from an international, national and local point of view.</w:t>
      </w:r>
    </w:p>
    <w:p w:rsidR="007E2128" w:rsidRDefault="006F4235" w:rsidP="00AC104F">
      <w:r>
        <w:t>At an international level, k</w:t>
      </w:r>
      <w:r w:rsidR="00AC104F" w:rsidRPr="00AC104F">
        <w:t>ey role and with a heavy regulatory impact this decade mainly</w:t>
      </w:r>
      <w:r w:rsidR="00AC104F">
        <w:t xml:space="preserve"> play</w:t>
      </w:r>
      <w:r w:rsidR="00AC104F" w:rsidRPr="00AC104F">
        <w:t xml:space="preserve"> Sulphur oxides (SOx), Nitrous oxides (NOx), Greenhouse Gases (in particular CO</w:t>
      </w:r>
      <w:r w:rsidR="00AC104F" w:rsidRPr="004316C8">
        <w:rPr>
          <w:vertAlign w:val="subscript"/>
        </w:rPr>
        <w:t>2</w:t>
      </w:r>
      <w:r w:rsidR="00AC104F" w:rsidRPr="00AC104F">
        <w:t xml:space="preserve">) and Ballast Water Management (BWM). Shipping emissions have been internationally regulated by IMO (International Maritime Organisation) </w:t>
      </w:r>
      <w:r w:rsidR="004D40B3">
        <w:t xml:space="preserve">and </w:t>
      </w:r>
      <w:r w:rsidR="00DD057A">
        <w:t xml:space="preserve">global emission levels are </w:t>
      </w:r>
      <w:r w:rsidR="00AC104F" w:rsidRPr="00AC104F">
        <w:t>defined and significantly more stringent levels apply to designated sea areas</w:t>
      </w:r>
      <w:r w:rsidR="00D60673">
        <w:t xml:space="preserve">, the </w:t>
      </w:r>
      <w:r w:rsidR="00F43D0D">
        <w:t>Emission Control Areas (ECAs).</w:t>
      </w:r>
    </w:p>
    <w:p w:rsidR="00F43D0D" w:rsidRDefault="00F43D0D" w:rsidP="00AC104F">
      <w:r>
        <w:lastRenderedPageBreak/>
        <w:t xml:space="preserve">At national and local levels, it all goes with the strategy of the </w:t>
      </w:r>
      <w:r w:rsidR="00814C77">
        <w:t xml:space="preserve">Country, following the EU </w:t>
      </w:r>
      <w:r w:rsidR="00ED0062">
        <w:t>D</w:t>
      </w:r>
      <w:r w:rsidR="00814C77">
        <w:t>irectives and the Country’s goals and energy plans, as well as the certain port’s culture, organisation and vision.</w:t>
      </w:r>
      <w:r w:rsidR="00682BA8">
        <w:t xml:space="preserve"> Within the national legislation focus should be given </w:t>
      </w:r>
      <w:r w:rsidR="002B77C8">
        <w:t>on all matt</w:t>
      </w:r>
      <w:r w:rsidR="00FB3C51">
        <w:t>ers</w:t>
      </w:r>
      <w:r w:rsidR="007060E5">
        <w:t xml:space="preserve"> for both LNG bunkering operations as well as infrastructure</w:t>
      </w:r>
      <w:r w:rsidR="00FB3C51">
        <w:t>; from designing and manuals</w:t>
      </w:r>
      <w:r w:rsidR="002B77C8">
        <w:t xml:space="preserve"> to operations, permitting process, procedures for normal or emergency </w:t>
      </w:r>
      <w:r w:rsidR="00FB3C51">
        <w:t>situations</w:t>
      </w:r>
      <w:r w:rsidR="002B77C8">
        <w:t xml:space="preserve">, </w:t>
      </w:r>
      <w:r w:rsidR="008B5B53">
        <w:t xml:space="preserve">mitigation of risks and impact areas, </w:t>
      </w:r>
      <w:r w:rsidR="002B77C8">
        <w:t>training competences of all involved, monitoring the quantity and quality of LNG</w:t>
      </w:r>
      <w:r w:rsidR="00F8108B">
        <w:t xml:space="preserve"> [13]</w:t>
      </w:r>
      <w:r w:rsidR="002B77C8">
        <w:t>, navigational matters, providing incentives and tools, identifying areas of overlap with existing legislation, as well as filling the gaps with new drafted one</w:t>
      </w:r>
      <w:r w:rsidR="00F8108B">
        <w:t xml:space="preserve"> [14]</w:t>
      </w:r>
      <w:r w:rsidR="002B77C8">
        <w:t>.</w:t>
      </w:r>
    </w:p>
    <w:p w:rsidR="00D269EB" w:rsidRDefault="00814C77" w:rsidP="004316C8">
      <w:r>
        <w:t>And concluding, the stronger the preparation of all above, as well as the cooperation of all stakeholders, the easier will be to be transferred to a new era of using alternative means of energy, like LNG and gas, thus lowering the emissions gradually that harm humans and the earth.</w:t>
      </w:r>
    </w:p>
    <w:p w:rsidR="00D269EB" w:rsidRDefault="00D269EB" w:rsidP="004316C8">
      <w:pPr>
        <w:pStyle w:val="Heading1"/>
      </w:pPr>
      <w:r>
        <w:t>Epilogue</w:t>
      </w:r>
    </w:p>
    <w:p w:rsidR="00D269EB" w:rsidRPr="00D269EB" w:rsidRDefault="00D269EB" w:rsidP="004316C8">
      <w:pPr>
        <w:pStyle w:val="NoindentNormal"/>
      </w:pPr>
      <w:r>
        <w:t xml:space="preserve">Prevailing of Natural Gas over other hydrocarbons will demand </w:t>
      </w:r>
      <w:r w:rsidR="00C822DC">
        <w:t xml:space="preserve">among other </w:t>
      </w:r>
      <w:r>
        <w:t>a further dissemination of its supply chain. LNG will play a major role in this effort</w:t>
      </w:r>
      <w:r w:rsidR="00C822DC">
        <w:t xml:space="preserve"> as it allows the movement of volumes in density outside the pipelines grid. Going small scale though will not be an easy process especially for an industry which excels in safety performance through the application of rigid controls. Under Poseidon Med II</w:t>
      </w:r>
      <w:r w:rsidR="00C50828">
        <w:t xml:space="preserve"> we have combined diverse input from</w:t>
      </w:r>
      <w:r w:rsidR="00C63D93">
        <w:t xml:space="preserve"> authorities, stakeholders</w:t>
      </w:r>
      <w:r w:rsidR="004316C8">
        <w:t>,</w:t>
      </w:r>
      <w:r w:rsidR="00C63D93">
        <w:t xml:space="preserve"> </w:t>
      </w:r>
      <w:r w:rsidR="00C50828">
        <w:t xml:space="preserve">interested parties, specialists and applied a complete </w:t>
      </w:r>
      <w:proofErr w:type="spellStart"/>
      <w:r w:rsidR="00C50828">
        <w:t>derisking</w:t>
      </w:r>
      <w:proofErr w:type="spellEnd"/>
      <w:r w:rsidR="00C50828">
        <w:t xml:space="preserve"> roadmap based on a combination of available tools. The outcomes demonstrate that the current arsenal of LNG </w:t>
      </w:r>
      <w:r w:rsidR="0099478F">
        <w:t xml:space="preserve">available </w:t>
      </w:r>
      <w:r w:rsidR="00C50828">
        <w:t>technology can provide ‘fit for purpose’ solutions in almost all layouts and operational envelopes once detailed planning and thorough controls are applied.</w:t>
      </w:r>
    </w:p>
    <w:p w:rsidR="00B05D6E" w:rsidRDefault="00B05D6E">
      <w:pPr>
        <w:pStyle w:val="HeadingUnn1"/>
      </w:pPr>
      <w:r>
        <w:t>References</w:t>
      </w:r>
    </w:p>
    <w:p w:rsidR="00B62DA6" w:rsidRDefault="009C31A4" w:rsidP="009C31A4">
      <w:pPr>
        <w:pStyle w:val="References"/>
      </w:pPr>
      <w:r w:rsidRPr="009C31A4">
        <w:t>DIRECTIVE 2014/94/EU OF THE EUROPEAN PARLIAMENT AND OF THE COUNCIL of 22 October 2014 on the deployment of a</w:t>
      </w:r>
      <w:r>
        <w:t>lternative fuels infrastructure</w:t>
      </w:r>
    </w:p>
    <w:p w:rsidR="00727DBA" w:rsidRDefault="00727DBA" w:rsidP="00B62DA6">
      <w:pPr>
        <w:pStyle w:val="References"/>
      </w:pPr>
      <w:r>
        <w:t>D</w:t>
      </w:r>
      <w:r w:rsidR="009C31A4">
        <w:t>IRECTIVE SEVESO</w:t>
      </w:r>
      <w:r>
        <w:t xml:space="preserve"> III, EU, 2015</w:t>
      </w:r>
    </w:p>
    <w:p w:rsidR="00037683" w:rsidRDefault="00037683" w:rsidP="00037683">
      <w:pPr>
        <w:pStyle w:val="References"/>
      </w:pPr>
      <w:r>
        <w:t xml:space="preserve">EN Standards (indicatively): EN 1160 - Installations and equipment for Liquefied Natural Gas – General characteristics of Liquefied Natural Gas, EN 437 - Test Gases – Test Pressures – Appliance Categories, EN 12838 - Installations and equipment for LNG  – Suitability testing of LNG sampling systems </w:t>
      </w:r>
    </w:p>
    <w:p w:rsidR="00037683" w:rsidRPr="00CF3317" w:rsidRDefault="00037683" w:rsidP="00037683">
      <w:pPr>
        <w:pStyle w:val="References"/>
      </w:pPr>
      <w:r w:rsidRPr="00CF3317">
        <w:t>ISO Standards (indicatively): 6141/2/3, 8943, 20519, 28460, 31000, 31010, 69741/2/3/4/5/6</w:t>
      </w:r>
    </w:p>
    <w:p w:rsidR="00037683" w:rsidRPr="00CF3317" w:rsidRDefault="00037683" w:rsidP="00037683">
      <w:pPr>
        <w:pStyle w:val="References"/>
      </w:pPr>
      <w:r w:rsidRPr="00CF3317">
        <w:t>GIIGNL, ‘Basic Properties of LNG’, Information Paper  No.1, 2009</w:t>
      </w:r>
      <w:r>
        <w:t xml:space="preserve">, </w:t>
      </w:r>
      <w:r w:rsidRPr="00CF3317">
        <w:t>‘LNG Process Chain’, Information Paper  No.2, 2009</w:t>
      </w:r>
      <w:r>
        <w:t xml:space="preserve">, </w:t>
      </w:r>
      <w:r w:rsidRPr="00CF3317">
        <w:t>‘LNG CUSTODY TRANSFER HANDBOOK’, Fourth Edition, version 4, 2015</w:t>
      </w:r>
    </w:p>
    <w:p w:rsidR="005930F6" w:rsidRDefault="005930F6" w:rsidP="005930F6">
      <w:pPr>
        <w:pStyle w:val="References"/>
      </w:pPr>
      <w:r>
        <w:t xml:space="preserve">EMSA, </w:t>
      </w:r>
      <w:r w:rsidRPr="009C31A4">
        <w:t>Guidance on LNG Bunkering to Port Authorities and Administrations</w:t>
      </w:r>
      <w:r>
        <w:t>, 2018</w:t>
      </w:r>
    </w:p>
    <w:p w:rsidR="00DE4340" w:rsidRPr="00CF3317" w:rsidRDefault="00DE4340" w:rsidP="00DE4340">
      <w:pPr>
        <w:pStyle w:val="References"/>
      </w:pPr>
      <w:r w:rsidRPr="00CF3317">
        <w:t>Poseidon Med II Project Deliverables (up to March 2018)</w:t>
      </w:r>
    </w:p>
    <w:p w:rsidR="00A84079" w:rsidRDefault="005079F5" w:rsidP="005079F5">
      <w:pPr>
        <w:pStyle w:val="References"/>
      </w:pPr>
      <w:r w:rsidRPr="00CF3317">
        <w:t xml:space="preserve">International Code for Safety of Ships Using Gases or Other Low-flashpoint Fuels (IGF Code) </w:t>
      </w:r>
    </w:p>
    <w:p w:rsidR="00CF3317" w:rsidRDefault="00CF3317" w:rsidP="00CF3317">
      <w:pPr>
        <w:pStyle w:val="References"/>
      </w:pPr>
      <w:r w:rsidRPr="00CF3317">
        <w:t xml:space="preserve">Davies &amp; Fort., LNG as a Marine Fuel - Likelihood of LNG Releases, </w:t>
      </w:r>
      <w:r w:rsidRPr="005F6BDB">
        <w:rPr>
          <w:i/>
        </w:rPr>
        <w:t>Journal of Marine Engineering &amp; Technology</w:t>
      </w:r>
      <w:r w:rsidR="00AF217C">
        <w:t xml:space="preserve"> (</w:t>
      </w:r>
      <w:r w:rsidRPr="004316C8">
        <w:rPr>
          <w:b/>
        </w:rPr>
        <w:t>12, 3</w:t>
      </w:r>
      <w:r w:rsidR="00AF217C">
        <w:t>)</w:t>
      </w:r>
      <w:r w:rsidRPr="00CF3317">
        <w:t>, 2013</w:t>
      </w:r>
    </w:p>
    <w:p w:rsidR="00B51D99" w:rsidRDefault="00B51D99" w:rsidP="00D87A0F">
      <w:pPr>
        <w:pStyle w:val="References"/>
      </w:pPr>
      <w:r>
        <w:t>Formal Safety Assessment MSC 85/17/2. Association of Oil &amp; Gas Producers, ‘Risk Assessment Data Directory’, 2010</w:t>
      </w:r>
    </w:p>
    <w:p w:rsidR="00CF3317" w:rsidRPr="00CF3317" w:rsidRDefault="00CF3317" w:rsidP="00CF3317">
      <w:pPr>
        <w:pStyle w:val="References"/>
      </w:pPr>
      <w:r w:rsidRPr="00CF3317">
        <w:t>IChemE, HAZOP - Guide to Best Practice, 2nd Edition, 2008</w:t>
      </w:r>
    </w:p>
    <w:p w:rsidR="00CF3317" w:rsidRPr="00CF3317" w:rsidRDefault="00CF3317" w:rsidP="00CF3317">
      <w:pPr>
        <w:pStyle w:val="References"/>
      </w:pPr>
      <w:r w:rsidRPr="00CF3317">
        <w:t xml:space="preserve">International Association of Classification Societies – IACS, ‘Risk assessment as required by the IGF Code’,  </w:t>
      </w:r>
      <w:r w:rsidRPr="004316C8">
        <w:rPr>
          <w:b/>
        </w:rPr>
        <w:t>No. 146</w:t>
      </w:r>
      <w:r w:rsidRPr="00CF3317">
        <w:t>, 2016</w:t>
      </w:r>
    </w:p>
    <w:p w:rsidR="00B62DA6" w:rsidRPr="00CF3317" w:rsidRDefault="00B62DA6" w:rsidP="00B62DA6">
      <w:pPr>
        <w:pStyle w:val="References"/>
      </w:pPr>
      <w:r w:rsidRPr="00CF3317">
        <w:t xml:space="preserve">SGMF, ‘Gas as a marine fuel - contractual guidelines – Quantity and Quality’, </w:t>
      </w:r>
      <w:r w:rsidRPr="004316C8">
        <w:rPr>
          <w:b/>
        </w:rPr>
        <w:t>Versi</w:t>
      </w:r>
      <w:r w:rsidR="00AD4B19" w:rsidRPr="004316C8">
        <w:rPr>
          <w:b/>
        </w:rPr>
        <w:t>on 1.0</w:t>
      </w:r>
      <w:r w:rsidR="00AD4B19">
        <w:t>, Sept</w:t>
      </w:r>
      <w:r w:rsidRPr="00CF3317">
        <w:t xml:space="preserve"> 2015</w:t>
      </w:r>
    </w:p>
    <w:p w:rsidR="00EF5979" w:rsidRPr="00BD3C3E" w:rsidRDefault="00B62DA6" w:rsidP="00A63439">
      <w:pPr>
        <w:pStyle w:val="References"/>
      </w:pPr>
      <w:r w:rsidRPr="00CF3317">
        <w:t>Website</w:t>
      </w:r>
      <w:r w:rsidR="00A63439">
        <w:t>s</w:t>
      </w:r>
      <w:r w:rsidRPr="00CF3317">
        <w:t xml:space="preserve">: </w:t>
      </w:r>
      <w:hyperlink r:id="rId18" w:history="1">
        <w:r w:rsidR="00A63439" w:rsidRPr="00EB6A72">
          <w:rPr>
            <w:rStyle w:val="Hyperlink"/>
          </w:rPr>
          <w:t>http://www.depa.gr</w:t>
        </w:r>
      </w:hyperlink>
      <w:r w:rsidR="00CA6AE3">
        <w:rPr>
          <w:rStyle w:val="Hyperlink"/>
        </w:rPr>
        <w:t>;</w:t>
      </w:r>
      <w:r w:rsidR="00A63439">
        <w:t xml:space="preserve"> </w:t>
      </w:r>
      <w:r w:rsidRPr="00CF3317">
        <w:t xml:space="preserve"> </w:t>
      </w:r>
      <w:hyperlink r:id="rId19" w:history="1">
        <w:r w:rsidR="00A63439" w:rsidRPr="00EB6A72">
          <w:rPr>
            <w:rStyle w:val="Hyperlink"/>
          </w:rPr>
          <w:t>http://www.desfa.gr</w:t>
        </w:r>
      </w:hyperlink>
      <w:r w:rsidR="00CA6AE3">
        <w:rPr>
          <w:rStyle w:val="Hyperlink"/>
        </w:rPr>
        <w:t>;</w:t>
      </w:r>
      <w:r w:rsidR="00A63439">
        <w:t xml:space="preserve"> </w:t>
      </w:r>
      <w:hyperlink r:id="rId20" w:history="1">
        <w:r w:rsidR="00A63439" w:rsidRPr="00EB6A72">
          <w:rPr>
            <w:rStyle w:val="Hyperlink"/>
          </w:rPr>
          <w:t>https://www.wartsila.com</w:t>
        </w:r>
      </w:hyperlink>
      <w:r w:rsidR="00CA6AE3">
        <w:rPr>
          <w:rStyle w:val="Hyperlink"/>
        </w:rPr>
        <w:t>; www.poseidonmedii.eu</w:t>
      </w:r>
      <w:r w:rsidR="00A63439">
        <w:t xml:space="preserve"> </w:t>
      </w:r>
      <w:bookmarkStart w:id="0" w:name="_GoBack"/>
      <w:bookmarkEnd w:id="0"/>
    </w:p>
    <w:p w:rsidR="007E2128" w:rsidRDefault="007E2128" w:rsidP="00A63439">
      <w:pPr>
        <w:pStyle w:val="References"/>
        <w:numPr>
          <w:ilvl w:val="0"/>
          <w:numId w:val="0"/>
        </w:numPr>
      </w:pPr>
    </w:p>
    <w:sectPr w:rsidR="007E2128">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59" w:rsidRDefault="00672359">
      <w:r>
        <w:separator/>
      </w:r>
    </w:p>
  </w:endnote>
  <w:endnote w:type="continuationSeparator" w:id="0">
    <w:p w:rsidR="00672359" w:rsidRDefault="0067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59" w:rsidRDefault="00672359">
      <w:r>
        <w:separator/>
      </w:r>
    </w:p>
  </w:footnote>
  <w:footnote w:type="continuationSeparator" w:id="0">
    <w:p w:rsidR="00672359" w:rsidRDefault="00672359">
      <w:r>
        <w:continuationSeparator/>
      </w:r>
    </w:p>
  </w:footnote>
  <w:footnote w:id="1">
    <w:p w:rsidR="00B11430" w:rsidRPr="006161C2" w:rsidRDefault="00B11430" w:rsidP="00B11430">
      <w:pPr>
        <w:pStyle w:val="FootnoteText"/>
        <w:rPr>
          <w:rStyle w:val="FootnoteChar"/>
          <w:szCs w:val="16"/>
        </w:rPr>
      </w:pPr>
      <w:r>
        <w:rPr>
          <w:rStyle w:val="FootnoteReference"/>
        </w:rPr>
        <w:footnoteRef/>
      </w:r>
      <w:r>
        <w:rPr>
          <w:rStyle w:val="FootnoteChar"/>
        </w:rPr>
        <w:t xml:space="preserve"> Anna Apostolopoulou</w:t>
      </w:r>
      <w:r w:rsidRPr="006161C2">
        <w:rPr>
          <w:rStyle w:val="FootnoteChar"/>
          <w:szCs w:val="16"/>
        </w:rPr>
        <w:t>,</w:t>
      </w:r>
      <w:r w:rsidRPr="006161C2">
        <w:rPr>
          <w:sz w:val="16"/>
          <w:szCs w:val="16"/>
          <w:lang w:val="en-GB"/>
        </w:rPr>
        <w:t xml:space="preserve"> </w:t>
      </w:r>
      <w:r>
        <w:rPr>
          <w:sz w:val="16"/>
          <w:szCs w:val="16"/>
          <w:lang w:val="en-GB"/>
        </w:rPr>
        <w:t>EU Projects Management &amp; Coordination Leader</w:t>
      </w:r>
      <w:r w:rsidRPr="006161C2">
        <w:rPr>
          <w:sz w:val="16"/>
          <w:szCs w:val="16"/>
          <w:lang w:val="en-GB"/>
        </w:rPr>
        <w:t xml:space="preserve">, </w:t>
      </w:r>
      <w:r>
        <w:rPr>
          <w:sz w:val="16"/>
          <w:szCs w:val="16"/>
          <w:lang w:val="en-GB"/>
        </w:rPr>
        <w:t>Marine &amp; Offshore, Lloyd’s Register, Hellenic Lloyd’s S.A., 87 Akti Miaouli, 18538, Piraeus Greece</w:t>
      </w:r>
      <w:r w:rsidRPr="006161C2">
        <w:rPr>
          <w:sz w:val="16"/>
          <w:szCs w:val="16"/>
          <w:lang w:val="en-GB"/>
        </w:rPr>
        <w:t xml:space="preserve">; E-mail: </w:t>
      </w:r>
      <w:r>
        <w:rPr>
          <w:sz w:val="16"/>
          <w:szCs w:val="16"/>
          <w:lang w:val="en-GB"/>
        </w:rPr>
        <w:t>anna.apostolopoulou@lr.org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nsid w:val="0DEE0C86"/>
    <w:multiLevelType w:val="hybridMultilevel"/>
    <w:tmpl w:val="334EBE7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9B273D2"/>
    <w:multiLevelType w:val="hybridMultilevel"/>
    <w:tmpl w:val="3C982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D71482F"/>
    <w:multiLevelType w:val="multilevel"/>
    <w:tmpl w:val="F05484C2"/>
    <w:lvl w:ilvl="0">
      <w:start w:val="3"/>
      <w:numFmt w:val="decimal"/>
      <w:lvlText w:val="%1"/>
      <w:lvlJc w:val="left"/>
      <w:pPr>
        <w:ind w:left="405" w:hanging="405"/>
      </w:pPr>
      <w:rPr>
        <w:rFonts w:hint="default"/>
      </w:rPr>
    </w:lvl>
    <w:lvl w:ilvl="1">
      <w:start w:val="3"/>
      <w:numFmt w:val="decimal"/>
      <w:lvlText w:val="%1.%2"/>
      <w:lvlJc w:val="left"/>
      <w:pPr>
        <w:ind w:left="583" w:hanging="405"/>
      </w:pPr>
      <w:rPr>
        <w:rFonts w:hint="default"/>
      </w:rPr>
    </w:lvl>
    <w:lvl w:ilvl="2">
      <w:start w:val="2"/>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5">
    <w:nsid w:val="50BB51F1"/>
    <w:multiLevelType w:val="multilevel"/>
    <w:tmpl w:val="D558440E"/>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nsid w:val="54311CD3"/>
    <w:multiLevelType w:val="hybridMultilevel"/>
    <w:tmpl w:val="FCC6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1">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nsid w:val="76F27992"/>
    <w:multiLevelType w:val="hybridMultilevel"/>
    <w:tmpl w:val="A1E2F824"/>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5"/>
  </w:num>
  <w:num w:numId="6">
    <w:abstractNumId w:val="10"/>
  </w:num>
  <w:num w:numId="7">
    <w:abstractNumId w:val="12"/>
  </w:num>
  <w:num w:numId="8">
    <w:abstractNumId w:val="8"/>
  </w:num>
  <w:num w:numId="9">
    <w:abstractNumId w:val="12"/>
  </w:num>
  <w:num w:numId="10">
    <w:abstractNumId w:val="3"/>
  </w:num>
  <w:num w:numId="11">
    <w:abstractNumId w:val="12"/>
    <w:lvlOverride w:ilvl="0">
      <w:startOverride w:val="1"/>
    </w:lvlOverride>
  </w:num>
  <w:num w:numId="12">
    <w:abstractNumId w:val="11"/>
  </w:num>
  <w:num w:numId="13">
    <w:abstractNumId w:val="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6"/>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CB"/>
    <w:rsid w:val="000243A8"/>
    <w:rsid w:val="000306DF"/>
    <w:rsid w:val="00037683"/>
    <w:rsid w:val="0004655A"/>
    <w:rsid w:val="00051AD1"/>
    <w:rsid w:val="001020EC"/>
    <w:rsid w:val="00115809"/>
    <w:rsid w:val="00126C05"/>
    <w:rsid w:val="00131AFF"/>
    <w:rsid w:val="00142659"/>
    <w:rsid w:val="00173AEF"/>
    <w:rsid w:val="00173B43"/>
    <w:rsid w:val="00187DF0"/>
    <w:rsid w:val="00190CC7"/>
    <w:rsid w:val="001A4876"/>
    <w:rsid w:val="001B59C7"/>
    <w:rsid w:val="001E6276"/>
    <w:rsid w:val="001F53FB"/>
    <w:rsid w:val="00202563"/>
    <w:rsid w:val="00204C07"/>
    <w:rsid w:val="002165DB"/>
    <w:rsid w:val="00230B94"/>
    <w:rsid w:val="00254836"/>
    <w:rsid w:val="00254F10"/>
    <w:rsid w:val="00255D1D"/>
    <w:rsid w:val="00296821"/>
    <w:rsid w:val="002B77C8"/>
    <w:rsid w:val="002C73EB"/>
    <w:rsid w:val="002F3D54"/>
    <w:rsid w:val="002F73E2"/>
    <w:rsid w:val="0030200C"/>
    <w:rsid w:val="00305637"/>
    <w:rsid w:val="00331663"/>
    <w:rsid w:val="00333E41"/>
    <w:rsid w:val="003361CF"/>
    <w:rsid w:val="00377A6B"/>
    <w:rsid w:val="003A348D"/>
    <w:rsid w:val="003A6E9C"/>
    <w:rsid w:val="003D3240"/>
    <w:rsid w:val="003F0096"/>
    <w:rsid w:val="0040640C"/>
    <w:rsid w:val="00413428"/>
    <w:rsid w:val="004144A6"/>
    <w:rsid w:val="004149C5"/>
    <w:rsid w:val="004316C8"/>
    <w:rsid w:val="00432247"/>
    <w:rsid w:val="004459CE"/>
    <w:rsid w:val="00454CC7"/>
    <w:rsid w:val="00454E2F"/>
    <w:rsid w:val="00496957"/>
    <w:rsid w:val="004A0FD9"/>
    <w:rsid w:val="004A2803"/>
    <w:rsid w:val="004D0904"/>
    <w:rsid w:val="004D32EB"/>
    <w:rsid w:val="004D40B3"/>
    <w:rsid w:val="004D4BEB"/>
    <w:rsid w:val="004D4C0D"/>
    <w:rsid w:val="004E22D8"/>
    <w:rsid w:val="004E6CC4"/>
    <w:rsid w:val="00504BA7"/>
    <w:rsid w:val="005079F5"/>
    <w:rsid w:val="005155BA"/>
    <w:rsid w:val="0052729E"/>
    <w:rsid w:val="005541C1"/>
    <w:rsid w:val="005677CB"/>
    <w:rsid w:val="00581D68"/>
    <w:rsid w:val="00582C2D"/>
    <w:rsid w:val="00585995"/>
    <w:rsid w:val="005930F6"/>
    <w:rsid w:val="005975D9"/>
    <w:rsid w:val="005976CD"/>
    <w:rsid w:val="005A294A"/>
    <w:rsid w:val="005F6BDB"/>
    <w:rsid w:val="006161C2"/>
    <w:rsid w:val="00624EB6"/>
    <w:rsid w:val="00631672"/>
    <w:rsid w:val="00650C06"/>
    <w:rsid w:val="006542DA"/>
    <w:rsid w:val="00654463"/>
    <w:rsid w:val="00672359"/>
    <w:rsid w:val="00676523"/>
    <w:rsid w:val="00682BA8"/>
    <w:rsid w:val="0068345C"/>
    <w:rsid w:val="00696008"/>
    <w:rsid w:val="00696203"/>
    <w:rsid w:val="006A3A52"/>
    <w:rsid w:val="006A48E8"/>
    <w:rsid w:val="006D2CF6"/>
    <w:rsid w:val="006E29F3"/>
    <w:rsid w:val="006F4235"/>
    <w:rsid w:val="00700E3D"/>
    <w:rsid w:val="007060E5"/>
    <w:rsid w:val="00720D07"/>
    <w:rsid w:val="00725FDD"/>
    <w:rsid w:val="00727DBA"/>
    <w:rsid w:val="00730E20"/>
    <w:rsid w:val="00750C0C"/>
    <w:rsid w:val="00791773"/>
    <w:rsid w:val="007A470A"/>
    <w:rsid w:val="007B7E40"/>
    <w:rsid w:val="007C76B5"/>
    <w:rsid w:val="007E2128"/>
    <w:rsid w:val="007E448F"/>
    <w:rsid w:val="00800461"/>
    <w:rsid w:val="00814C77"/>
    <w:rsid w:val="00836739"/>
    <w:rsid w:val="00851365"/>
    <w:rsid w:val="00862F5B"/>
    <w:rsid w:val="00863B90"/>
    <w:rsid w:val="00873867"/>
    <w:rsid w:val="00882920"/>
    <w:rsid w:val="00882A29"/>
    <w:rsid w:val="008B5B53"/>
    <w:rsid w:val="008C1ADA"/>
    <w:rsid w:val="008C52D1"/>
    <w:rsid w:val="008D2443"/>
    <w:rsid w:val="00901CEF"/>
    <w:rsid w:val="00913768"/>
    <w:rsid w:val="009147D1"/>
    <w:rsid w:val="00917546"/>
    <w:rsid w:val="00925D09"/>
    <w:rsid w:val="00931986"/>
    <w:rsid w:val="00944C0F"/>
    <w:rsid w:val="009461DA"/>
    <w:rsid w:val="00972568"/>
    <w:rsid w:val="00977B09"/>
    <w:rsid w:val="009846BA"/>
    <w:rsid w:val="00992B67"/>
    <w:rsid w:val="0099478F"/>
    <w:rsid w:val="009C31A4"/>
    <w:rsid w:val="009E4159"/>
    <w:rsid w:val="009E5B41"/>
    <w:rsid w:val="00A04F4E"/>
    <w:rsid w:val="00A1364F"/>
    <w:rsid w:val="00A33E5B"/>
    <w:rsid w:val="00A63439"/>
    <w:rsid w:val="00A71FC3"/>
    <w:rsid w:val="00A82177"/>
    <w:rsid w:val="00A84079"/>
    <w:rsid w:val="00AA60FC"/>
    <w:rsid w:val="00AB379A"/>
    <w:rsid w:val="00AC104F"/>
    <w:rsid w:val="00AD087C"/>
    <w:rsid w:val="00AD4B19"/>
    <w:rsid w:val="00AD7645"/>
    <w:rsid w:val="00AE2EF1"/>
    <w:rsid w:val="00AF217C"/>
    <w:rsid w:val="00B05D6E"/>
    <w:rsid w:val="00B11430"/>
    <w:rsid w:val="00B11834"/>
    <w:rsid w:val="00B23D88"/>
    <w:rsid w:val="00B26D7B"/>
    <w:rsid w:val="00B503F6"/>
    <w:rsid w:val="00B51D99"/>
    <w:rsid w:val="00B62DA6"/>
    <w:rsid w:val="00B65C76"/>
    <w:rsid w:val="00B67DDE"/>
    <w:rsid w:val="00B72FCB"/>
    <w:rsid w:val="00B8538C"/>
    <w:rsid w:val="00B91052"/>
    <w:rsid w:val="00B96A01"/>
    <w:rsid w:val="00BB167A"/>
    <w:rsid w:val="00BB7E6B"/>
    <w:rsid w:val="00BD3C3E"/>
    <w:rsid w:val="00BF4DDB"/>
    <w:rsid w:val="00C214E8"/>
    <w:rsid w:val="00C3242C"/>
    <w:rsid w:val="00C36AF8"/>
    <w:rsid w:val="00C50828"/>
    <w:rsid w:val="00C63D93"/>
    <w:rsid w:val="00C822DC"/>
    <w:rsid w:val="00C93B97"/>
    <w:rsid w:val="00C97D11"/>
    <w:rsid w:val="00CA6AE3"/>
    <w:rsid w:val="00CB2E2D"/>
    <w:rsid w:val="00CE2397"/>
    <w:rsid w:val="00CE3B84"/>
    <w:rsid w:val="00CE47AA"/>
    <w:rsid w:val="00CF3317"/>
    <w:rsid w:val="00CF5968"/>
    <w:rsid w:val="00CF5C91"/>
    <w:rsid w:val="00D044EF"/>
    <w:rsid w:val="00D176C7"/>
    <w:rsid w:val="00D217FB"/>
    <w:rsid w:val="00D269EB"/>
    <w:rsid w:val="00D3171A"/>
    <w:rsid w:val="00D60673"/>
    <w:rsid w:val="00D82BC9"/>
    <w:rsid w:val="00D87A0F"/>
    <w:rsid w:val="00DD057A"/>
    <w:rsid w:val="00DD232D"/>
    <w:rsid w:val="00DE4340"/>
    <w:rsid w:val="00E21294"/>
    <w:rsid w:val="00E26671"/>
    <w:rsid w:val="00E32ED7"/>
    <w:rsid w:val="00E370CC"/>
    <w:rsid w:val="00E64B1C"/>
    <w:rsid w:val="00E72624"/>
    <w:rsid w:val="00E8786B"/>
    <w:rsid w:val="00EA3A09"/>
    <w:rsid w:val="00ED0062"/>
    <w:rsid w:val="00EE522E"/>
    <w:rsid w:val="00EE52B2"/>
    <w:rsid w:val="00EF0CAA"/>
    <w:rsid w:val="00EF5979"/>
    <w:rsid w:val="00F07FC3"/>
    <w:rsid w:val="00F1208E"/>
    <w:rsid w:val="00F1668B"/>
    <w:rsid w:val="00F43D0D"/>
    <w:rsid w:val="00F47CE7"/>
    <w:rsid w:val="00F8108B"/>
    <w:rsid w:val="00F84DBA"/>
    <w:rsid w:val="00F874DF"/>
    <w:rsid w:val="00FA2069"/>
    <w:rsid w:val="00FA3626"/>
    <w:rsid w:val="00FA383E"/>
    <w:rsid w:val="00FB3C51"/>
    <w:rsid w:val="00FB3CAA"/>
    <w:rsid w:val="00FC2F05"/>
    <w:rsid w:val="00FD3184"/>
    <w:rsid w:val="00FE65A4"/>
    <w:rsid w:val="00FE6E48"/>
    <w:rsid w:val="00FE76E0"/>
    <w:rsid w:val="00FF25AB"/>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ind w:firstLine="0"/>
    </w:pPr>
  </w:style>
  <w:style w:type="paragraph" w:customStyle="1" w:styleId="Keywords">
    <w:name w:val="Keywords"/>
    <w:basedOn w:val="Abstract"/>
    <w:next w:val="Heading1"/>
    <w:pPr>
      <w:spacing w:before="240" w:after="240"/>
    </w:pPr>
  </w:style>
  <w:style w:type="paragraph" w:styleId="FootnoteText">
    <w:name w:val="footnote text"/>
    <w:basedOn w:val="Normal"/>
    <w:link w:val="FootnoteTextChar"/>
    <w:uiPriority w:val="99"/>
    <w:semiHidden/>
    <w:rPr>
      <w:szCs w:val="20"/>
    </w:rPr>
  </w:style>
  <w:style w:type="character" w:styleId="FootnoteReference">
    <w:name w:val="footnote reference"/>
    <w:uiPriority w:val="99"/>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BalloonText">
    <w:name w:val="Balloon Text"/>
    <w:basedOn w:val="Normal"/>
    <w:link w:val="BalloonTextChar"/>
    <w:uiPriority w:val="99"/>
    <w:semiHidden/>
    <w:unhideWhenUsed/>
    <w:rsid w:val="00B72FCB"/>
    <w:rPr>
      <w:rFonts w:ascii="Tahoma" w:hAnsi="Tahoma" w:cs="Tahoma"/>
      <w:sz w:val="16"/>
      <w:szCs w:val="16"/>
    </w:rPr>
  </w:style>
  <w:style w:type="character" w:customStyle="1" w:styleId="BalloonTextChar">
    <w:name w:val="Balloon Text Char"/>
    <w:basedOn w:val="DefaultParagraphFont"/>
    <w:link w:val="BalloonText"/>
    <w:uiPriority w:val="99"/>
    <w:semiHidden/>
    <w:rsid w:val="00B72FCB"/>
    <w:rPr>
      <w:rFonts w:ascii="Tahoma" w:hAnsi="Tahoma" w:cs="Tahoma"/>
      <w:sz w:val="16"/>
      <w:szCs w:val="16"/>
      <w:lang w:val="en-US" w:eastAsia="ja-JP"/>
    </w:rPr>
  </w:style>
  <w:style w:type="paragraph" w:styleId="ListParagraph">
    <w:name w:val="List Paragraph"/>
    <w:basedOn w:val="Normal"/>
    <w:link w:val="ListParagraphChar"/>
    <w:uiPriority w:val="34"/>
    <w:qFormat/>
    <w:rsid w:val="007E2128"/>
    <w:pPr>
      <w:ind w:left="720"/>
      <w:contextualSpacing/>
    </w:pPr>
  </w:style>
  <w:style w:type="character" w:styleId="CommentReference">
    <w:name w:val="annotation reference"/>
    <w:basedOn w:val="DefaultParagraphFont"/>
    <w:uiPriority w:val="99"/>
    <w:semiHidden/>
    <w:unhideWhenUsed/>
    <w:rsid w:val="004E22D8"/>
    <w:rPr>
      <w:sz w:val="16"/>
      <w:szCs w:val="16"/>
    </w:rPr>
  </w:style>
  <w:style w:type="paragraph" w:styleId="CommentText">
    <w:name w:val="annotation text"/>
    <w:basedOn w:val="Normal"/>
    <w:link w:val="CommentTextChar"/>
    <w:uiPriority w:val="99"/>
    <w:semiHidden/>
    <w:unhideWhenUsed/>
    <w:rsid w:val="004E22D8"/>
    <w:rPr>
      <w:szCs w:val="20"/>
    </w:rPr>
  </w:style>
  <w:style w:type="character" w:customStyle="1" w:styleId="CommentTextChar">
    <w:name w:val="Comment Text Char"/>
    <w:basedOn w:val="DefaultParagraphFont"/>
    <w:link w:val="CommentText"/>
    <w:uiPriority w:val="99"/>
    <w:semiHidden/>
    <w:rsid w:val="004E22D8"/>
    <w:rPr>
      <w:lang w:val="en-US" w:eastAsia="ja-JP"/>
    </w:rPr>
  </w:style>
  <w:style w:type="paragraph" w:styleId="CommentSubject">
    <w:name w:val="annotation subject"/>
    <w:basedOn w:val="CommentText"/>
    <w:next w:val="CommentText"/>
    <w:link w:val="CommentSubjectChar"/>
    <w:uiPriority w:val="99"/>
    <w:semiHidden/>
    <w:unhideWhenUsed/>
    <w:rsid w:val="004E22D8"/>
    <w:rPr>
      <w:b/>
      <w:bCs/>
    </w:rPr>
  </w:style>
  <w:style w:type="character" w:customStyle="1" w:styleId="CommentSubjectChar">
    <w:name w:val="Comment Subject Char"/>
    <w:basedOn w:val="CommentTextChar"/>
    <w:link w:val="CommentSubject"/>
    <w:uiPriority w:val="99"/>
    <w:semiHidden/>
    <w:rsid w:val="004E22D8"/>
    <w:rPr>
      <w:b/>
      <w:bCs/>
      <w:lang w:val="en-US" w:eastAsia="ja-JP"/>
    </w:rPr>
  </w:style>
  <w:style w:type="paragraph" w:styleId="Revision">
    <w:name w:val="Revision"/>
    <w:hidden/>
    <w:uiPriority w:val="99"/>
    <w:semiHidden/>
    <w:rsid w:val="00FE76E0"/>
    <w:rPr>
      <w:szCs w:val="24"/>
      <w:lang w:val="en-US" w:eastAsia="ja-JP"/>
    </w:rPr>
  </w:style>
  <w:style w:type="character" w:customStyle="1" w:styleId="ListParagraphChar">
    <w:name w:val="List Paragraph Char"/>
    <w:basedOn w:val="DefaultParagraphFont"/>
    <w:link w:val="ListParagraph"/>
    <w:uiPriority w:val="34"/>
    <w:rsid w:val="00851365"/>
    <w:rPr>
      <w:szCs w:val="24"/>
      <w:lang w:val="en-US" w:eastAsia="ja-JP"/>
    </w:rPr>
  </w:style>
  <w:style w:type="character" w:customStyle="1" w:styleId="FootnoteTextChar">
    <w:name w:val="Footnote Text Char"/>
    <w:basedOn w:val="DefaultParagraphFont"/>
    <w:link w:val="FootnoteText"/>
    <w:uiPriority w:val="99"/>
    <w:semiHidden/>
    <w:rsid w:val="00851365"/>
    <w:rPr>
      <w:lang w:val="en-US" w:eastAsia="ja-JP"/>
    </w:rPr>
  </w:style>
  <w:style w:type="table" w:styleId="TableGrid">
    <w:name w:val="Table Grid"/>
    <w:basedOn w:val="TableNormal"/>
    <w:uiPriority w:val="59"/>
    <w:rsid w:val="00D2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217FB"/>
    <w:pPr>
      <w:jc w:val="both"/>
    </w:pPr>
    <w:rPr>
      <w:rFonts w:ascii="Frutiger LT 45 Light" w:eastAsiaTheme="minorEastAsia" w:hAnsi="Frutiger LT 45 Light" w:cstheme="minorBidi"/>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63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ind w:firstLine="0"/>
    </w:pPr>
  </w:style>
  <w:style w:type="paragraph" w:customStyle="1" w:styleId="Keywords">
    <w:name w:val="Keywords"/>
    <w:basedOn w:val="Abstract"/>
    <w:next w:val="Heading1"/>
    <w:pPr>
      <w:spacing w:before="240" w:after="240"/>
    </w:pPr>
  </w:style>
  <w:style w:type="paragraph" w:styleId="FootnoteText">
    <w:name w:val="footnote text"/>
    <w:basedOn w:val="Normal"/>
    <w:link w:val="FootnoteTextChar"/>
    <w:uiPriority w:val="99"/>
    <w:semiHidden/>
    <w:rPr>
      <w:szCs w:val="20"/>
    </w:rPr>
  </w:style>
  <w:style w:type="character" w:styleId="FootnoteReference">
    <w:name w:val="footnote reference"/>
    <w:uiPriority w:val="99"/>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BalloonText">
    <w:name w:val="Balloon Text"/>
    <w:basedOn w:val="Normal"/>
    <w:link w:val="BalloonTextChar"/>
    <w:uiPriority w:val="99"/>
    <w:semiHidden/>
    <w:unhideWhenUsed/>
    <w:rsid w:val="00B72FCB"/>
    <w:rPr>
      <w:rFonts w:ascii="Tahoma" w:hAnsi="Tahoma" w:cs="Tahoma"/>
      <w:sz w:val="16"/>
      <w:szCs w:val="16"/>
    </w:rPr>
  </w:style>
  <w:style w:type="character" w:customStyle="1" w:styleId="BalloonTextChar">
    <w:name w:val="Balloon Text Char"/>
    <w:basedOn w:val="DefaultParagraphFont"/>
    <w:link w:val="BalloonText"/>
    <w:uiPriority w:val="99"/>
    <w:semiHidden/>
    <w:rsid w:val="00B72FCB"/>
    <w:rPr>
      <w:rFonts w:ascii="Tahoma" w:hAnsi="Tahoma" w:cs="Tahoma"/>
      <w:sz w:val="16"/>
      <w:szCs w:val="16"/>
      <w:lang w:val="en-US" w:eastAsia="ja-JP"/>
    </w:rPr>
  </w:style>
  <w:style w:type="paragraph" w:styleId="ListParagraph">
    <w:name w:val="List Paragraph"/>
    <w:basedOn w:val="Normal"/>
    <w:link w:val="ListParagraphChar"/>
    <w:uiPriority w:val="34"/>
    <w:qFormat/>
    <w:rsid w:val="007E2128"/>
    <w:pPr>
      <w:ind w:left="720"/>
      <w:contextualSpacing/>
    </w:pPr>
  </w:style>
  <w:style w:type="character" w:styleId="CommentReference">
    <w:name w:val="annotation reference"/>
    <w:basedOn w:val="DefaultParagraphFont"/>
    <w:uiPriority w:val="99"/>
    <w:semiHidden/>
    <w:unhideWhenUsed/>
    <w:rsid w:val="004E22D8"/>
    <w:rPr>
      <w:sz w:val="16"/>
      <w:szCs w:val="16"/>
    </w:rPr>
  </w:style>
  <w:style w:type="paragraph" w:styleId="CommentText">
    <w:name w:val="annotation text"/>
    <w:basedOn w:val="Normal"/>
    <w:link w:val="CommentTextChar"/>
    <w:uiPriority w:val="99"/>
    <w:semiHidden/>
    <w:unhideWhenUsed/>
    <w:rsid w:val="004E22D8"/>
    <w:rPr>
      <w:szCs w:val="20"/>
    </w:rPr>
  </w:style>
  <w:style w:type="character" w:customStyle="1" w:styleId="CommentTextChar">
    <w:name w:val="Comment Text Char"/>
    <w:basedOn w:val="DefaultParagraphFont"/>
    <w:link w:val="CommentText"/>
    <w:uiPriority w:val="99"/>
    <w:semiHidden/>
    <w:rsid w:val="004E22D8"/>
    <w:rPr>
      <w:lang w:val="en-US" w:eastAsia="ja-JP"/>
    </w:rPr>
  </w:style>
  <w:style w:type="paragraph" w:styleId="CommentSubject">
    <w:name w:val="annotation subject"/>
    <w:basedOn w:val="CommentText"/>
    <w:next w:val="CommentText"/>
    <w:link w:val="CommentSubjectChar"/>
    <w:uiPriority w:val="99"/>
    <w:semiHidden/>
    <w:unhideWhenUsed/>
    <w:rsid w:val="004E22D8"/>
    <w:rPr>
      <w:b/>
      <w:bCs/>
    </w:rPr>
  </w:style>
  <w:style w:type="character" w:customStyle="1" w:styleId="CommentSubjectChar">
    <w:name w:val="Comment Subject Char"/>
    <w:basedOn w:val="CommentTextChar"/>
    <w:link w:val="CommentSubject"/>
    <w:uiPriority w:val="99"/>
    <w:semiHidden/>
    <w:rsid w:val="004E22D8"/>
    <w:rPr>
      <w:b/>
      <w:bCs/>
      <w:lang w:val="en-US" w:eastAsia="ja-JP"/>
    </w:rPr>
  </w:style>
  <w:style w:type="paragraph" w:styleId="Revision">
    <w:name w:val="Revision"/>
    <w:hidden/>
    <w:uiPriority w:val="99"/>
    <w:semiHidden/>
    <w:rsid w:val="00FE76E0"/>
    <w:rPr>
      <w:szCs w:val="24"/>
      <w:lang w:val="en-US" w:eastAsia="ja-JP"/>
    </w:rPr>
  </w:style>
  <w:style w:type="character" w:customStyle="1" w:styleId="ListParagraphChar">
    <w:name w:val="List Paragraph Char"/>
    <w:basedOn w:val="DefaultParagraphFont"/>
    <w:link w:val="ListParagraph"/>
    <w:uiPriority w:val="34"/>
    <w:rsid w:val="00851365"/>
    <w:rPr>
      <w:szCs w:val="24"/>
      <w:lang w:val="en-US" w:eastAsia="ja-JP"/>
    </w:rPr>
  </w:style>
  <w:style w:type="character" w:customStyle="1" w:styleId="FootnoteTextChar">
    <w:name w:val="Footnote Text Char"/>
    <w:basedOn w:val="DefaultParagraphFont"/>
    <w:link w:val="FootnoteText"/>
    <w:uiPriority w:val="99"/>
    <w:semiHidden/>
    <w:rsid w:val="00851365"/>
    <w:rPr>
      <w:lang w:val="en-US" w:eastAsia="ja-JP"/>
    </w:rPr>
  </w:style>
  <w:style w:type="table" w:styleId="TableGrid">
    <w:name w:val="Table Grid"/>
    <w:basedOn w:val="TableNormal"/>
    <w:uiPriority w:val="59"/>
    <w:rsid w:val="00D2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217FB"/>
    <w:pPr>
      <w:jc w:val="both"/>
    </w:pPr>
    <w:rPr>
      <w:rFonts w:ascii="Frutiger LT 45 Light" w:eastAsiaTheme="minorEastAsia" w:hAnsi="Frutiger LT 45 Light" w:cstheme="minorBidi"/>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63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dep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wartsil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desfa.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FA74-A19E-46E6-9834-5FFB5524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3470</Words>
  <Characters>19785</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Authorised User</dc:creator>
  <cp:lastModifiedBy>Authorised User</cp:lastModifiedBy>
  <cp:revision>5</cp:revision>
  <cp:lastPrinted>2018-03-27T06:50:00Z</cp:lastPrinted>
  <dcterms:created xsi:type="dcterms:W3CDTF">2018-03-27T06:50:00Z</dcterms:created>
  <dcterms:modified xsi:type="dcterms:W3CDTF">2018-03-27T07:05:00Z</dcterms:modified>
</cp:coreProperties>
</file>