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0632E" w14:textId="7465B900" w:rsidR="00021F77" w:rsidRDefault="00021F77">
      <w:pPr>
        <w:pStyle w:val="Author"/>
        <w:rPr>
          <w:noProof/>
          <w:kern w:val="28"/>
          <w:sz w:val="40"/>
        </w:rPr>
      </w:pPr>
      <w:r w:rsidRPr="00021F77">
        <w:rPr>
          <w:noProof/>
          <w:kern w:val="28"/>
          <w:sz w:val="40"/>
        </w:rPr>
        <w:t>LES</w:t>
      </w:r>
      <w:r w:rsidR="007F3735">
        <w:rPr>
          <w:noProof/>
          <w:kern w:val="28"/>
          <w:sz w:val="40"/>
        </w:rPr>
        <w:t>S: a new simulation environment</w:t>
      </w:r>
      <w:r w:rsidR="007F3735">
        <w:rPr>
          <w:noProof/>
          <w:kern w:val="28"/>
          <w:sz w:val="40"/>
        </w:rPr>
        <w:br/>
        <w:t xml:space="preserve">for the preliminary design of </w:t>
      </w:r>
      <w:r w:rsidRPr="00021F77">
        <w:rPr>
          <w:noProof/>
          <w:kern w:val="28"/>
          <w:sz w:val="40"/>
        </w:rPr>
        <w:t>cruise ship energy systems</w:t>
      </w:r>
    </w:p>
    <w:p w14:paraId="5284F9E7" w14:textId="425CD1A9" w:rsidR="008155C0" w:rsidRPr="008155C0" w:rsidRDefault="003572B7" w:rsidP="002A3BC2">
      <w:pPr>
        <w:pStyle w:val="Author"/>
        <w:rPr>
          <w:lang w:val="it-IT"/>
        </w:rPr>
      </w:pPr>
      <w:r>
        <w:rPr>
          <w:lang w:val="it-IT"/>
        </w:rPr>
        <w:t>Bruno BISELLO</w:t>
      </w:r>
      <w:r w:rsidR="00B05D6E">
        <w:rPr>
          <w:rStyle w:val="Rimandonotaapidipagina"/>
        </w:rPr>
        <w:footnoteReference w:id="1"/>
      </w:r>
      <w:r w:rsidR="008155C0">
        <w:rPr>
          <w:vertAlign w:val="superscript"/>
          <w:lang w:val="it-IT"/>
        </w:rPr>
        <w:t>a</w:t>
      </w:r>
      <w:r>
        <w:rPr>
          <w:lang w:val="it-IT"/>
        </w:rPr>
        <w:t>,</w:t>
      </w:r>
      <w:r w:rsidR="00B05D6E" w:rsidRPr="008155C0">
        <w:rPr>
          <w:lang w:val="it-IT"/>
        </w:rPr>
        <w:t xml:space="preserve"> </w:t>
      </w:r>
      <w:r>
        <w:rPr>
          <w:lang w:val="it-IT"/>
        </w:rPr>
        <w:t>Dario CANGELOSI</w:t>
      </w:r>
      <w:r w:rsidR="00B05D6E" w:rsidRPr="008155C0">
        <w:rPr>
          <w:sz w:val="8"/>
          <w:szCs w:val="8"/>
          <w:lang w:val="it-IT"/>
        </w:rPr>
        <w:t xml:space="preserve"> </w:t>
      </w:r>
      <w:r w:rsidR="008155C0">
        <w:rPr>
          <w:vertAlign w:val="superscript"/>
          <w:lang w:val="it-IT"/>
        </w:rPr>
        <w:t>b</w:t>
      </w:r>
      <w:r w:rsidR="008155C0">
        <w:rPr>
          <w:lang w:val="it-IT"/>
        </w:rPr>
        <w:t xml:space="preserve">, </w:t>
      </w:r>
      <w:r>
        <w:rPr>
          <w:lang w:val="it-IT"/>
        </w:rPr>
        <w:t xml:space="preserve">Michele </w:t>
      </w:r>
      <w:proofErr w:type="spellStart"/>
      <w:proofErr w:type="gramStart"/>
      <w:r>
        <w:rPr>
          <w:lang w:val="it-IT"/>
        </w:rPr>
        <w:t>CAPOBIANCO</w:t>
      </w:r>
      <w:r>
        <w:rPr>
          <w:vertAlign w:val="superscript"/>
          <w:lang w:val="it-IT"/>
        </w:rPr>
        <w:t>a</w:t>
      </w:r>
      <w:proofErr w:type="spellEnd"/>
      <w:r>
        <w:rPr>
          <w:lang w:val="it-IT"/>
        </w:rPr>
        <w:t>,</w:t>
      </w:r>
      <w:r w:rsidR="009A1D67">
        <w:rPr>
          <w:lang w:val="it-IT"/>
        </w:rPr>
        <w:br/>
      </w:r>
      <w:r>
        <w:rPr>
          <w:lang w:val="it-IT"/>
        </w:rPr>
        <w:t>Diego</w:t>
      </w:r>
      <w:proofErr w:type="gramEnd"/>
      <w:r>
        <w:rPr>
          <w:lang w:val="it-IT"/>
        </w:rPr>
        <w:t xml:space="preserve"> </w:t>
      </w:r>
      <w:proofErr w:type="spellStart"/>
      <w:r>
        <w:rPr>
          <w:lang w:val="it-IT"/>
        </w:rPr>
        <w:t>MICHELI</w:t>
      </w:r>
      <w:r>
        <w:rPr>
          <w:vertAlign w:val="superscript"/>
          <w:lang w:val="it-IT"/>
        </w:rPr>
        <w:t>c</w:t>
      </w:r>
      <w:proofErr w:type="spellEnd"/>
      <w:r>
        <w:rPr>
          <w:lang w:val="it-IT"/>
        </w:rPr>
        <w:t xml:space="preserve"> , </w:t>
      </w:r>
      <w:r w:rsidR="008155C0">
        <w:rPr>
          <w:lang w:val="it-IT"/>
        </w:rPr>
        <w:t xml:space="preserve">Paolo </w:t>
      </w:r>
      <w:proofErr w:type="spellStart"/>
      <w:r w:rsidR="008155C0">
        <w:rPr>
          <w:lang w:val="it-IT"/>
        </w:rPr>
        <w:t>PINAMONTI</w:t>
      </w:r>
      <w:r>
        <w:rPr>
          <w:vertAlign w:val="superscript"/>
          <w:lang w:val="it-IT"/>
        </w:rPr>
        <w:t>c</w:t>
      </w:r>
      <w:proofErr w:type="spellEnd"/>
      <w:r w:rsidR="008155C0">
        <w:rPr>
          <w:lang w:val="it-IT"/>
        </w:rPr>
        <w:t xml:space="preserve">, Giuseppe </w:t>
      </w:r>
      <w:proofErr w:type="spellStart"/>
      <w:r w:rsidR="008155C0">
        <w:rPr>
          <w:lang w:val="it-IT"/>
        </w:rPr>
        <w:t>STRANIERI</w:t>
      </w:r>
      <w:r>
        <w:rPr>
          <w:vertAlign w:val="superscript"/>
          <w:lang w:val="it-IT"/>
        </w:rPr>
        <w:t>b</w:t>
      </w:r>
      <w:proofErr w:type="spellEnd"/>
      <w:r w:rsidR="009A1D67">
        <w:rPr>
          <w:lang w:val="it-IT"/>
        </w:rPr>
        <w:t>,</w:t>
      </w:r>
      <w:r w:rsidR="009A1D67">
        <w:rPr>
          <w:lang w:val="it-IT"/>
        </w:rPr>
        <w:br/>
      </w:r>
      <w:r>
        <w:rPr>
          <w:lang w:val="it-IT"/>
        </w:rPr>
        <w:t xml:space="preserve">Rodolfo </w:t>
      </w:r>
      <w:proofErr w:type="spellStart"/>
      <w:r>
        <w:rPr>
          <w:lang w:val="it-IT"/>
        </w:rPr>
        <w:t>TACCANI</w:t>
      </w:r>
      <w:r>
        <w:rPr>
          <w:vertAlign w:val="superscript"/>
          <w:lang w:val="it-IT"/>
        </w:rPr>
        <w:t>c</w:t>
      </w:r>
      <w:proofErr w:type="spellEnd"/>
      <w:r w:rsidR="008155C0">
        <w:rPr>
          <w:lang w:val="it-IT"/>
        </w:rPr>
        <w:t xml:space="preserve"> and </w:t>
      </w:r>
      <w:r>
        <w:rPr>
          <w:lang w:val="it-IT"/>
        </w:rPr>
        <w:t xml:space="preserve">Federico </w:t>
      </w:r>
      <w:proofErr w:type="spellStart"/>
      <w:r>
        <w:rPr>
          <w:lang w:val="it-IT"/>
        </w:rPr>
        <w:t>USTOLIN</w:t>
      </w:r>
      <w:r>
        <w:rPr>
          <w:vertAlign w:val="superscript"/>
          <w:lang w:val="it-IT"/>
        </w:rPr>
        <w:t>c</w:t>
      </w:r>
      <w:proofErr w:type="spellEnd"/>
      <w:r w:rsidR="008155C0">
        <w:rPr>
          <w:lang w:val="it-IT"/>
        </w:rPr>
        <w:t>.</w:t>
      </w:r>
    </w:p>
    <w:p w14:paraId="58570AEA" w14:textId="3F1477AA" w:rsidR="00BD4C5D" w:rsidRDefault="00BD4C5D" w:rsidP="00BD4C5D">
      <w:pPr>
        <w:pStyle w:val="Affiliation"/>
        <w:rPr>
          <w:lang w:val="it-IT"/>
        </w:rPr>
      </w:pPr>
      <w:proofErr w:type="gramStart"/>
      <w:r>
        <w:rPr>
          <w:i w:val="0"/>
          <w:vertAlign w:val="superscript"/>
          <w:lang w:val="it-IT"/>
        </w:rPr>
        <w:t>a</w:t>
      </w:r>
      <w:proofErr w:type="gramEnd"/>
      <w:r w:rsidRPr="00BD4C5D">
        <w:rPr>
          <w:vertAlign w:val="superscript"/>
          <w:lang w:val="it-IT"/>
        </w:rPr>
        <w:t xml:space="preserve"> </w:t>
      </w:r>
      <w:r>
        <w:rPr>
          <w:lang w:val="it-IT"/>
        </w:rPr>
        <w:t>Tempestive</w:t>
      </w:r>
      <w:r w:rsidR="0095442F">
        <w:rPr>
          <w:lang w:val="it-IT"/>
        </w:rPr>
        <w:t xml:space="preserve"> s.r.l., via Roveredo 20b, 33170, Pordenone, </w:t>
      </w:r>
      <w:proofErr w:type="spellStart"/>
      <w:r w:rsidR="0095442F">
        <w:rPr>
          <w:lang w:val="it-IT"/>
        </w:rPr>
        <w:t>Italy</w:t>
      </w:r>
      <w:proofErr w:type="spellEnd"/>
      <w:r w:rsidR="0095442F">
        <w:rPr>
          <w:lang w:val="it-IT"/>
        </w:rPr>
        <w:t xml:space="preserve"> </w:t>
      </w:r>
    </w:p>
    <w:p w14:paraId="1E4A910C" w14:textId="2817BD3C" w:rsidR="00BD4C5D" w:rsidRPr="00C7493A" w:rsidRDefault="003572B7">
      <w:pPr>
        <w:pStyle w:val="Affiliation"/>
        <w:rPr>
          <w:lang w:val="it-IT"/>
        </w:rPr>
      </w:pPr>
      <w:proofErr w:type="spellStart"/>
      <w:proofErr w:type="gramStart"/>
      <w:r w:rsidRPr="00C7493A">
        <w:rPr>
          <w:i w:val="0"/>
          <w:vertAlign w:val="superscript"/>
          <w:lang w:val="it-IT"/>
        </w:rPr>
        <w:t>b</w:t>
      </w:r>
      <w:r w:rsidR="00BD4C5D" w:rsidRPr="003572B7">
        <w:rPr>
          <w:lang w:val="it-IT"/>
        </w:rPr>
        <w:t>Cetena</w:t>
      </w:r>
      <w:proofErr w:type="spellEnd"/>
      <w:proofErr w:type="gramEnd"/>
      <w:r w:rsidR="0095442F">
        <w:rPr>
          <w:lang w:val="it-IT"/>
        </w:rPr>
        <w:t xml:space="preserve"> </w:t>
      </w:r>
      <w:proofErr w:type="spellStart"/>
      <w:r w:rsidR="0095442F">
        <w:rPr>
          <w:lang w:val="it-IT"/>
        </w:rPr>
        <w:t>s.p.a.</w:t>
      </w:r>
      <w:proofErr w:type="spellEnd"/>
      <w:r w:rsidR="0095442F">
        <w:rPr>
          <w:lang w:val="it-IT"/>
        </w:rPr>
        <w:t xml:space="preserve">, via Ippolito d’Aste 5, 16121, Genova, </w:t>
      </w:r>
      <w:proofErr w:type="spellStart"/>
      <w:r w:rsidR="0095442F">
        <w:rPr>
          <w:lang w:val="it-IT"/>
        </w:rPr>
        <w:t>Italy</w:t>
      </w:r>
      <w:proofErr w:type="spellEnd"/>
    </w:p>
    <w:p w14:paraId="56A63B04" w14:textId="31E05945" w:rsidR="003572B7" w:rsidRPr="0095442F" w:rsidRDefault="003572B7" w:rsidP="0095442F">
      <w:pPr>
        <w:ind w:firstLine="0"/>
        <w:jc w:val="center"/>
        <w:rPr>
          <w:i/>
          <w:szCs w:val="20"/>
          <w:lang w:val="it-IT"/>
        </w:rPr>
      </w:pPr>
      <w:proofErr w:type="spellStart"/>
      <w:proofErr w:type="gramStart"/>
      <w:r w:rsidRPr="0095442F">
        <w:rPr>
          <w:i/>
          <w:szCs w:val="20"/>
          <w:vertAlign w:val="superscript"/>
          <w:lang w:val="it-IT"/>
        </w:rPr>
        <w:t>c</w:t>
      </w:r>
      <w:r w:rsidRPr="0095442F">
        <w:rPr>
          <w:i/>
          <w:szCs w:val="20"/>
          <w:lang w:val="it-IT"/>
        </w:rPr>
        <w:t>Università</w:t>
      </w:r>
      <w:proofErr w:type="spellEnd"/>
      <w:proofErr w:type="gramEnd"/>
      <w:r w:rsidRPr="0095442F">
        <w:rPr>
          <w:i/>
          <w:szCs w:val="20"/>
          <w:lang w:val="it-IT"/>
        </w:rPr>
        <w:t xml:space="preserve"> degli Studi di Trieste</w:t>
      </w:r>
      <w:r w:rsidR="0095442F">
        <w:rPr>
          <w:i/>
          <w:szCs w:val="20"/>
          <w:lang w:val="it-IT"/>
        </w:rPr>
        <w:t>,</w:t>
      </w:r>
      <w:r w:rsidR="0095442F" w:rsidRPr="0095442F">
        <w:rPr>
          <w:i/>
          <w:szCs w:val="20"/>
          <w:lang w:val="it-IT"/>
        </w:rPr>
        <w:t xml:space="preserve"> Dipartimento di Ingegneria e Architettura</w:t>
      </w:r>
      <w:r w:rsidR="0095442F">
        <w:rPr>
          <w:i/>
          <w:szCs w:val="20"/>
          <w:lang w:val="it-IT"/>
        </w:rPr>
        <w:t>,</w:t>
      </w:r>
      <w:r w:rsidR="0095442F">
        <w:rPr>
          <w:i/>
          <w:szCs w:val="20"/>
          <w:lang w:val="it-IT"/>
        </w:rPr>
        <w:br/>
      </w:r>
      <w:r w:rsidR="0095442F" w:rsidRPr="0095442F">
        <w:rPr>
          <w:i/>
          <w:szCs w:val="20"/>
          <w:lang w:val="it-IT"/>
        </w:rPr>
        <w:t>V. Valerio 8, 34127, Trieste</w:t>
      </w:r>
      <w:r w:rsidR="0095442F">
        <w:rPr>
          <w:i/>
          <w:szCs w:val="20"/>
          <w:lang w:val="it-IT"/>
        </w:rPr>
        <w:t xml:space="preserve">, </w:t>
      </w:r>
      <w:proofErr w:type="spellStart"/>
      <w:r w:rsidR="0095442F">
        <w:rPr>
          <w:i/>
          <w:szCs w:val="20"/>
          <w:lang w:val="it-IT"/>
        </w:rPr>
        <w:t>Italy</w:t>
      </w:r>
      <w:proofErr w:type="spellEnd"/>
    </w:p>
    <w:p w14:paraId="5EF09EB6" w14:textId="3965FD85" w:rsidR="00B05D6E" w:rsidRDefault="00B05D6E" w:rsidP="00FC12C2">
      <w:pPr>
        <w:pStyle w:val="Abstract"/>
      </w:pPr>
      <w:r w:rsidRPr="005246F7">
        <w:rPr>
          <w:b/>
          <w:lang w:val="en-GB"/>
        </w:rPr>
        <w:t>Abstract.</w:t>
      </w:r>
      <w:r w:rsidRPr="005246F7">
        <w:rPr>
          <w:lang w:val="en-GB"/>
        </w:rPr>
        <w:t xml:space="preserve"> </w:t>
      </w:r>
      <w:r w:rsidR="00021F77">
        <w:t>The number of cruise ships sailing is growing constantly worldwide</w:t>
      </w:r>
      <w:r w:rsidR="005246F7">
        <w:t>,</w:t>
      </w:r>
      <w:r w:rsidR="00021F77">
        <w:t xml:space="preserve"> driven by </w:t>
      </w:r>
      <w:r w:rsidR="005246F7">
        <w:t xml:space="preserve">a continuously </w:t>
      </w:r>
      <w:r w:rsidR="00021F77">
        <w:t xml:space="preserve">increasing number of passengers. Higher attention to this ship </w:t>
      </w:r>
      <w:r w:rsidR="005246F7">
        <w:t>segment</w:t>
      </w:r>
      <w:r w:rsidR="00021F77">
        <w:t xml:space="preserve"> runs together with more complex energy systems installed on board due to the need</w:t>
      </w:r>
      <w:r w:rsidR="005246F7">
        <w:t>s of improving</w:t>
      </w:r>
      <w:r w:rsidR="00021F77">
        <w:t xml:space="preserve"> energy efficiency</w:t>
      </w:r>
      <w:r w:rsidR="005246F7">
        <w:t xml:space="preserve"> and reducing operational costs</w:t>
      </w:r>
      <w:r w:rsidR="00021F77">
        <w:t xml:space="preserve">. For </w:t>
      </w:r>
      <w:r w:rsidR="00454F00">
        <w:t>these reasons</w:t>
      </w:r>
      <w:r w:rsidR="00021F77">
        <w:t>, ship Owners and Shipyards are involved in the design of power plants and energy management systems that ensure lower fuel consumption and compliance with increasingly stringent IMO regulatory requirements on emissions.</w:t>
      </w:r>
      <w:r w:rsidR="005246F7">
        <w:t xml:space="preserve"> To respond to these needs, w</w:t>
      </w:r>
      <w:r w:rsidR="0095442F">
        <w:t xml:space="preserve">e hereby introduce </w:t>
      </w:r>
      <w:r w:rsidR="00021F77">
        <w:t xml:space="preserve">LESS </w:t>
      </w:r>
      <w:r w:rsidR="0095442F">
        <w:t xml:space="preserve">(Low Energy Ship </w:t>
      </w:r>
      <w:proofErr w:type="spellStart"/>
      <w:r w:rsidR="0095442F">
        <w:t>deSign</w:t>
      </w:r>
      <w:proofErr w:type="spellEnd"/>
      <w:r w:rsidR="0095442F">
        <w:t xml:space="preserve"> tool),</w:t>
      </w:r>
      <w:r w:rsidR="00021F77">
        <w:t xml:space="preserve"> a simulation environment </w:t>
      </w:r>
      <w:r w:rsidR="0095442F">
        <w:t xml:space="preserve">developed </w:t>
      </w:r>
      <w:r w:rsidR="00021F77">
        <w:t xml:space="preserve">to support the designers to choose among different propulsion/hotel plants solutions </w:t>
      </w:r>
      <w:r w:rsidR="009A1D67">
        <w:t>since</w:t>
      </w:r>
      <w:r w:rsidR="00021F77">
        <w:t xml:space="preserve"> the early stage of the ship design. The software allows </w:t>
      </w:r>
      <w:r w:rsidR="005246F7">
        <w:t>analyzing</w:t>
      </w:r>
      <w:r w:rsidR="00021F77">
        <w:t xml:space="preserve"> the energy performance of different plant </w:t>
      </w:r>
      <w:r w:rsidR="005246F7">
        <w:t>layouts</w:t>
      </w:r>
      <w:r w:rsidR="00021F77">
        <w:t xml:space="preserve"> and system components</w:t>
      </w:r>
      <w:r w:rsidR="009A1D67">
        <w:t xml:space="preserve"> and eases the integration of energy recovery solutions</w:t>
      </w:r>
      <w:r w:rsidR="00021F77">
        <w:t xml:space="preserve">. In particular, the </w:t>
      </w:r>
      <w:r w:rsidR="005246F7">
        <w:t xml:space="preserve">library of components </w:t>
      </w:r>
      <w:r w:rsidR="00081CBE">
        <w:t>includes</w:t>
      </w:r>
      <w:r w:rsidR="00021F77">
        <w:t xml:space="preserve"> heat recovery packages such as Organic </w:t>
      </w:r>
      <w:proofErr w:type="spellStart"/>
      <w:r w:rsidR="00021F77">
        <w:t>Rankine</w:t>
      </w:r>
      <w:proofErr w:type="spellEnd"/>
      <w:r w:rsidR="00021F77">
        <w:t xml:space="preserve"> Cycles (ORC) systems</w:t>
      </w:r>
      <w:r w:rsidR="005246F7">
        <w:t xml:space="preserve"> to reduce “</w:t>
      </w:r>
      <w:proofErr w:type="spellStart"/>
      <w:r w:rsidR="005246F7">
        <w:t>non propulsive</w:t>
      </w:r>
      <w:proofErr w:type="spellEnd"/>
      <w:r w:rsidR="005246F7">
        <w:t>” power demand</w:t>
      </w:r>
      <w:r w:rsidR="00021F77">
        <w:t>.</w:t>
      </w:r>
    </w:p>
    <w:p w14:paraId="50058821" w14:textId="77777777" w:rsidR="00B05D6E" w:rsidRDefault="00B05D6E">
      <w:pPr>
        <w:pStyle w:val="Keywords"/>
      </w:pPr>
      <w:r>
        <w:rPr>
          <w:b/>
        </w:rPr>
        <w:t>Keywords.</w:t>
      </w:r>
      <w:r>
        <w:t xml:space="preserve"> </w:t>
      </w:r>
      <w:r w:rsidR="001160EA">
        <w:t xml:space="preserve">Energy </w:t>
      </w:r>
      <w:r w:rsidR="00BF08A6">
        <w:t>recovery</w:t>
      </w:r>
      <w:r w:rsidR="001160EA">
        <w:t xml:space="preserve">, </w:t>
      </w:r>
      <w:r w:rsidR="00454F00">
        <w:t>Cruise ship</w:t>
      </w:r>
      <w:r w:rsidR="00606D23">
        <w:t>s</w:t>
      </w:r>
      <w:r w:rsidR="00454F00">
        <w:t xml:space="preserve">, </w:t>
      </w:r>
      <w:r w:rsidR="001160EA">
        <w:t>Emissions, Efficiency</w:t>
      </w:r>
      <w:r w:rsidR="00F6083B">
        <w:t xml:space="preserve"> </w:t>
      </w:r>
    </w:p>
    <w:p w14:paraId="7F4435EC" w14:textId="77777777" w:rsidR="00B05D6E" w:rsidRDefault="00B05D6E" w:rsidP="00F07FC3">
      <w:pPr>
        <w:pStyle w:val="Titolo1"/>
      </w:pPr>
      <w:r>
        <w:t>Introduction</w:t>
      </w:r>
    </w:p>
    <w:p w14:paraId="5F67D33D" w14:textId="0A3F320D" w:rsidR="001E7334" w:rsidRDefault="001D11DF" w:rsidP="00FB1456">
      <w:pPr>
        <w:ind w:firstLine="0"/>
      </w:pPr>
      <w:r>
        <w:t>T</w:t>
      </w:r>
      <w:r w:rsidRPr="00F25002">
        <w:t>he cruise ship industry</w:t>
      </w:r>
      <w:r>
        <w:t>,</w:t>
      </w:r>
      <w:r w:rsidRPr="00F25002">
        <w:t xml:space="preserve"> in recent years</w:t>
      </w:r>
      <w:r>
        <w:t>,</w:t>
      </w:r>
      <w:r w:rsidRPr="00F25002">
        <w:t xml:space="preserve"> has begun to worry about </w:t>
      </w:r>
      <w:r>
        <w:t>the</w:t>
      </w:r>
      <w:r w:rsidRPr="00F25002">
        <w:t xml:space="preserve"> environmental impact.</w:t>
      </w:r>
      <w:r>
        <w:t xml:space="preserve"> Cruise ships generally use Heavy Fuel Oil (HFO), which is a low-cost fuel with </w:t>
      </w:r>
      <w:r w:rsidRPr="007361F7">
        <w:t>a particularly high viscosity and density</w:t>
      </w:r>
      <w:r>
        <w:t xml:space="preserve"> </w:t>
      </w:r>
      <w:r>
        <w:fldChar w:fldCharType="begin"/>
      </w:r>
      <w:r>
        <w:instrText xml:space="preserve"> REF _Ref508959945 \r \h </w:instrText>
      </w:r>
      <w:r>
        <w:fldChar w:fldCharType="separate"/>
      </w:r>
      <w:r w:rsidR="00254850">
        <w:t>[1]</w:t>
      </w:r>
      <w:r>
        <w:fldChar w:fldCharType="end"/>
      </w:r>
      <w:r w:rsidRPr="007361F7">
        <w:t>.</w:t>
      </w:r>
      <w:r>
        <w:t xml:space="preserve"> Since </w:t>
      </w:r>
      <w:proofErr w:type="gramStart"/>
      <w:r>
        <w:t>1960s</w:t>
      </w:r>
      <w:proofErr w:type="gramEnd"/>
      <w:r>
        <w:t xml:space="preserve"> HFO</w:t>
      </w:r>
      <w:r w:rsidRPr="0063697E">
        <w:t xml:space="preserve"> has been by far the most used fuel,</w:t>
      </w:r>
      <w:r>
        <w:t xml:space="preserve"> </w:t>
      </w:r>
      <w:r w:rsidRPr="0063697E">
        <w:t>and</w:t>
      </w:r>
      <w:r>
        <w:t xml:space="preserve"> it</w:t>
      </w:r>
      <w:r w:rsidRPr="0063697E">
        <w:t xml:space="preserve"> has been one of the reasons for the </w:t>
      </w:r>
      <w:r>
        <w:t>robust</w:t>
      </w:r>
      <w:r w:rsidRPr="0063697E">
        <w:t xml:space="preserve"> growth of </w:t>
      </w:r>
      <w:r>
        <w:t>international maritime</w:t>
      </w:r>
      <w:r w:rsidRPr="0063697E">
        <w:t xml:space="preserve"> trade</w:t>
      </w:r>
      <w:r>
        <w:t>.</w:t>
      </w:r>
      <w:r w:rsidR="00426D58">
        <w:t xml:space="preserve"> </w:t>
      </w:r>
      <w:proofErr w:type="gramStart"/>
      <w:r w:rsidR="001E7334">
        <w:t>But</w:t>
      </w:r>
      <w:proofErr w:type="gramEnd"/>
      <w:r w:rsidR="001E7334">
        <w:t xml:space="preserve">, besides of being a low-cost fuel, HFO is also a low-quality fuel, and it </w:t>
      </w:r>
      <w:r w:rsidR="001E7334" w:rsidRPr="005226B9">
        <w:t xml:space="preserve">has raised concerns over </w:t>
      </w:r>
      <w:r w:rsidR="001E7334">
        <w:t>its</w:t>
      </w:r>
      <w:r w:rsidR="001E7334" w:rsidRPr="005226B9">
        <w:t xml:space="preserve"> environmental impact and its contribution to anthropogenic climate change caused by the green</w:t>
      </w:r>
      <w:r w:rsidR="001E7334">
        <w:t>h</w:t>
      </w:r>
      <w:r w:rsidR="001E7334" w:rsidRPr="005226B9">
        <w:t>ouse gases emitted by the burning of HFOs to power shipping</w:t>
      </w:r>
      <w:r w:rsidR="001E7334">
        <w:t xml:space="preserve">. In particular, HFO contains high levels of asphalt, carbon residues, </w:t>
      </w:r>
      <w:r w:rsidR="001E7334" w:rsidRPr="00BD4C5D">
        <w:t>sulfur and metallic compounds. Its high sulfur content (up to 4.5%) leads to particularly high sulfur oxide (</w:t>
      </w:r>
      <w:proofErr w:type="spellStart"/>
      <w:r w:rsidR="001E7334" w:rsidRPr="00BD4C5D">
        <w:t>SOx</w:t>
      </w:r>
      <w:proofErr w:type="spellEnd"/>
      <w:r w:rsidR="001E7334" w:rsidRPr="00BD4C5D">
        <w:t>) emissions</w:t>
      </w:r>
      <w:r w:rsidR="002B519D">
        <w:t xml:space="preserve"> thus contributing in a significant manner to the</w:t>
      </w:r>
      <w:r w:rsidR="001E7334" w:rsidRPr="00BD4C5D">
        <w:t xml:space="preserve"> global emissions of sulfur dioxide (SO</w:t>
      </w:r>
      <w:r w:rsidR="001E7334" w:rsidRPr="00BD4C5D">
        <w:rPr>
          <w:vertAlign w:val="subscript"/>
        </w:rPr>
        <w:t>2</w:t>
      </w:r>
      <w:r w:rsidR="002B519D">
        <w:t>)</w:t>
      </w:r>
      <w:r w:rsidR="005246F7">
        <w:t>.</w:t>
      </w:r>
    </w:p>
    <w:p w14:paraId="075E5303" w14:textId="463A8BF6" w:rsidR="00785F1C" w:rsidRDefault="00C14DE2" w:rsidP="00785F1C">
      <w:r>
        <w:t xml:space="preserve">In the </w:t>
      </w:r>
      <w:proofErr w:type="gramStart"/>
      <w:r>
        <w:t>1970s</w:t>
      </w:r>
      <w:proofErr w:type="gramEnd"/>
      <w:r>
        <w:t xml:space="preserve"> the </w:t>
      </w:r>
      <w:r w:rsidR="00D311C4" w:rsidRPr="001E2A80">
        <w:t>International Maritime Organization (IMO)</w:t>
      </w:r>
      <w:r>
        <w:t xml:space="preserve"> </w:t>
      </w:r>
      <w:r w:rsidR="00D311C4">
        <w:t xml:space="preserve">issued </w:t>
      </w:r>
      <w:r w:rsidRPr="00C14DE2">
        <w:t>MARPOL 73/78</w:t>
      </w:r>
      <w:r>
        <w:t xml:space="preserve"> in order to</w:t>
      </w:r>
      <w:r w:rsidRPr="00C14DE2">
        <w:t xml:space="preserve"> minimize pollution of the oceans and seas, including dumping, oil and air pollution</w:t>
      </w:r>
      <w:r w:rsidR="00AD5F01">
        <w:t>.</w:t>
      </w:r>
      <w:r w:rsidR="001B0ED9">
        <w:t xml:space="preserve"> </w:t>
      </w:r>
    </w:p>
    <w:p w14:paraId="3170AD62" w14:textId="77777777" w:rsidR="00250B2F" w:rsidRDefault="00250B2F" w:rsidP="009437AD"/>
    <w:p w14:paraId="23B7F9AE" w14:textId="77777777" w:rsidR="00B75BDD" w:rsidRDefault="00643170" w:rsidP="00643170">
      <w:pPr>
        <w:ind w:firstLine="0"/>
        <w:jc w:val="center"/>
      </w:pPr>
      <w:r w:rsidRPr="003C5DB5">
        <w:rPr>
          <w:noProof/>
          <w:lang w:val="en-GB" w:eastAsia="en-GB"/>
        </w:rPr>
        <w:drawing>
          <wp:inline distT="0" distB="0" distL="0" distR="0" wp14:anchorId="69CD180F" wp14:editId="7C20E345">
            <wp:extent cx="2143147" cy="1442042"/>
            <wp:effectExtent l="0" t="0" r="0" b="6350"/>
            <wp:docPr id="11"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7F34A8-FA62-40C1-B6BD-BC8C5F9ADBE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7F34A8-FA62-40C1-B6BD-BC8C5F9ADBEF}"/>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733" cy="1501648"/>
                    </a:xfrm>
                    <a:prstGeom prst="rect">
                      <a:avLst/>
                    </a:prstGeom>
                  </pic:spPr>
                </pic:pic>
              </a:graphicData>
            </a:graphic>
          </wp:inline>
        </w:drawing>
      </w:r>
      <w:r w:rsidRPr="003C5DB5">
        <w:rPr>
          <w:noProof/>
          <w:lang w:val="en-GB" w:eastAsia="en-GB"/>
        </w:rPr>
        <w:drawing>
          <wp:inline distT="0" distB="0" distL="0" distR="0" wp14:anchorId="14BBB685" wp14:editId="0055C7E3">
            <wp:extent cx="2225607" cy="1384254"/>
            <wp:effectExtent l="0" t="0" r="3810" b="6985"/>
            <wp:docPr id="14" name="Picture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630C87-0BCD-4328-9935-C66FB7A862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630C87-0BCD-4328-9935-C66FB7A86228}"/>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63099" cy="1407573"/>
                    </a:xfrm>
                    <a:prstGeom prst="rect">
                      <a:avLst/>
                    </a:prstGeom>
                  </pic:spPr>
                </pic:pic>
              </a:graphicData>
            </a:graphic>
          </wp:inline>
        </w:drawing>
      </w:r>
    </w:p>
    <w:p w14:paraId="5F2ABDA2" w14:textId="1612D4A1" w:rsidR="00643170" w:rsidRDefault="00643170" w:rsidP="00D22FCE">
      <w:pPr>
        <w:pStyle w:val="CaptionShort"/>
      </w:pPr>
      <w:r>
        <w:rPr>
          <w:b/>
        </w:rPr>
        <w:t xml:space="preserve">Figure </w:t>
      </w:r>
      <w:r w:rsidR="00081CBE">
        <w:rPr>
          <w:b/>
        </w:rPr>
        <w:t>1</w:t>
      </w:r>
      <w:r>
        <w:rPr>
          <w:b/>
        </w:rPr>
        <w:t>.</w:t>
      </w:r>
      <w:r>
        <w:t xml:space="preserve"> </w:t>
      </w:r>
      <w:r w:rsidR="00296534" w:rsidRPr="00296534">
        <w:t xml:space="preserve">MARPOL </w:t>
      </w:r>
      <w:proofErr w:type="spellStart"/>
      <w:r w:rsidR="00296534" w:rsidRPr="00296534">
        <w:t>NOx</w:t>
      </w:r>
      <w:proofErr w:type="spellEnd"/>
      <w:r w:rsidR="00296534">
        <w:t xml:space="preserve"> and </w:t>
      </w:r>
      <w:proofErr w:type="spellStart"/>
      <w:r w:rsidR="00296534">
        <w:t>SOx’s</w:t>
      </w:r>
      <w:proofErr w:type="spellEnd"/>
      <w:r w:rsidR="00296534" w:rsidRPr="00296534">
        <w:t xml:space="preserve"> threshold limits value </w:t>
      </w:r>
      <w:r w:rsidR="005312F6">
        <w:fldChar w:fldCharType="begin"/>
      </w:r>
      <w:r w:rsidR="005312F6">
        <w:instrText xml:space="preserve"> REF _Ref508973037 \r \h </w:instrText>
      </w:r>
      <w:r w:rsidR="005312F6">
        <w:fldChar w:fldCharType="separate"/>
      </w:r>
      <w:r w:rsidR="00254850">
        <w:t>[2]</w:t>
      </w:r>
      <w:r w:rsidR="005312F6">
        <w:fldChar w:fldCharType="end"/>
      </w:r>
      <w:r>
        <w:t>.</w:t>
      </w:r>
    </w:p>
    <w:p w14:paraId="05B9DD8D" w14:textId="623ED3F3" w:rsidR="00A5792F" w:rsidRPr="00614BB0" w:rsidRDefault="00F91401" w:rsidP="00567FD3">
      <w:pPr>
        <w:rPr>
          <w:b/>
        </w:rPr>
      </w:pPr>
      <w:r>
        <w:t>I</w:t>
      </w:r>
      <w:r w:rsidRPr="00F91401">
        <w:t xml:space="preserve">n addition to the </w:t>
      </w:r>
      <w:r w:rsidR="002B519D">
        <w:t xml:space="preserve">limits </w:t>
      </w:r>
      <w:r w:rsidR="00041478" w:rsidRPr="00F91401">
        <w:t xml:space="preserve">on the </w:t>
      </w:r>
      <w:proofErr w:type="spellStart"/>
      <w:r w:rsidR="00041478" w:rsidRPr="00F91401">
        <w:t>NOx</w:t>
      </w:r>
      <w:proofErr w:type="spellEnd"/>
      <w:r w:rsidR="00041478" w:rsidRPr="00F91401">
        <w:t xml:space="preserve"> and </w:t>
      </w:r>
      <w:proofErr w:type="spellStart"/>
      <w:r w:rsidR="00041478" w:rsidRPr="00F91401">
        <w:t>SOx</w:t>
      </w:r>
      <w:proofErr w:type="spellEnd"/>
      <w:r w:rsidR="00041478" w:rsidRPr="00F91401">
        <w:t xml:space="preserve"> </w:t>
      </w:r>
      <w:r w:rsidR="00041478">
        <w:t>emissions (Figure 1)</w:t>
      </w:r>
      <w:r>
        <w:t>, IMO</w:t>
      </w:r>
      <w:r w:rsidR="003A0D8C">
        <w:t xml:space="preserve"> </w:t>
      </w:r>
      <w:r w:rsidR="002B519D">
        <w:t xml:space="preserve">introduced </w:t>
      </w:r>
      <w:r w:rsidR="003A0D8C">
        <w:t>the Energy Efficiency Design Index (EEDI)</w:t>
      </w:r>
      <w:r w:rsidR="00246455">
        <w:t>, which</w:t>
      </w:r>
      <w:r w:rsidR="003A0D8C">
        <w:t xml:space="preserve"> </w:t>
      </w:r>
      <w:proofErr w:type="gramStart"/>
      <w:r w:rsidR="00246455" w:rsidRPr="00632E7F">
        <w:t>is used</w:t>
      </w:r>
      <w:proofErr w:type="gramEnd"/>
      <w:r w:rsidR="00246455" w:rsidRPr="00632E7F">
        <w:t xml:space="preserve"> to calculate </w:t>
      </w:r>
      <w:r w:rsidR="00086F91">
        <w:t>the</w:t>
      </w:r>
      <w:r w:rsidR="00086F91" w:rsidRPr="00632E7F">
        <w:t xml:space="preserve"> </w:t>
      </w:r>
      <w:r w:rsidR="00246455" w:rsidRPr="00632E7F">
        <w:t>vessel’s energy efficiency</w:t>
      </w:r>
      <w:r w:rsidR="00086F91">
        <w:t xml:space="preserve">. </w:t>
      </w:r>
      <w:r w:rsidR="00246455" w:rsidRPr="00632E7F">
        <w:t xml:space="preserve">This </w:t>
      </w:r>
      <w:proofErr w:type="gramStart"/>
      <w:r w:rsidR="00246455" w:rsidRPr="00632E7F">
        <w:t>is based</w:t>
      </w:r>
      <w:proofErr w:type="gramEnd"/>
      <w:r w:rsidR="00246455" w:rsidRPr="00632E7F">
        <w:t xml:space="preserve"> on a formula, taking the ship’s emissions</w:t>
      </w:r>
      <w:r w:rsidR="00917A9B">
        <w:t xml:space="preserve"> (CO</w:t>
      </w:r>
      <w:r w:rsidR="00917A9B" w:rsidRPr="00917A9B">
        <w:rPr>
          <w:vertAlign w:val="subscript"/>
        </w:rPr>
        <w:t>2</w:t>
      </w:r>
      <w:r w:rsidR="00917A9B">
        <w:t>),</w:t>
      </w:r>
      <w:r w:rsidR="00246455" w:rsidRPr="00632E7F">
        <w:t xml:space="preserve"> capacity, and speed into account</w:t>
      </w:r>
      <w:r w:rsidR="002869C0">
        <w:t xml:space="preserve"> </w:t>
      </w:r>
      <w:r w:rsidR="002869C0">
        <w:fldChar w:fldCharType="begin"/>
      </w:r>
      <w:r w:rsidR="002869C0">
        <w:instrText xml:space="preserve"> REF _Ref508983682 \r \h </w:instrText>
      </w:r>
      <w:r w:rsidR="002869C0">
        <w:fldChar w:fldCharType="separate"/>
      </w:r>
      <w:r w:rsidR="00254850">
        <w:t>[3]</w:t>
      </w:r>
      <w:r w:rsidR="002869C0">
        <w:fldChar w:fldCharType="end"/>
      </w:r>
      <w:r w:rsidR="002869C0">
        <w:t>.</w:t>
      </w:r>
      <w:r w:rsidR="00785F1C">
        <w:t xml:space="preserve"> </w:t>
      </w:r>
      <w:r w:rsidR="00246455" w:rsidRPr="00632E7F">
        <w:t xml:space="preserve">The lower a ship’s EEDI, the more energy-efficient it is and the lower its negative </w:t>
      </w:r>
      <w:proofErr w:type="gramStart"/>
      <w:r w:rsidR="00246455" w:rsidRPr="00632E7F">
        <w:t>impact on</w:t>
      </w:r>
      <w:proofErr w:type="gramEnd"/>
      <w:r w:rsidR="00246455" w:rsidRPr="00632E7F">
        <w:t xml:space="preserve"> the environment. IMO regulations stipulate that </w:t>
      </w:r>
      <w:r w:rsidR="00E22918">
        <w:t>all new ships, over 400 gross tonnage,</w:t>
      </w:r>
      <w:r w:rsidR="00E22918" w:rsidRPr="00632E7F">
        <w:t xml:space="preserve"> </w:t>
      </w:r>
      <w:r w:rsidR="00246455" w:rsidRPr="00632E7F">
        <w:t>must meet a minimum energy efficiency requirement, so their EEDI must not exceed a given threshold</w:t>
      </w:r>
      <w:r w:rsidR="00041478">
        <w:t xml:space="preserve">, as it </w:t>
      </w:r>
      <w:proofErr w:type="gramStart"/>
      <w:r w:rsidR="00041478">
        <w:t>is shown</w:t>
      </w:r>
      <w:proofErr w:type="gramEnd"/>
      <w:r w:rsidR="00041478">
        <w:t xml:space="preserve"> in Figure 2</w:t>
      </w:r>
      <w:r w:rsidR="00086F91">
        <w:t>. This</w:t>
      </w:r>
      <w:r w:rsidR="0060162B">
        <w:t xml:space="preserve"> </w:t>
      </w:r>
      <w:r w:rsidR="00246455">
        <w:t>value</w:t>
      </w:r>
      <w:r w:rsidR="00086F91">
        <w:t xml:space="preserve">, </w:t>
      </w:r>
      <w:r w:rsidR="002B44EF">
        <w:t>in effect</w:t>
      </w:r>
      <w:r w:rsidR="00086F91">
        <w:t xml:space="preserve"> from 2015</w:t>
      </w:r>
      <w:r w:rsidR="00917A9B">
        <w:t>,</w:t>
      </w:r>
      <w:r w:rsidR="00086F91">
        <w:t xml:space="preserve"> </w:t>
      </w:r>
      <w:proofErr w:type="gramStart"/>
      <w:r w:rsidR="00246455">
        <w:t>is tightened</w:t>
      </w:r>
      <w:proofErr w:type="gramEnd"/>
      <w:r w:rsidR="00246455">
        <w:t xml:space="preserve"> incrementally </w:t>
      </w:r>
      <w:r w:rsidR="00086F91">
        <w:t xml:space="preserve">over a period of 5 years, </w:t>
      </w:r>
      <w:r w:rsidR="00246455">
        <w:t xml:space="preserve">and it is </w:t>
      </w:r>
      <w:r w:rsidR="0060162B" w:rsidRPr="00632E7F">
        <w:t>expected to stimulate continued innovation and technical development of all the components influencing the fuel efficiency of a ship from its design phase.</w:t>
      </w:r>
      <w:r w:rsidR="002B44EF">
        <w:t xml:space="preserve"> </w:t>
      </w:r>
      <w:r w:rsidR="006D1071">
        <w:t xml:space="preserve">If implemented according to </w:t>
      </w:r>
      <w:r w:rsidR="00917A9B">
        <w:t>the</w:t>
      </w:r>
      <w:r w:rsidR="006D1071">
        <w:t xml:space="preserve"> time schedule, </w:t>
      </w:r>
      <w:r w:rsidR="002B44EF">
        <w:t>forecasts</w:t>
      </w:r>
      <w:r w:rsidR="006D1071">
        <w:t xml:space="preserve"> </w:t>
      </w:r>
      <w:r w:rsidR="002B44EF">
        <w:t>say</w:t>
      </w:r>
      <w:r w:rsidR="006D1071">
        <w:t xml:space="preserve"> that up to 263 million </w:t>
      </w:r>
      <w:r w:rsidR="00567FD3">
        <w:t>tons</w:t>
      </w:r>
      <w:r w:rsidR="006D1071">
        <w:t xml:space="preserve"> of CO</w:t>
      </w:r>
      <w:r w:rsidR="006D1071" w:rsidRPr="00614BB0">
        <w:rPr>
          <w:vertAlign w:val="subscript"/>
        </w:rPr>
        <w:t>2</w:t>
      </w:r>
      <w:r w:rsidR="006D1071">
        <w:t xml:space="preserve"> will be reduced annually by 2030</w:t>
      </w:r>
      <w:r w:rsidR="00673D68">
        <w:t xml:space="preserve"> </w:t>
      </w:r>
      <w:r w:rsidR="00673D68">
        <w:fldChar w:fldCharType="begin"/>
      </w:r>
      <w:r w:rsidR="00673D68">
        <w:instrText xml:space="preserve"> REF _Ref508984078 \r \h </w:instrText>
      </w:r>
      <w:r w:rsidR="00673D68">
        <w:fldChar w:fldCharType="separate"/>
      </w:r>
      <w:r w:rsidR="00254850">
        <w:t>[4]</w:t>
      </w:r>
      <w:r w:rsidR="00673D68">
        <w:fldChar w:fldCharType="end"/>
      </w:r>
      <w:r w:rsidR="00673D68">
        <w:t>.</w:t>
      </w:r>
    </w:p>
    <w:p w14:paraId="46751AB4" w14:textId="77777777" w:rsidR="006D1071" w:rsidRPr="00614BB0" w:rsidRDefault="006D1071" w:rsidP="00567FD3">
      <w:pPr>
        <w:ind w:firstLine="0"/>
        <w:rPr>
          <w:b/>
        </w:rPr>
      </w:pPr>
    </w:p>
    <w:p w14:paraId="158E32E0" w14:textId="77777777" w:rsidR="00DD6003" w:rsidRPr="00632E7F" w:rsidRDefault="00DD6003" w:rsidP="00C7493A">
      <w:pPr>
        <w:ind w:firstLine="0"/>
        <w:jc w:val="center"/>
      </w:pPr>
      <w:r>
        <w:rPr>
          <w:noProof/>
          <w:lang w:val="en-GB" w:eastAsia="en-GB"/>
        </w:rPr>
        <w:drawing>
          <wp:inline distT="0" distB="0" distL="0" distR="0" wp14:anchorId="75E21273" wp14:editId="158A65DA">
            <wp:extent cx="3921071" cy="1648512"/>
            <wp:effectExtent l="0" t="0" r="381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27410" cy="1651177"/>
                    </a:xfrm>
                    <a:prstGeom prst="rect">
                      <a:avLst/>
                    </a:prstGeom>
                  </pic:spPr>
                </pic:pic>
              </a:graphicData>
            </a:graphic>
          </wp:inline>
        </w:drawing>
      </w:r>
    </w:p>
    <w:p w14:paraId="10471FFD" w14:textId="58057B52" w:rsidR="00643170" w:rsidRDefault="009070AE" w:rsidP="00D22FCE">
      <w:pPr>
        <w:pStyle w:val="CaptionShort"/>
      </w:pPr>
      <w:r>
        <w:rPr>
          <w:b/>
        </w:rPr>
        <w:t xml:space="preserve">Figure </w:t>
      </w:r>
      <w:r w:rsidR="00081CBE">
        <w:rPr>
          <w:b/>
        </w:rPr>
        <w:t>2</w:t>
      </w:r>
      <w:r>
        <w:rPr>
          <w:b/>
        </w:rPr>
        <w:t>.</w:t>
      </w:r>
      <w:r>
        <w:t xml:space="preserve"> Evolution of the </w:t>
      </w:r>
      <w:r w:rsidR="002B44EF">
        <w:t>EEDI depending on the new vessel’s capacity</w:t>
      </w:r>
      <w:r w:rsidR="00673D68">
        <w:t xml:space="preserve"> </w:t>
      </w:r>
      <w:r w:rsidR="00673D68">
        <w:fldChar w:fldCharType="begin"/>
      </w:r>
      <w:r w:rsidR="00673D68">
        <w:instrText xml:space="preserve"> REF _Ref508984492 \r \h </w:instrText>
      </w:r>
      <w:r w:rsidR="00673D68">
        <w:fldChar w:fldCharType="separate"/>
      </w:r>
      <w:r w:rsidR="00254850">
        <w:t>[5]</w:t>
      </w:r>
      <w:r w:rsidR="00673D68">
        <w:fldChar w:fldCharType="end"/>
      </w:r>
      <w:r>
        <w:t>.</w:t>
      </w:r>
    </w:p>
    <w:p w14:paraId="56270F39" w14:textId="1E5B2248" w:rsidR="002F633E" w:rsidRDefault="00762E8C" w:rsidP="000C6632">
      <w:pPr>
        <w:pStyle w:val="NoindentNormal"/>
      </w:pPr>
      <w:r>
        <w:t xml:space="preserve">The </w:t>
      </w:r>
      <w:r w:rsidR="00E22918">
        <w:t>Ship Energy Efficiency Management Plan</w:t>
      </w:r>
      <w:r w:rsidR="00296534">
        <w:t xml:space="preserve"> (SEEMP)</w:t>
      </w:r>
      <w:r>
        <w:t xml:space="preserve"> </w:t>
      </w:r>
      <w:r w:rsidRPr="005D7A10">
        <w:rPr>
          <w:lang w:val="en-GB"/>
        </w:rPr>
        <w:t xml:space="preserve">establishes a mechanism for operators to improve </w:t>
      </w:r>
      <w:r w:rsidR="00E22918">
        <w:t xml:space="preserve">ship </w:t>
      </w:r>
      <w:r w:rsidRPr="005D7A10">
        <w:rPr>
          <w:lang w:val="en-GB"/>
        </w:rPr>
        <w:t xml:space="preserve">energy </w:t>
      </w:r>
      <w:r>
        <w:t>by monitoring the performance of a vessel over a certain period</w:t>
      </w:r>
      <w:r w:rsidR="00296534">
        <w:t xml:space="preserve">. </w:t>
      </w:r>
      <w:r>
        <w:t xml:space="preserve">This mandatory mechanism enforces to improve </w:t>
      </w:r>
      <w:r w:rsidR="00EA3E27">
        <w:t>the</w:t>
      </w:r>
      <w:r>
        <w:t xml:space="preserve"> operational conditions</w:t>
      </w:r>
      <w:r w:rsidR="00EA3E27">
        <w:t xml:space="preserve"> of the ship</w:t>
      </w:r>
      <w:r>
        <w:t xml:space="preserve"> and </w:t>
      </w:r>
      <w:r w:rsidR="00614BB0">
        <w:t xml:space="preserve">it </w:t>
      </w:r>
      <w:r>
        <w:t>implement</w:t>
      </w:r>
      <w:r w:rsidR="00614BB0">
        <w:t>s</w:t>
      </w:r>
      <w:r>
        <w:t xml:space="preserve"> more energy efficient technologies for the shipping industry.</w:t>
      </w:r>
      <w:r w:rsidR="00EA3E27">
        <w:t xml:space="preserve"> </w:t>
      </w:r>
      <w:r>
        <w:t xml:space="preserve">That </w:t>
      </w:r>
      <w:r w:rsidR="00EA3E27" w:rsidRPr="00EA3E27">
        <w:t xml:space="preserve">includes </w:t>
      </w:r>
      <w:r>
        <w:t xml:space="preserve">several </w:t>
      </w:r>
      <w:r w:rsidR="00EA3E27" w:rsidRPr="00EA3E27">
        <w:t xml:space="preserve">necessary </w:t>
      </w:r>
      <w:r>
        <w:t xml:space="preserve">steps (i.e. planning, implementation, monitoring, self- evaluation and improvements) and </w:t>
      </w:r>
      <w:r w:rsidR="00EA3E27">
        <w:t>urges the ship owner and operator at each stage of the plan to consider innovative technologies and practices when seeking to optimize the performance of a ship</w:t>
      </w:r>
      <w:r w:rsidR="00666DB1">
        <w:t xml:space="preserve"> </w:t>
      </w:r>
      <w:r w:rsidR="00666DB1">
        <w:fldChar w:fldCharType="begin"/>
      </w:r>
      <w:r w:rsidR="00666DB1">
        <w:instrText xml:space="preserve"> REF _Ref508985442 \r \h </w:instrText>
      </w:r>
      <w:r w:rsidR="00666DB1">
        <w:fldChar w:fldCharType="separate"/>
      </w:r>
      <w:r w:rsidR="00254850">
        <w:t>[6]</w:t>
      </w:r>
      <w:r w:rsidR="00666DB1">
        <w:fldChar w:fldCharType="end"/>
      </w:r>
      <w:r w:rsidR="00666DB1">
        <w:t>.</w:t>
      </w:r>
      <w:r w:rsidR="00EA3E27">
        <w:t xml:space="preserve"> </w:t>
      </w:r>
    </w:p>
    <w:p w14:paraId="13A2EC14" w14:textId="17B6AD67" w:rsidR="00553FFA" w:rsidRDefault="000C6632" w:rsidP="002F633E">
      <w:pPr>
        <w:rPr>
          <w:lang w:eastAsia="en-US"/>
        </w:rPr>
      </w:pPr>
      <w:r>
        <w:rPr>
          <w:lang w:eastAsia="en-US"/>
        </w:rPr>
        <w:t>In order to meet the above-mentioned requirements, ship-owners have to adopt new strategies and solutions.</w:t>
      </w:r>
    </w:p>
    <w:p w14:paraId="6C477376" w14:textId="77777777" w:rsidR="00EA3E27" w:rsidRDefault="00246881" w:rsidP="00666DB1">
      <w:pPr>
        <w:pStyle w:val="Titolo1"/>
      </w:pPr>
      <w:r>
        <w:lastRenderedPageBreak/>
        <w:t>Emissions reduction strategies</w:t>
      </w:r>
    </w:p>
    <w:p w14:paraId="0FC2D53E" w14:textId="77777777" w:rsidR="00FC6BA7" w:rsidRPr="00FC6BA7" w:rsidRDefault="00FC6BA7" w:rsidP="00000D2A">
      <w:pPr>
        <w:pStyle w:val="Titolo2"/>
        <w:rPr>
          <w:lang w:eastAsia="en-US"/>
        </w:rPr>
      </w:pPr>
      <w:proofErr w:type="spellStart"/>
      <w:r>
        <w:rPr>
          <w:lang w:eastAsia="en-US"/>
        </w:rPr>
        <w:t>SOx</w:t>
      </w:r>
      <w:proofErr w:type="spellEnd"/>
      <w:r w:rsidR="00F956E4">
        <w:rPr>
          <w:lang w:eastAsia="en-US"/>
        </w:rPr>
        <w:t xml:space="preserve"> abatement sys</w:t>
      </w:r>
      <w:r w:rsidR="003A1DDB">
        <w:rPr>
          <w:lang w:eastAsia="en-US"/>
        </w:rPr>
        <w:t>t</w:t>
      </w:r>
      <w:r w:rsidR="00F956E4">
        <w:rPr>
          <w:lang w:eastAsia="en-US"/>
        </w:rPr>
        <w:t>ems</w:t>
      </w:r>
    </w:p>
    <w:p w14:paraId="407B71F5" w14:textId="6D69F66C" w:rsidR="009A1FEA" w:rsidRDefault="007D7803" w:rsidP="00FB1456">
      <w:pPr>
        <w:ind w:firstLine="0"/>
      </w:pPr>
      <w:r>
        <w:t>T</w:t>
      </w:r>
      <w:r w:rsidR="000F34DD">
        <w:t xml:space="preserve">here are mainly three </w:t>
      </w:r>
      <w:r w:rsidR="009A1FEA">
        <w:t>ways</w:t>
      </w:r>
      <w:r w:rsidR="000F34DD">
        <w:t xml:space="preserve"> to satisfy the </w:t>
      </w:r>
      <w:proofErr w:type="spellStart"/>
      <w:r w:rsidR="009A1FEA">
        <w:t>SOx</w:t>
      </w:r>
      <w:proofErr w:type="spellEnd"/>
      <w:r w:rsidR="009A1FEA">
        <w:t xml:space="preserve"> limits</w:t>
      </w:r>
      <w:r w:rsidR="000F34DD">
        <w:t xml:space="preserve"> of ECA regulations</w:t>
      </w:r>
      <w:r w:rsidR="0013673A">
        <w:t xml:space="preserve"> </w:t>
      </w:r>
      <w:r w:rsidR="0013673A">
        <w:fldChar w:fldCharType="begin"/>
      </w:r>
      <w:r w:rsidR="0013673A">
        <w:instrText xml:space="preserve"> REF _Ref509322885 \r \h </w:instrText>
      </w:r>
      <w:r w:rsidR="0013673A">
        <w:fldChar w:fldCharType="separate"/>
      </w:r>
      <w:r w:rsidR="00254850">
        <w:t>[7]</w:t>
      </w:r>
      <w:r w:rsidR="0013673A">
        <w:fldChar w:fldCharType="end"/>
      </w:r>
      <w:r w:rsidR="000F34DD">
        <w:t xml:space="preserve">. </w:t>
      </w:r>
    </w:p>
    <w:p w14:paraId="5ACF93F3" w14:textId="636E2FDC" w:rsidR="00120316" w:rsidRDefault="000F34DD" w:rsidP="00120316">
      <w:r>
        <w:t xml:space="preserve">The first </w:t>
      </w:r>
      <w:r w:rsidR="009A1FEA">
        <w:t>alternative</w:t>
      </w:r>
      <w:r w:rsidR="005E5696">
        <w:t>,</w:t>
      </w:r>
      <w:r w:rsidR="00E97C44" w:rsidRPr="00E97C44">
        <w:t xml:space="preserve"> </w:t>
      </w:r>
      <w:r w:rsidR="00E97C44">
        <w:t>currently</w:t>
      </w:r>
      <w:r w:rsidR="00E97C44" w:rsidRPr="00E97C44">
        <w:t xml:space="preserve"> </w:t>
      </w:r>
      <w:r w:rsidR="00E97C44">
        <w:t xml:space="preserve">considered the best medium-term solution </w:t>
      </w:r>
      <w:r w:rsidR="00F10495">
        <w:fldChar w:fldCharType="begin"/>
      </w:r>
      <w:r w:rsidR="00F10495">
        <w:instrText xml:space="preserve"> REF _Ref509393556 \r \h </w:instrText>
      </w:r>
      <w:r w:rsidR="00F10495">
        <w:fldChar w:fldCharType="separate"/>
      </w:r>
      <w:r w:rsidR="00254850">
        <w:t>[8]</w:t>
      </w:r>
      <w:r w:rsidR="00F10495">
        <w:fldChar w:fldCharType="end"/>
      </w:r>
      <w:r w:rsidR="00E97C44">
        <w:t>,</w:t>
      </w:r>
      <w:r w:rsidR="005E5696">
        <w:t xml:space="preserve"> </w:t>
      </w:r>
      <w:r>
        <w:t xml:space="preserve">is to install </w:t>
      </w:r>
      <w:r w:rsidR="0013673A">
        <w:t>exhaust gas cleaning systems called scrubbers. T</w:t>
      </w:r>
      <w:r>
        <w:t>h</w:t>
      </w:r>
      <w:r w:rsidR="0013673A">
        <w:t>ey</w:t>
      </w:r>
      <w:r>
        <w:t xml:space="preserve"> </w:t>
      </w:r>
      <w:r w:rsidR="00E33156">
        <w:t xml:space="preserve">absorb most of </w:t>
      </w:r>
      <w:r>
        <w:t>the sulfur content from the exhaust</w:t>
      </w:r>
      <w:r w:rsidR="0092548A">
        <w:t xml:space="preserve"> before it </w:t>
      </w:r>
      <w:proofErr w:type="gramStart"/>
      <w:r w:rsidR="0092548A">
        <w:t>is released</w:t>
      </w:r>
      <w:proofErr w:type="gramEnd"/>
      <w:r w:rsidR="0092548A">
        <w:t xml:space="preserve"> into the atmosphere</w:t>
      </w:r>
      <w:r>
        <w:t xml:space="preserve">, </w:t>
      </w:r>
      <w:r w:rsidR="0013673A">
        <w:t>allowing</w:t>
      </w:r>
      <w:r>
        <w:t xml:space="preserve"> cruise ships to keep using HFO in the ECAs</w:t>
      </w:r>
      <w:r w:rsidR="00794A7F">
        <w:t>.</w:t>
      </w:r>
      <w:r w:rsidR="00E33156">
        <w:t xml:space="preserve"> </w:t>
      </w:r>
      <w:r w:rsidR="00794A7F" w:rsidRPr="00794A7F">
        <w:t xml:space="preserve">However, </w:t>
      </w:r>
      <w:r w:rsidR="00E33156">
        <w:t xml:space="preserve">there is to say that </w:t>
      </w:r>
      <w:r w:rsidR="00794A7F" w:rsidRPr="00794A7F">
        <w:t xml:space="preserve">the capital costs of the scrubber installation </w:t>
      </w:r>
      <w:r w:rsidR="00E33156">
        <w:t>are</w:t>
      </w:r>
      <w:r w:rsidR="00794A7F" w:rsidRPr="00794A7F">
        <w:t xml:space="preserve"> considerable</w:t>
      </w:r>
      <w:r w:rsidR="00E33156">
        <w:t xml:space="preserve"> </w:t>
      </w:r>
      <w:r w:rsidR="00E33156">
        <w:fldChar w:fldCharType="begin"/>
      </w:r>
      <w:r w:rsidR="00E33156">
        <w:instrText xml:space="preserve"> REF _Ref509396270 \r \h </w:instrText>
      </w:r>
      <w:r w:rsidR="00E33156">
        <w:fldChar w:fldCharType="separate"/>
      </w:r>
      <w:r w:rsidR="00254850">
        <w:t>[9]</w:t>
      </w:r>
      <w:r w:rsidR="00E33156">
        <w:fldChar w:fldCharType="end"/>
      </w:r>
      <w:r w:rsidR="00794A7F" w:rsidRPr="00794A7F">
        <w:t>.</w:t>
      </w:r>
    </w:p>
    <w:p w14:paraId="686BCA36" w14:textId="1F560B6A" w:rsidR="00E33156" w:rsidRDefault="000F34DD" w:rsidP="009C4424">
      <w:r>
        <w:t xml:space="preserve">The second method, the simplest one, is to </w:t>
      </w:r>
      <w:r w:rsidR="009A1FEA">
        <w:t xml:space="preserve">improve fuel quality </w:t>
      </w:r>
      <w:r>
        <w:t>us</w:t>
      </w:r>
      <w:r w:rsidR="009A1FEA">
        <w:t>ing</w:t>
      </w:r>
      <w:r>
        <w:t xml:space="preserve"> a low-sulfur fuel, for example </w:t>
      </w:r>
      <w:r w:rsidR="00E97C44">
        <w:t xml:space="preserve">MGO (Marine Gas Oil) or </w:t>
      </w:r>
      <w:r>
        <w:t>LNG (</w:t>
      </w:r>
      <w:r w:rsidR="0050189C">
        <w:t>L</w:t>
      </w:r>
      <w:r>
        <w:t xml:space="preserve">iquefied </w:t>
      </w:r>
      <w:r w:rsidR="0050189C">
        <w:t>N</w:t>
      </w:r>
      <w:r>
        <w:t xml:space="preserve">atural </w:t>
      </w:r>
      <w:r w:rsidR="0050189C">
        <w:t>G</w:t>
      </w:r>
      <w:r>
        <w:t>as)</w:t>
      </w:r>
      <w:r w:rsidR="00D22FCE">
        <w:t xml:space="preserve"> </w:t>
      </w:r>
      <w:r w:rsidR="00D22FCE">
        <w:fldChar w:fldCharType="begin"/>
      </w:r>
      <w:r w:rsidR="00D22FCE">
        <w:instrText xml:space="preserve"> REF _Ref509584521 \r \h </w:instrText>
      </w:r>
      <w:r w:rsidR="00D22FCE">
        <w:fldChar w:fldCharType="separate"/>
      </w:r>
      <w:r w:rsidR="00254850">
        <w:t>[10]</w:t>
      </w:r>
      <w:r w:rsidR="00D22FCE">
        <w:fldChar w:fldCharType="end"/>
      </w:r>
      <w:r w:rsidR="00E97C44">
        <w:t xml:space="preserve">, respectively </w:t>
      </w:r>
      <w:r w:rsidR="00E33156">
        <w:t xml:space="preserve">considered </w:t>
      </w:r>
      <w:r w:rsidR="00E97C44">
        <w:t>the best short-term and long-term solutions</w:t>
      </w:r>
      <w:r w:rsidR="00F10495">
        <w:t xml:space="preserve"> </w:t>
      </w:r>
      <w:r w:rsidR="00F10495">
        <w:fldChar w:fldCharType="begin"/>
      </w:r>
      <w:r w:rsidR="00F10495">
        <w:instrText xml:space="preserve"> REF _Ref509393556 \r \h </w:instrText>
      </w:r>
      <w:r w:rsidR="00F10495">
        <w:fldChar w:fldCharType="separate"/>
      </w:r>
      <w:r w:rsidR="00254850">
        <w:t>[8]</w:t>
      </w:r>
      <w:r w:rsidR="00F10495">
        <w:fldChar w:fldCharType="end"/>
      </w:r>
      <w:r w:rsidR="00E97C44">
        <w:t>.</w:t>
      </w:r>
      <w:r w:rsidR="009A1FEA">
        <w:t xml:space="preserve"> </w:t>
      </w:r>
      <w:r w:rsidR="009C4424">
        <w:t>Although it is</w:t>
      </w:r>
      <w:r w:rsidR="009A1FEA">
        <w:t xml:space="preserve"> the easiest method, </w:t>
      </w:r>
      <w:r w:rsidR="009C4424">
        <w:t xml:space="preserve">the fuel-switching approach </w:t>
      </w:r>
      <w:r w:rsidR="009A1FEA">
        <w:t>could be very expensive.</w:t>
      </w:r>
      <w:r w:rsidR="00784F42">
        <w:t xml:space="preserve"> Indeed,</w:t>
      </w:r>
      <w:r w:rsidR="00784F42" w:rsidRPr="00784F42">
        <w:t xml:space="preserve"> MGO is much </w:t>
      </w:r>
      <w:r w:rsidR="00A73590">
        <w:t>more expensive</w:t>
      </w:r>
      <w:r w:rsidR="00784F42" w:rsidRPr="00784F42">
        <w:t xml:space="preserve"> than HFO, which means that </w:t>
      </w:r>
      <w:r w:rsidR="00A73590">
        <w:t>the</w:t>
      </w:r>
      <w:r w:rsidR="00784F42">
        <w:t xml:space="preserve"> </w:t>
      </w:r>
      <w:r w:rsidR="00A73590">
        <w:t>variable</w:t>
      </w:r>
      <w:r w:rsidR="00784F42" w:rsidRPr="00784F42">
        <w:t xml:space="preserve"> costs</w:t>
      </w:r>
      <w:r w:rsidR="00A73590">
        <w:t xml:space="preserve"> of the vessel would</w:t>
      </w:r>
      <w:r w:rsidR="00784F42" w:rsidRPr="00784F42">
        <w:t xml:space="preserve"> increase</w:t>
      </w:r>
      <w:r w:rsidR="00E33156">
        <w:t xml:space="preserve">. </w:t>
      </w:r>
      <w:proofErr w:type="gramStart"/>
      <w:r w:rsidR="00062038">
        <w:t>As for the scrubber,</w:t>
      </w:r>
      <w:proofErr w:type="gramEnd"/>
      <w:r w:rsidR="00794A7F">
        <w:t xml:space="preserve"> </w:t>
      </w:r>
      <w:proofErr w:type="gramStart"/>
      <w:r w:rsidR="00794A7F">
        <w:t>the LNG option</w:t>
      </w:r>
      <w:proofErr w:type="gramEnd"/>
      <w:r w:rsidR="00794A7F">
        <w:t xml:space="preserve"> can avoid the consumption of expensive MGO in exchange for a substantial initial capital investment. Furthermore, the</w:t>
      </w:r>
      <w:r w:rsidR="00E33156">
        <w:t xml:space="preserve"> </w:t>
      </w:r>
      <w:r w:rsidR="00794A7F">
        <w:t>LNG approach also suffers from other problems,</w:t>
      </w:r>
      <w:r w:rsidR="00784F42">
        <w:t xml:space="preserve"> concerning safety as well as large space requirements and lack of infrastructures</w:t>
      </w:r>
      <w:r w:rsidR="00062038">
        <w:t xml:space="preserve"> </w:t>
      </w:r>
      <w:r w:rsidR="00062038">
        <w:fldChar w:fldCharType="begin"/>
      </w:r>
      <w:r w:rsidR="00062038">
        <w:instrText xml:space="preserve"> REF _Ref509399178 \r \h </w:instrText>
      </w:r>
      <w:r w:rsidR="00062038">
        <w:fldChar w:fldCharType="separate"/>
      </w:r>
      <w:r w:rsidR="00254850">
        <w:t>[11]</w:t>
      </w:r>
      <w:r w:rsidR="00062038">
        <w:fldChar w:fldCharType="end"/>
      </w:r>
      <w:r w:rsidR="00A73590">
        <w:t>.</w:t>
      </w:r>
    </w:p>
    <w:p w14:paraId="553AB60E" w14:textId="642A1810" w:rsidR="00FC6BA7" w:rsidRDefault="000F34DD" w:rsidP="00D22FCE">
      <w:r>
        <w:t xml:space="preserve">The last </w:t>
      </w:r>
      <w:r w:rsidR="009A1D67">
        <w:t>option</w:t>
      </w:r>
      <w:r>
        <w:t xml:space="preserve"> is to </w:t>
      </w:r>
      <w:r w:rsidR="003B28C3">
        <w:t xml:space="preserve">use </w:t>
      </w:r>
      <w:r>
        <w:t>HFO outside ECA</w:t>
      </w:r>
      <w:r w:rsidR="001B236C">
        <w:t xml:space="preserve"> zones</w:t>
      </w:r>
      <w:r>
        <w:t xml:space="preserve"> and a cleaner fuel with lower sulfur content</w:t>
      </w:r>
      <w:r w:rsidR="003B28C3">
        <w:t>,</w:t>
      </w:r>
      <w:r w:rsidR="003B28C3" w:rsidRPr="003B28C3">
        <w:t xml:space="preserve"> </w:t>
      </w:r>
      <w:r w:rsidR="003B28C3">
        <w:t>for example MGO</w:t>
      </w:r>
      <w:r>
        <w:t xml:space="preserve">, inside ECAs </w:t>
      </w:r>
      <w:r w:rsidR="0030405B">
        <w:fldChar w:fldCharType="begin"/>
      </w:r>
      <w:r w:rsidR="0030405B">
        <w:instrText xml:space="preserve"> REF _Ref509394809 \r \h </w:instrText>
      </w:r>
      <w:r w:rsidR="0030405B">
        <w:fldChar w:fldCharType="separate"/>
      </w:r>
      <w:r w:rsidR="00254850">
        <w:t>[12]</w:t>
      </w:r>
      <w:r w:rsidR="0030405B">
        <w:fldChar w:fldCharType="end"/>
      </w:r>
      <w:r w:rsidR="00794A7F">
        <w:t xml:space="preserve">. </w:t>
      </w:r>
      <w:r w:rsidR="00062038" w:rsidRPr="00062038">
        <w:t xml:space="preserve">This approach requires only minor changes on the ship and therefore very limited initial investments </w:t>
      </w:r>
      <w:r w:rsidR="00062038">
        <w:fldChar w:fldCharType="begin"/>
      </w:r>
      <w:r w:rsidR="00062038">
        <w:instrText xml:space="preserve"> REF _Ref509396270 \r \h </w:instrText>
      </w:r>
      <w:r w:rsidR="00062038">
        <w:fldChar w:fldCharType="separate"/>
      </w:r>
      <w:r w:rsidR="00254850">
        <w:t>[9]</w:t>
      </w:r>
      <w:r w:rsidR="00062038">
        <w:fldChar w:fldCharType="end"/>
      </w:r>
      <w:r w:rsidR="00062038">
        <w:t>.</w:t>
      </w:r>
    </w:p>
    <w:p w14:paraId="48670755" w14:textId="77777777" w:rsidR="000F34DD" w:rsidRDefault="00FC6BA7" w:rsidP="003250FB">
      <w:pPr>
        <w:pStyle w:val="Titolo2"/>
        <w:rPr>
          <w:lang w:eastAsia="en-US"/>
        </w:rPr>
      </w:pPr>
      <w:proofErr w:type="spellStart"/>
      <w:r>
        <w:rPr>
          <w:lang w:eastAsia="en-US"/>
        </w:rPr>
        <w:t>NOx</w:t>
      </w:r>
      <w:proofErr w:type="spellEnd"/>
      <w:r w:rsidR="00F956E4">
        <w:rPr>
          <w:lang w:eastAsia="en-US"/>
        </w:rPr>
        <w:t xml:space="preserve"> abatement sys</w:t>
      </w:r>
      <w:r w:rsidR="003A1DDB">
        <w:rPr>
          <w:lang w:eastAsia="en-US"/>
        </w:rPr>
        <w:t>t</w:t>
      </w:r>
      <w:r w:rsidR="00F956E4">
        <w:rPr>
          <w:lang w:eastAsia="en-US"/>
        </w:rPr>
        <w:t>ems</w:t>
      </w:r>
    </w:p>
    <w:p w14:paraId="33913653" w14:textId="48890721" w:rsidR="00405097" w:rsidRDefault="003543B2" w:rsidP="00FB1456">
      <w:pPr>
        <w:ind w:firstLine="0"/>
      </w:pPr>
      <w:r>
        <w:t>C</w:t>
      </w:r>
      <w:r w:rsidRPr="003543B2">
        <w:t xml:space="preserve">ompliance with </w:t>
      </w:r>
      <w:proofErr w:type="spellStart"/>
      <w:r w:rsidRPr="003543B2">
        <w:t>NOx</w:t>
      </w:r>
      <w:proofErr w:type="spellEnd"/>
      <w:r w:rsidRPr="003543B2">
        <w:t xml:space="preserve"> limits cannot be achieved </w:t>
      </w:r>
      <w:r w:rsidR="009A1D67">
        <w:t>exclusively</w:t>
      </w:r>
      <w:r w:rsidRPr="003543B2">
        <w:t xml:space="preserve"> </w:t>
      </w:r>
      <w:r>
        <w:t>controlling</w:t>
      </w:r>
      <w:r w:rsidRPr="003543B2">
        <w:t xml:space="preserve"> fuel composition</w:t>
      </w:r>
      <w:r>
        <w:t xml:space="preserve"> </w:t>
      </w:r>
      <w:r w:rsidRPr="003543B2">
        <w:t>and combustion phenomena</w:t>
      </w:r>
      <w:r w:rsidR="009A1D67">
        <w:t xml:space="preserve"> but requires after treatment techniques to be in place</w:t>
      </w:r>
      <w:r>
        <w:t xml:space="preserve">. </w:t>
      </w:r>
      <w:r w:rsidR="009A1D67">
        <w:t>V</w:t>
      </w:r>
      <w:r w:rsidR="003250FB" w:rsidRPr="003250FB">
        <w:t xml:space="preserve">arious </w:t>
      </w:r>
      <w:proofErr w:type="spellStart"/>
      <w:r w:rsidR="003250FB" w:rsidRPr="003250FB">
        <w:t>NOx</w:t>
      </w:r>
      <w:proofErr w:type="spellEnd"/>
      <w:r w:rsidR="003250FB" w:rsidRPr="003250FB">
        <w:t xml:space="preserve"> </w:t>
      </w:r>
      <w:r>
        <w:t xml:space="preserve">after </w:t>
      </w:r>
      <w:r w:rsidRPr="003543B2">
        <w:t>treatment</w:t>
      </w:r>
      <w:r w:rsidR="003250FB" w:rsidRPr="003250FB">
        <w:t xml:space="preserve"> techniques </w:t>
      </w:r>
      <w:proofErr w:type="gramStart"/>
      <w:r w:rsidR="009A1D67">
        <w:t xml:space="preserve">are </w:t>
      </w:r>
      <w:r w:rsidR="003250FB" w:rsidRPr="003250FB">
        <w:t>currently applied</w:t>
      </w:r>
      <w:proofErr w:type="gramEnd"/>
      <w:r w:rsidR="003250FB" w:rsidRPr="003250FB">
        <w:t xml:space="preserve"> on marine and stationary diesel engines and </w:t>
      </w:r>
      <w:r w:rsidR="00914D54">
        <w:t xml:space="preserve">many others are currently </w:t>
      </w:r>
      <w:r w:rsidR="009A1D67">
        <w:t xml:space="preserve">being </w:t>
      </w:r>
      <w:r w:rsidR="00914D54">
        <w:t xml:space="preserve">studied </w:t>
      </w:r>
      <w:r w:rsidR="00914D54">
        <w:fldChar w:fldCharType="begin"/>
      </w:r>
      <w:r w:rsidR="00914D54">
        <w:instrText xml:space="preserve"> REF _Ref509400323 \r \h </w:instrText>
      </w:r>
      <w:r w:rsidR="00914D54">
        <w:fldChar w:fldCharType="separate"/>
      </w:r>
      <w:r w:rsidR="00254850">
        <w:t>[13]</w:t>
      </w:r>
      <w:r w:rsidR="00914D54">
        <w:fldChar w:fldCharType="end"/>
      </w:r>
      <w:r w:rsidR="00914D54">
        <w:t xml:space="preserve">. The most frequently used is Selective Catalytic Reactor (SCR) system, which is </w:t>
      </w:r>
      <w:r w:rsidR="00914D54" w:rsidRPr="00914D54">
        <w:t xml:space="preserve">capable of massive </w:t>
      </w:r>
      <w:proofErr w:type="spellStart"/>
      <w:r w:rsidR="00914D54" w:rsidRPr="00914D54">
        <w:t>NOx</w:t>
      </w:r>
      <w:proofErr w:type="spellEnd"/>
      <w:r w:rsidR="00914D54" w:rsidRPr="00914D54">
        <w:t xml:space="preserve"> reduction</w:t>
      </w:r>
      <w:r w:rsidR="00914D54">
        <w:t xml:space="preserve">. </w:t>
      </w:r>
      <w:r w:rsidR="009641D9" w:rsidRPr="009641D9">
        <w:t>In the SCR, a</w:t>
      </w:r>
      <w:r w:rsidR="009641D9">
        <w:t xml:space="preserve"> gaseous </w:t>
      </w:r>
      <w:proofErr w:type="spellStart"/>
      <w:r w:rsidR="009641D9">
        <w:t>reductant</w:t>
      </w:r>
      <w:proofErr w:type="spellEnd"/>
      <w:r w:rsidR="009641D9">
        <w:t xml:space="preserve">, typically ammonia or </w:t>
      </w:r>
      <w:proofErr w:type="gramStart"/>
      <w:r w:rsidR="009641D9">
        <w:t>urea,</w:t>
      </w:r>
      <w:proofErr w:type="gramEnd"/>
      <w:r w:rsidR="009641D9" w:rsidRPr="009641D9">
        <w:t xml:space="preserve"> is added to the exhaust gases </w:t>
      </w:r>
      <w:r w:rsidR="009641D9">
        <w:t>with the aid of a catalyst</w:t>
      </w:r>
      <w:r w:rsidR="009641D9" w:rsidRPr="009641D9">
        <w:t xml:space="preserve">. The </w:t>
      </w:r>
      <w:proofErr w:type="spellStart"/>
      <w:r w:rsidR="009641D9">
        <w:t>reductant</w:t>
      </w:r>
      <w:proofErr w:type="spellEnd"/>
      <w:r w:rsidR="009641D9" w:rsidRPr="009641D9">
        <w:t xml:space="preserve"> has a strong tendency to absorb oxygen, thus limiting the formation of </w:t>
      </w:r>
      <w:proofErr w:type="spellStart"/>
      <w:r w:rsidR="009641D9" w:rsidRPr="009641D9">
        <w:t>NOx</w:t>
      </w:r>
      <w:proofErr w:type="spellEnd"/>
      <w:r w:rsidR="009641D9" w:rsidRPr="009641D9">
        <w:t xml:space="preserve"> inside the exhaust gas, forming H</w:t>
      </w:r>
      <w:r w:rsidR="009641D9" w:rsidRPr="00614BB0">
        <w:rPr>
          <w:vertAlign w:val="subscript"/>
        </w:rPr>
        <w:t>2</w:t>
      </w:r>
      <w:r w:rsidR="009641D9" w:rsidRPr="009641D9">
        <w:t>O and N</w:t>
      </w:r>
      <w:r w:rsidR="009641D9" w:rsidRPr="00614BB0">
        <w:rPr>
          <w:vertAlign w:val="subscript"/>
        </w:rPr>
        <w:t>2</w:t>
      </w:r>
      <w:r w:rsidR="009641D9" w:rsidRPr="009641D9">
        <w:t>.</w:t>
      </w:r>
    </w:p>
    <w:p w14:paraId="2FFCCBF5" w14:textId="4ED9AF9A" w:rsidR="00FC6BA7" w:rsidRDefault="00F17679" w:rsidP="00D22FCE">
      <w:r>
        <w:t>A</w:t>
      </w:r>
      <w:r w:rsidRPr="00F17679">
        <w:t xml:space="preserve">nother method that </w:t>
      </w:r>
      <w:proofErr w:type="gramStart"/>
      <w:r w:rsidRPr="00F17679">
        <w:t>is increasingly being used</w:t>
      </w:r>
      <w:proofErr w:type="gramEnd"/>
      <w:r w:rsidRPr="00F17679">
        <w:t xml:space="preserve"> is the </w:t>
      </w:r>
      <w:r>
        <w:t>Exhaust Gas Recirculation</w:t>
      </w:r>
      <w:r w:rsidRPr="00F17679">
        <w:t xml:space="preserve"> </w:t>
      </w:r>
      <w:r>
        <w:t>(</w:t>
      </w:r>
      <w:r w:rsidRPr="00F17679">
        <w:t>EGR</w:t>
      </w:r>
      <w:r>
        <w:t>)</w:t>
      </w:r>
      <w:r w:rsidRPr="00F17679">
        <w:t>,</w:t>
      </w:r>
      <w:r>
        <w:t xml:space="preserve"> </w:t>
      </w:r>
      <w:r w:rsidR="00C15B45">
        <w:t>which</w:t>
      </w:r>
      <w:r w:rsidRPr="00F17679">
        <w:t xml:space="preserve"> works by recirculating a portion of an engine's exhaust gas back to the engine cylinders. </w:t>
      </w:r>
      <w:r w:rsidR="00C15B45">
        <w:t>R</w:t>
      </w:r>
      <w:r w:rsidR="00FC6BA7">
        <w:t xml:space="preserve">ecently, </w:t>
      </w:r>
      <w:r w:rsidR="00C15B45">
        <w:t>EGR</w:t>
      </w:r>
      <w:r w:rsidR="00FC6BA7">
        <w:t xml:space="preserve"> applications for large marine Diesel engine</w:t>
      </w:r>
      <w:r w:rsidR="00C15B45">
        <w:t>s</w:t>
      </w:r>
      <w:r w:rsidR="00FC6BA7">
        <w:t xml:space="preserve"> have </w:t>
      </w:r>
      <w:r w:rsidR="00C15B45">
        <w:t>reached</w:t>
      </w:r>
      <w:r w:rsidR="00FC6BA7">
        <w:t xml:space="preserve"> </w:t>
      </w:r>
      <w:proofErr w:type="spellStart"/>
      <w:r w:rsidR="00FC6BA7">
        <w:t>NOx</w:t>
      </w:r>
      <w:proofErr w:type="spellEnd"/>
      <w:r w:rsidR="00FC6BA7">
        <w:t xml:space="preserve"> reduction potential up to 90%</w:t>
      </w:r>
      <w:r w:rsidR="00C15B45">
        <w:t xml:space="preserve"> </w:t>
      </w:r>
      <w:r w:rsidR="00C15B45">
        <w:fldChar w:fldCharType="begin"/>
      </w:r>
      <w:r w:rsidR="00C15B45">
        <w:instrText xml:space="preserve"> REF _Ref509481686 \r \h </w:instrText>
      </w:r>
      <w:r w:rsidR="00C15B45">
        <w:fldChar w:fldCharType="separate"/>
      </w:r>
      <w:r w:rsidR="00254850">
        <w:t>[14]</w:t>
      </w:r>
      <w:r w:rsidR="00C15B45">
        <w:fldChar w:fldCharType="end"/>
      </w:r>
      <w:r w:rsidR="00C15B45">
        <w:t>.</w:t>
      </w:r>
    </w:p>
    <w:p w14:paraId="10293865" w14:textId="77777777" w:rsidR="00FC6BA7" w:rsidRDefault="00FC6BA7" w:rsidP="00F956E4">
      <w:pPr>
        <w:pStyle w:val="Titolo2"/>
        <w:rPr>
          <w:lang w:eastAsia="en-US"/>
        </w:rPr>
      </w:pPr>
      <w:r>
        <w:rPr>
          <w:lang w:eastAsia="en-US"/>
        </w:rPr>
        <w:t>EEDI-SEEMP</w:t>
      </w:r>
      <w:r w:rsidR="00CE09AB">
        <w:rPr>
          <w:lang w:eastAsia="en-US"/>
        </w:rPr>
        <w:t xml:space="preserve">: methods to increase efficiency </w:t>
      </w:r>
    </w:p>
    <w:p w14:paraId="18652B9F" w14:textId="5337E643" w:rsidR="00C82D3C" w:rsidRDefault="00896E11" w:rsidP="00FB1456">
      <w:pPr>
        <w:ind w:firstLine="0"/>
      </w:pPr>
      <w:r>
        <w:t>In order to respect EEDI and SEEMP, ship owners</w:t>
      </w:r>
      <w:r w:rsidRPr="00896E11">
        <w:t xml:space="preserve"> must </w:t>
      </w:r>
      <w:r w:rsidR="006638ED">
        <w:t xml:space="preserve">find ways </w:t>
      </w:r>
      <w:r w:rsidR="006638ED" w:rsidRPr="00C84A89">
        <w:t>to increase the energy efficiency and reduce the CO</w:t>
      </w:r>
      <w:r w:rsidR="006638ED" w:rsidRPr="00614BB0">
        <w:rPr>
          <w:vertAlign w:val="subscript"/>
        </w:rPr>
        <w:t>2</w:t>
      </w:r>
      <w:r w:rsidR="006638ED" w:rsidRPr="00C84A89">
        <w:t xml:space="preserve"> emission from the </w:t>
      </w:r>
      <w:r w:rsidR="00C82D3C">
        <w:t>ship power plants</w:t>
      </w:r>
      <w:r w:rsidR="006638ED">
        <w:t>.</w:t>
      </w:r>
      <w:r w:rsidR="00CB521F">
        <w:t xml:space="preserve"> Many fuel saving solutions for shipping have been subject of research and development. Among them, operational measures</w:t>
      </w:r>
      <w:r w:rsidR="00932652">
        <w:t>,</w:t>
      </w:r>
      <w:r w:rsidR="00CB521F">
        <w:t xml:space="preserve"> including </w:t>
      </w:r>
      <w:r w:rsidR="00BA5361">
        <w:t>improvements i</w:t>
      </w:r>
      <w:r w:rsidR="00A62EEE">
        <w:t>n</w:t>
      </w:r>
      <w:r w:rsidR="00BA5361">
        <w:t xml:space="preserve"> engine monitoring </w:t>
      </w:r>
      <w:r w:rsidR="00011791">
        <w:fldChar w:fldCharType="begin"/>
      </w:r>
      <w:r w:rsidR="00011791">
        <w:instrText xml:space="preserve"> REF _Ref509502058 \r \h </w:instrText>
      </w:r>
      <w:r w:rsidR="00011791">
        <w:fldChar w:fldCharType="separate"/>
      </w:r>
      <w:r w:rsidR="00254850">
        <w:t>[15]</w:t>
      </w:r>
      <w:r w:rsidR="00011791">
        <w:fldChar w:fldCharType="end"/>
      </w:r>
      <w:r w:rsidR="00011791">
        <w:t xml:space="preserve"> </w:t>
      </w:r>
      <w:r w:rsidR="00CB521F">
        <w:t xml:space="preserve">or </w:t>
      </w:r>
      <w:r w:rsidR="00BA5361">
        <w:t xml:space="preserve">weather routing </w:t>
      </w:r>
      <w:r w:rsidR="00011791">
        <w:fldChar w:fldCharType="begin"/>
      </w:r>
      <w:r w:rsidR="00011791">
        <w:instrText xml:space="preserve"> REF _Ref509502067 \r \h </w:instrText>
      </w:r>
      <w:r w:rsidR="00011791">
        <w:fldChar w:fldCharType="separate"/>
      </w:r>
      <w:r w:rsidR="00254850">
        <w:t>[16]</w:t>
      </w:r>
      <w:r w:rsidR="00011791">
        <w:fldChar w:fldCharType="end"/>
      </w:r>
      <w:r w:rsidR="006D427D">
        <w:t xml:space="preserve">, </w:t>
      </w:r>
      <w:r w:rsidR="00CB521F">
        <w:t>in addition to waste heat recovery (WHR)</w:t>
      </w:r>
      <w:r w:rsidR="00B751DA">
        <w:t xml:space="preserve"> </w:t>
      </w:r>
      <w:r w:rsidR="00011791">
        <w:fldChar w:fldCharType="begin"/>
      </w:r>
      <w:r w:rsidR="00011791">
        <w:instrText xml:space="preserve"> REF _Ref509502210 \r \h </w:instrText>
      </w:r>
      <w:r w:rsidR="00011791">
        <w:fldChar w:fldCharType="separate"/>
      </w:r>
      <w:r w:rsidR="00254850">
        <w:t>[17]</w:t>
      </w:r>
      <w:r w:rsidR="00011791">
        <w:fldChar w:fldCharType="end"/>
      </w:r>
      <w:r w:rsidR="00CB521F">
        <w:t xml:space="preserve">, </w:t>
      </w:r>
      <w:r w:rsidR="006638ED">
        <w:t xml:space="preserve">globally considered </w:t>
      </w:r>
      <w:r w:rsidR="00C84A89" w:rsidRPr="00C84A89">
        <w:t xml:space="preserve">the most effective </w:t>
      </w:r>
      <w:r w:rsidR="00584BA1">
        <w:t>one</w:t>
      </w:r>
      <w:r w:rsidR="00C84A89" w:rsidRPr="00C84A89">
        <w:t xml:space="preserve"> </w:t>
      </w:r>
      <w:r w:rsidR="00584BA1">
        <w:fldChar w:fldCharType="begin"/>
      </w:r>
      <w:r w:rsidR="00584BA1">
        <w:instrText xml:space="preserve"> REF _Ref509484139 \r \h </w:instrText>
      </w:r>
      <w:r w:rsidR="00584BA1">
        <w:fldChar w:fldCharType="separate"/>
      </w:r>
      <w:r w:rsidR="00254850">
        <w:t>[18]</w:t>
      </w:r>
      <w:r w:rsidR="00584BA1">
        <w:fldChar w:fldCharType="end"/>
      </w:r>
      <w:r w:rsidR="00C84A89" w:rsidRPr="00C84A89">
        <w:t>.</w:t>
      </w:r>
      <w:r w:rsidR="00FD05D6">
        <w:t xml:space="preserve"> </w:t>
      </w:r>
    </w:p>
    <w:p w14:paraId="2B78B400" w14:textId="1E585C59" w:rsidR="00E161CA" w:rsidRDefault="00A62EEE" w:rsidP="00D22FCE">
      <w:pPr>
        <w:rPr>
          <w:lang w:val="en-GB"/>
        </w:rPr>
      </w:pPr>
      <w:r>
        <w:rPr>
          <w:lang w:val="en-GB"/>
        </w:rPr>
        <w:t xml:space="preserve">In Figure </w:t>
      </w:r>
      <w:r w:rsidR="00081CBE">
        <w:rPr>
          <w:lang w:val="en-GB"/>
        </w:rPr>
        <w:t>3</w:t>
      </w:r>
      <w:r>
        <w:rPr>
          <w:lang w:val="en-GB"/>
        </w:rPr>
        <w:t xml:space="preserve">, two typical heat balances for a low speed 2-stroke engine and a 1.2 MW 4-stroke </w:t>
      </w:r>
      <w:proofErr w:type="spellStart"/>
      <w:r>
        <w:rPr>
          <w:lang w:val="en-GB"/>
        </w:rPr>
        <w:t>genset</w:t>
      </w:r>
      <w:proofErr w:type="spellEnd"/>
      <w:r>
        <w:rPr>
          <w:lang w:val="en-GB"/>
        </w:rPr>
        <w:t xml:space="preserve">, at full load conditions, </w:t>
      </w:r>
      <w:proofErr w:type="gramStart"/>
      <w:r>
        <w:rPr>
          <w:lang w:val="en-GB"/>
        </w:rPr>
        <w:t>are shown</w:t>
      </w:r>
      <w:proofErr w:type="gramEnd"/>
      <w:r>
        <w:rPr>
          <w:lang w:val="en-GB"/>
        </w:rPr>
        <w:t>.</w:t>
      </w:r>
    </w:p>
    <w:p w14:paraId="43F0149C" w14:textId="625B49B3" w:rsidR="00706997" w:rsidRPr="00706997" w:rsidRDefault="00E161CA" w:rsidP="00E161CA">
      <w:pPr>
        <w:ind w:firstLine="0"/>
        <w:rPr>
          <w:lang w:val="en-GB"/>
        </w:rPr>
      </w:pPr>
      <w:r>
        <w:rPr>
          <w:noProof/>
          <w:lang w:val="en-GB" w:eastAsia="en-GB"/>
        </w:rPr>
        <w:lastRenderedPageBreak/>
        <w:drawing>
          <wp:inline distT="0" distB="0" distL="0" distR="0" wp14:anchorId="0BC80C8D" wp14:editId="12A6B584">
            <wp:extent cx="2191088" cy="1440000"/>
            <wp:effectExtent l="0" t="0" r="0" b="825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5_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088" cy="1440000"/>
                    </a:xfrm>
                    <a:prstGeom prst="rect">
                      <a:avLst/>
                    </a:prstGeom>
                  </pic:spPr>
                </pic:pic>
              </a:graphicData>
            </a:graphic>
          </wp:inline>
        </w:drawing>
      </w:r>
      <w:r w:rsidR="00706997" w:rsidRPr="00C7493A">
        <w:rPr>
          <w:noProof/>
          <w:lang w:eastAsia="it-IT"/>
        </w:rPr>
        <w:t xml:space="preserve"> </w:t>
      </w:r>
      <w:r>
        <w:rPr>
          <w:noProof/>
          <w:lang w:val="en-GB" w:eastAsia="en-GB"/>
        </w:rPr>
        <w:drawing>
          <wp:inline distT="0" distB="0" distL="0" distR="0" wp14:anchorId="6327340A" wp14:editId="7A4EAE30">
            <wp:extent cx="2183172" cy="1440000"/>
            <wp:effectExtent l="0" t="0" r="7620" b="825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5_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3172" cy="1440000"/>
                    </a:xfrm>
                    <a:prstGeom prst="rect">
                      <a:avLst/>
                    </a:prstGeom>
                  </pic:spPr>
                </pic:pic>
              </a:graphicData>
            </a:graphic>
          </wp:inline>
        </w:drawing>
      </w:r>
    </w:p>
    <w:p w14:paraId="2F34647D" w14:textId="2207AA18" w:rsidR="00706997" w:rsidRPr="00E161CA" w:rsidRDefault="00E161CA" w:rsidP="00E161CA">
      <w:pPr>
        <w:ind w:firstLine="0"/>
        <w:rPr>
          <w:lang w:val="en-GB"/>
        </w:rPr>
      </w:pPr>
      <w:r>
        <w:rPr>
          <w:lang w:val="en-GB"/>
        </w:rPr>
        <w:t xml:space="preserve">                                (a)</w:t>
      </w:r>
      <w:r w:rsidRPr="00E161CA">
        <w:rPr>
          <w:lang w:val="en-GB"/>
        </w:rPr>
        <w:t xml:space="preserve"> </w:t>
      </w:r>
      <w:r>
        <w:rPr>
          <w:lang w:val="en-GB"/>
        </w:rPr>
        <w:t xml:space="preserve"> </w:t>
      </w:r>
      <w:r w:rsidRPr="00E161CA">
        <w:rPr>
          <w:lang w:val="en-GB"/>
        </w:rPr>
        <w:t xml:space="preserve"> </w:t>
      </w:r>
      <w:r w:rsidR="00706997" w:rsidRPr="00E161CA">
        <w:rPr>
          <w:lang w:val="en-GB"/>
        </w:rPr>
        <w:t xml:space="preserve">                                               </w:t>
      </w:r>
      <w:r w:rsidRPr="00E161CA">
        <w:rPr>
          <w:lang w:val="en-GB"/>
        </w:rPr>
        <w:t xml:space="preserve">           </w:t>
      </w:r>
      <w:r w:rsidR="00706997" w:rsidRPr="00E161CA">
        <w:rPr>
          <w:lang w:val="en-GB"/>
        </w:rPr>
        <w:t xml:space="preserve">    (</w:t>
      </w:r>
      <w:proofErr w:type="gramStart"/>
      <w:r w:rsidR="00706997" w:rsidRPr="00E161CA">
        <w:rPr>
          <w:lang w:val="en-GB"/>
        </w:rPr>
        <w:t>b</w:t>
      </w:r>
      <w:proofErr w:type="gramEnd"/>
      <w:r w:rsidR="00706997" w:rsidRPr="00E161CA">
        <w:rPr>
          <w:lang w:val="en-GB"/>
        </w:rPr>
        <w:t>)</w:t>
      </w:r>
    </w:p>
    <w:p w14:paraId="69773A73" w14:textId="077F32A1" w:rsidR="00706997" w:rsidRDefault="00706997" w:rsidP="00FB1456">
      <w:pPr>
        <w:pStyle w:val="CaptionLong"/>
        <w:rPr>
          <w:lang w:val="en-GB"/>
        </w:rPr>
      </w:pPr>
      <w:bookmarkStart w:id="0" w:name="_Ref474663855"/>
      <w:r>
        <w:rPr>
          <w:b/>
        </w:rPr>
        <w:t xml:space="preserve">Figure </w:t>
      </w:r>
      <w:r w:rsidR="00081CBE">
        <w:rPr>
          <w:b/>
        </w:rPr>
        <w:t>3</w:t>
      </w:r>
      <w:r>
        <w:rPr>
          <w:b/>
        </w:rPr>
        <w:t>.</w:t>
      </w:r>
      <w:r>
        <w:t xml:space="preserve"> </w:t>
      </w:r>
      <w:r w:rsidRPr="00706997">
        <w:rPr>
          <w:lang w:val="en-GB"/>
        </w:rPr>
        <w:t>Typical heat balances for a 2-stroke low speed (a)</w:t>
      </w:r>
      <w:r w:rsidR="00E161CA">
        <w:rPr>
          <w:lang w:val="en-GB"/>
        </w:rPr>
        <w:t xml:space="preserve"> </w:t>
      </w:r>
      <w:r w:rsidRPr="00706997">
        <w:rPr>
          <w:lang w:val="en-GB"/>
        </w:rPr>
        <w:t xml:space="preserve">and </w:t>
      </w:r>
      <w:proofErr w:type="gramStart"/>
      <w:r w:rsidRPr="00706997">
        <w:rPr>
          <w:lang w:val="en-GB"/>
        </w:rPr>
        <w:t>a 4-stroke medium speed (b) marine diesel engines</w:t>
      </w:r>
      <w:bookmarkEnd w:id="0"/>
      <w:proofErr w:type="gramEnd"/>
      <w:r w:rsidR="00EE4D1E">
        <w:rPr>
          <w:lang w:val="en-GB"/>
        </w:rPr>
        <w:t xml:space="preserve"> </w:t>
      </w:r>
      <w:r w:rsidR="00EE4D1E">
        <w:rPr>
          <w:lang w:val="en-GB"/>
        </w:rPr>
        <w:fldChar w:fldCharType="begin"/>
      </w:r>
      <w:r w:rsidR="00EE4D1E">
        <w:rPr>
          <w:lang w:val="en-GB"/>
        </w:rPr>
        <w:instrText xml:space="preserve"> REF _Ref509581839 \r \h </w:instrText>
      </w:r>
      <w:r w:rsidR="00EE4D1E">
        <w:rPr>
          <w:lang w:val="en-GB"/>
        </w:rPr>
      </w:r>
      <w:r w:rsidR="00EE4D1E">
        <w:rPr>
          <w:lang w:val="en-GB"/>
        </w:rPr>
        <w:fldChar w:fldCharType="separate"/>
      </w:r>
      <w:r w:rsidR="00254850">
        <w:rPr>
          <w:lang w:val="en-GB"/>
        </w:rPr>
        <w:t>[19]</w:t>
      </w:r>
      <w:r w:rsidR="00EE4D1E">
        <w:rPr>
          <w:lang w:val="en-GB"/>
        </w:rPr>
        <w:fldChar w:fldCharType="end"/>
      </w:r>
    </w:p>
    <w:p w14:paraId="6025BF4F" w14:textId="77777777" w:rsidR="00E161CA" w:rsidRPr="00E161CA" w:rsidRDefault="00E161CA" w:rsidP="00E161CA">
      <w:pPr>
        <w:pStyle w:val="CaptionShort"/>
        <w:jc w:val="both"/>
        <w:rPr>
          <w:iCs/>
        </w:rPr>
      </w:pPr>
    </w:p>
    <w:p w14:paraId="3574583F" w14:textId="668C0900" w:rsidR="00706997" w:rsidRPr="00706997" w:rsidRDefault="00706997" w:rsidP="00706997">
      <w:pPr>
        <w:rPr>
          <w:lang w:val="en-GB"/>
        </w:rPr>
      </w:pPr>
      <w:r w:rsidRPr="00706997">
        <w:rPr>
          <w:lang w:val="en-GB"/>
        </w:rPr>
        <w:t>As</w:t>
      </w:r>
      <w:r w:rsidR="00F708BB">
        <w:rPr>
          <w:lang w:val="en-GB"/>
        </w:rPr>
        <w:t xml:space="preserve"> it</w:t>
      </w:r>
      <w:r w:rsidRPr="00706997">
        <w:rPr>
          <w:lang w:val="en-GB"/>
        </w:rPr>
        <w:t xml:space="preserve"> </w:t>
      </w:r>
      <w:proofErr w:type="gramStart"/>
      <w:r w:rsidRPr="00706997">
        <w:rPr>
          <w:lang w:val="en-GB"/>
        </w:rPr>
        <w:t>can be observed</w:t>
      </w:r>
      <w:proofErr w:type="gramEnd"/>
      <w:r w:rsidRPr="00706997">
        <w:rPr>
          <w:lang w:val="en-GB"/>
        </w:rPr>
        <w:t xml:space="preserve">, MW size 2-stroke engines for ship propulsion can reach a brake thermal efficiency close to 50%, while 4-stroke units are typically in the range between 40 to 50%. For all these types of engines, due to the high gas flow rates involved in the thermodynamic processes, a high potential for waste heat recovery can be expected, considering heat sources such as exhaust gas, EGR (Exhaust Gas Recirculation), Charge Air Cooling (CAC, 4-stroke), Scavenge Air Cooling (SAC, 2-stroke), cooling jacket water and lubrication oil. In particular, a higher potential regarding exhaust gas heat recovery </w:t>
      </w:r>
      <w:proofErr w:type="gramStart"/>
      <w:r w:rsidRPr="00706997">
        <w:rPr>
          <w:lang w:val="en-GB"/>
        </w:rPr>
        <w:t>is expected</w:t>
      </w:r>
      <w:proofErr w:type="gramEnd"/>
      <w:r w:rsidRPr="00706997">
        <w:rPr>
          <w:lang w:val="en-GB"/>
        </w:rPr>
        <w:t xml:space="preserve"> for 4-stroke units, due to the higher temperature of the exhaust gas after the turbine. </w:t>
      </w:r>
    </w:p>
    <w:p w14:paraId="3346DB97" w14:textId="0F7C3BE4" w:rsidR="00A62EEE" w:rsidRPr="003C50DF" w:rsidRDefault="00706997" w:rsidP="003C50DF">
      <w:pPr>
        <w:rPr>
          <w:lang w:val="en-GB"/>
        </w:rPr>
      </w:pPr>
      <w:r w:rsidRPr="00706997">
        <w:rPr>
          <w:lang w:val="en-GB"/>
        </w:rPr>
        <w:t xml:space="preserve">Some data for 2-stroke and 4-stroke engines typical possible heat sources and heat sinks </w:t>
      </w:r>
      <w:proofErr w:type="gramStart"/>
      <w:r w:rsidRPr="00706997">
        <w:rPr>
          <w:lang w:val="en-GB"/>
        </w:rPr>
        <w:t>are reported</w:t>
      </w:r>
      <w:proofErr w:type="gramEnd"/>
      <w:r w:rsidRPr="00706997">
        <w:rPr>
          <w:lang w:val="en-GB"/>
        </w:rPr>
        <w:t xml:space="preserve"> in </w:t>
      </w:r>
      <w:r w:rsidR="003C50DF">
        <w:rPr>
          <w:lang w:val="en-GB"/>
        </w:rPr>
        <w:t>Table 1.</w:t>
      </w:r>
    </w:p>
    <w:p w14:paraId="4FE11E48" w14:textId="531519CB" w:rsidR="00A62EEE" w:rsidRDefault="00A62EEE" w:rsidP="00706997">
      <w:pPr>
        <w:rPr>
          <w:i/>
          <w:iCs/>
          <w:lang w:val="en-GB"/>
        </w:rPr>
      </w:pPr>
    </w:p>
    <w:p w14:paraId="3201CFC6" w14:textId="74EAD250" w:rsidR="003C50DF" w:rsidRDefault="003C50DF" w:rsidP="00FB1456">
      <w:pPr>
        <w:pStyle w:val="CaptionShort"/>
      </w:pPr>
      <w:r>
        <w:rPr>
          <w:b/>
        </w:rPr>
        <w:t>Table 1.</w:t>
      </w:r>
      <w:r>
        <w:t xml:space="preserve"> </w:t>
      </w:r>
      <w:r w:rsidRPr="003C50DF">
        <w:t>Typical heat source and sink data for 4-stroke and 2-stroke marine diesel engines</w:t>
      </w:r>
      <w:r>
        <w:t xml:space="preserve"> </w:t>
      </w:r>
      <w:r w:rsidR="00EE4D1E">
        <w:fldChar w:fldCharType="begin"/>
      </w:r>
      <w:r w:rsidR="00EE4D1E">
        <w:instrText xml:space="preserve"> REF _Ref509581839 \r \h </w:instrText>
      </w:r>
      <w:r w:rsidR="00EE4D1E">
        <w:fldChar w:fldCharType="separate"/>
      </w:r>
      <w:r w:rsidR="00254850">
        <w:t>[19]</w:t>
      </w:r>
      <w:r w:rsidR="00EE4D1E">
        <w:fldChar w:fldCharType="end"/>
      </w:r>
    </w:p>
    <w:tbl>
      <w:tblPr>
        <w:tblW w:w="7031" w:type="dxa"/>
        <w:jc w:val="center"/>
        <w:tblLook w:val="00A0" w:firstRow="1" w:lastRow="0" w:firstColumn="1" w:lastColumn="0" w:noHBand="0" w:noVBand="0"/>
      </w:tblPr>
      <w:tblGrid>
        <w:gridCol w:w="3261"/>
        <w:gridCol w:w="1984"/>
        <w:gridCol w:w="1786"/>
      </w:tblGrid>
      <w:tr w:rsidR="003C50DF" w14:paraId="07C9609D" w14:textId="77777777" w:rsidTr="003C50DF">
        <w:trPr>
          <w:jc w:val="center"/>
        </w:trPr>
        <w:tc>
          <w:tcPr>
            <w:tcW w:w="3261" w:type="dxa"/>
            <w:tcBorders>
              <w:top w:val="single" w:sz="4" w:space="0" w:color="auto"/>
            </w:tcBorders>
          </w:tcPr>
          <w:p w14:paraId="0A8CA777" w14:textId="2403A1EA" w:rsidR="003C50DF" w:rsidRPr="00D82BC9" w:rsidRDefault="003C50DF" w:rsidP="00A3307E">
            <w:pPr>
              <w:ind w:firstLine="0"/>
              <w:jc w:val="center"/>
              <w:rPr>
                <w:b/>
                <w:sz w:val="16"/>
                <w:szCs w:val="16"/>
              </w:rPr>
            </w:pPr>
            <w:r>
              <w:rPr>
                <w:b/>
                <w:sz w:val="16"/>
                <w:szCs w:val="16"/>
              </w:rPr>
              <w:t>Heat Source / Sink</w:t>
            </w:r>
          </w:p>
        </w:tc>
        <w:tc>
          <w:tcPr>
            <w:tcW w:w="1984" w:type="dxa"/>
            <w:tcBorders>
              <w:top w:val="single" w:sz="4" w:space="0" w:color="auto"/>
            </w:tcBorders>
          </w:tcPr>
          <w:p w14:paraId="51012D1D" w14:textId="266D93BC" w:rsidR="003C50DF" w:rsidRPr="00D82BC9" w:rsidRDefault="003C50DF" w:rsidP="00A3307E">
            <w:pPr>
              <w:ind w:firstLine="0"/>
              <w:jc w:val="center"/>
              <w:rPr>
                <w:b/>
                <w:sz w:val="16"/>
                <w:szCs w:val="16"/>
              </w:rPr>
            </w:pPr>
            <w:r>
              <w:rPr>
                <w:b/>
                <w:sz w:val="16"/>
                <w:szCs w:val="16"/>
              </w:rPr>
              <w:t>4-Stroke</w:t>
            </w:r>
          </w:p>
        </w:tc>
        <w:tc>
          <w:tcPr>
            <w:tcW w:w="1786" w:type="dxa"/>
            <w:tcBorders>
              <w:top w:val="single" w:sz="4" w:space="0" w:color="auto"/>
            </w:tcBorders>
          </w:tcPr>
          <w:p w14:paraId="352C83CF" w14:textId="6FDF1AEF" w:rsidR="003C50DF" w:rsidRPr="00D82BC9" w:rsidRDefault="003C50DF" w:rsidP="00A3307E">
            <w:pPr>
              <w:ind w:firstLine="0"/>
              <w:jc w:val="center"/>
              <w:rPr>
                <w:b/>
                <w:sz w:val="16"/>
                <w:szCs w:val="16"/>
              </w:rPr>
            </w:pPr>
            <w:r>
              <w:rPr>
                <w:b/>
                <w:sz w:val="16"/>
                <w:szCs w:val="16"/>
              </w:rPr>
              <w:t>2-Stroke</w:t>
            </w:r>
          </w:p>
        </w:tc>
      </w:tr>
      <w:tr w:rsidR="003C50DF" w14:paraId="49C1865B" w14:textId="77777777" w:rsidTr="003C50DF">
        <w:trPr>
          <w:jc w:val="center"/>
        </w:trPr>
        <w:tc>
          <w:tcPr>
            <w:tcW w:w="3261" w:type="dxa"/>
            <w:tcBorders>
              <w:bottom w:val="single" w:sz="4" w:space="0" w:color="auto"/>
            </w:tcBorders>
          </w:tcPr>
          <w:p w14:paraId="2B6CB3AF" w14:textId="77777777" w:rsidR="003C50DF" w:rsidRDefault="003C50DF" w:rsidP="00A3307E">
            <w:pPr>
              <w:ind w:firstLine="0"/>
              <w:jc w:val="center"/>
              <w:rPr>
                <w:b/>
                <w:sz w:val="16"/>
                <w:szCs w:val="16"/>
              </w:rPr>
            </w:pPr>
          </w:p>
        </w:tc>
        <w:tc>
          <w:tcPr>
            <w:tcW w:w="3770" w:type="dxa"/>
            <w:gridSpan w:val="2"/>
            <w:tcBorders>
              <w:bottom w:val="single" w:sz="4" w:space="0" w:color="auto"/>
            </w:tcBorders>
          </w:tcPr>
          <w:p w14:paraId="27502C55" w14:textId="5B5FB4ED" w:rsidR="003C50DF" w:rsidRPr="003C50DF" w:rsidRDefault="003C50DF" w:rsidP="00A3307E">
            <w:pPr>
              <w:ind w:firstLine="0"/>
              <w:jc w:val="center"/>
              <w:rPr>
                <w:sz w:val="16"/>
                <w:szCs w:val="16"/>
              </w:rPr>
            </w:pPr>
            <w:r w:rsidRPr="003C50DF">
              <w:rPr>
                <w:sz w:val="16"/>
                <w:szCs w:val="16"/>
              </w:rPr>
              <w:t>Temperature, °C</w:t>
            </w:r>
          </w:p>
        </w:tc>
      </w:tr>
      <w:tr w:rsidR="003C50DF" w14:paraId="5D09FF52" w14:textId="77777777" w:rsidTr="003C50DF">
        <w:trPr>
          <w:jc w:val="center"/>
        </w:trPr>
        <w:tc>
          <w:tcPr>
            <w:tcW w:w="3261" w:type="dxa"/>
            <w:tcBorders>
              <w:top w:val="single" w:sz="4" w:space="0" w:color="auto"/>
            </w:tcBorders>
          </w:tcPr>
          <w:p w14:paraId="0A320C57" w14:textId="0A2DE8C0" w:rsidR="003C50DF" w:rsidRDefault="003C50DF" w:rsidP="00A3307E">
            <w:pPr>
              <w:tabs>
                <w:tab w:val="decimal" w:pos="1026"/>
              </w:tabs>
              <w:ind w:firstLine="0"/>
              <w:rPr>
                <w:sz w:val="16"/>
                <w:szCs w:val="16"/>
              </w:rPr>
            </w:pPr>
            <w:r w:rsidRPr="003C50DF">
              <w:rPr>
                <w:sz w:val="16"/>
                <w:szCs w:val="16"/>
              </w:rPr>
              <w:t>Exhaust Gas Temp</w:t>
            </w:r>
            <w:r>
              <w:rPr>
                <w:sz w:val="16"/>
                <w:szCs w:val="16"/>
              </w:rPr>
              <w:t>erature</w:t>
            </w:r>
          </w:p>
        </w:tc>
        <w:tc>
          <w:tcPr>
            <w:tcW w:w="1984" w:type="dxa"/>
            <w:tcBorders>
              <w:top w:val="single" w:sz="4" w:space="0" w:color="auto"/>
            </w:tcBorders>
          </w:tcPr>
          <w:p w14:paraId="3D102572" w14:textId="1F842BA6" w:rsidR="003C50DF" w:rsidRDefault="003C50DF" w:rsidP="00A3307E">
            <w:pPr>
              <w:tabs>
                <w:tab w:val="decimal" w:pos="1013"/>
              </w:tabs>
              <w:ind w:firstLine="0"/>
              <w:rPr>
                <w:sz w:val="16"/>
                <w:szCs w:val="16"/>
              </w:rPr>
            </w:pPr>
            <w:r>
              <w:rPr>
                <w:sz w:val="16"/>
                <w:szCs w:val="16"/>
              </w:rPr>
              <w:t>300-500</w:t>
            </w:r>
          </w:p>
        </w:tc>
        <w:tc>
          <w:tcPr>
            <w:tcW w:w="1786" w:type="dxa"/>
            <w:tcBorders>
              <w:top w:val="single" w:sz="4" w:space="0" w:color="auto"/>
            </w:tcBorders>
          </w:tcPr>
          <w:p w14:paraId="2F7956F7" w14:textId="1DEEF495" w:rsidR="003C50DF" w:rsidRDefault="003C50DF" w:rsidP="00A3307E">
            <w:pPr>
              <w:tabs>
                <w:tab w:val="decimal" w:pos="1101"/>
              </w:tabs>
              <w:ind w:firstLine="0"/>
              <w:rPr>
                <w:sz w:val="16"/>
                <w:szCs w:val="16"/>
              </w:rPr>
            </w:pPr>
            <w:r>
              <w:rPr>
                <w:sz w:val="16"/>
                <w:szCs w:val="16"/>
              </w:rPr>
              <w:t>250-300</w:t>
            </w:r>
          </w:p>
        </w:tc>
      </w:tr>
      <w:tr w:rsidR="003C50DF" w14:paraId="5A5406BC" w14:textId="77777777" w:rsidTr="003C50DF">
        <w:trPr>
          <w:jc w:val="center"/>
        </w:trPr>
        <w:tc>
          <w:tcPr>
            <w:tcW w:w="3261" w:type="dxa"/>
          </w:tcPr>
          <w:p w14:paraId="681AD518" w14:textId="1D9CEEB6" w:rsidR="003C50DF" w:rsidRDefault="003C50DF" w:rsidP="00A3307E">
            <w:pPr>
              <w:tabs>
                <w:tab w:val="decimal" w:pos="1026"/>
              </w:tabs>
              <w:ind w:firstLine="0"/>
              <w:rPr>
                <w:sz w:val="16"/>
                <w:szCs w:val="16"/>
              </w:rPr>
            </w:pPr>
            <w:r>
              <w:rPr>
                <w:sz w:val="16"/>
                <w:szCs w:val="16"/>
              </w:rPr>
              <w:t>Cooling Water Jacket Temp.</w:t>
            </w:r>
          </w:p>
        </w:tc>
        <w:tc>
          <w:tcPr>
            <w:tcW w:w="1984" w:type="dxa"/>
          </w:tcPr>
          <w:p w14:paraId="686DE2EA" w14:textId="64AE753A" w:rsidR="003C50DF" w:rsidRDefault="003C50DF" w:rsidP="00A3307E">
            <w:pPr>
              <w:tabs>
                <w:tab w:val="decimal" w:pos="1013"/>
              </w:tabs>
              <w:ind w:firstLine="0"/>
              <w:rPr>
                <w:sz w:val="16"/>
                <w:szCs w:val="16"/>
              </w:rPr>
            </w:pPr>
            <w:r>
              <w:rPr>
                <w:sz w:val="16"/>
                <w:szCs w:val="16"/>
              </w:rPr>
              <w:t>80-90</w:t>
            </w:r>
          </w:p>
        </w:tc>
        <w:tc>
          <w:tcPr>
            <w:tcW w:w="1786" w:type="dxa"/>
          </w:tcPr>
          <w:p w14:paraId="5AA72C1C" w14:textId="5A98F3E7" w:rsidR="003C50DF" w:rsidRDefault="003C50DF" w:rsidP="00A3307E">
            <w:pPr>
              <w:tabs>
                <w:tab w:val="decimal" w:pos="1101"/>
              </w:tabs>
              <w:ind w:firstLine="0"/>
              <w:rPr>
                <w:sz w:val="16"/>
                <w:szCs w:val="16"/>
              </w:rPr>
            </w:pPr>
            <w:r>
              <w:rPr>
                <w:sz w:val="16"/>
                <w:szCs w:val="16"/>
              </w:rPr>
              <w:t>80-90</w:t>
            </w:r>
          </w:p>
        </w:tc>
      </w:tr>
      <w:tr w:rsidR="003C50DF" w14:paraId="6E74B376" w14:textId="77777777" w:rsidTr="003C50DF">
        <w:trPr>
          <w:jc w:val="center"/>
        </w:trPr>
        <w:tc>
          <w:tcPr>
            <w:tcW w:w="3261" w:type="dxa"/>
          </w:tcPr>
          <w:p w14:paraId="68732107" w14:textId="068FBAF8" w:rsidR="003C50DF" w:rsidRDefault="003C50DF" w:rsidP="00A3307E">
            <w:pPr>
              <w:tabs>
                <w:tab w:val="decimal" w:pos="1026"/>
              </w:tabs>
              <w:ind w:firstLine="0"/>
              <w:rPr>
                <w:sz w:val="16"/>
                <w:szCs w:val="16"/>
              </w:rPr>
            </w:pPr>
            <w:r>
              <w:rPr>
                <w:sz w:val="16"/>
                <w:szCs w:val="16"/>
              </w:rPr>
              <w:t xml:space="preserve">Scavenge Air Cooler Cool. </w:t>
            </w:r>
            <w:proofErr w:type="spellStart"/>
            <w:r>
              <w:rPr>
                <w:sz w:val="16"/>
                <w:szCs w:val="16"/>
              </w:rPr>
              <w:t>Circuir</w:t>
            </w:r>
            <w:proofErr w:type="spellEnd"/>
            <w:r>
              <w:rPr>
                <w:sz w:val="16"/>
                <w:szCs w:val="16"/>
              </w:rPr>
              <w:t xml:space="preserve"> Temp (LT)</w:t>
            </w:r>
          </w:p>
        </w:tc>
        <w:tc>
          <w:tcPr>
            <w:tcW w:w="1984" w:type="dxa"/>
          </w:tcPr>
          <w:p w14:paraId="23C6E70E" w14:textId="53046C32" w:rsidR="003C50DF" w:rsidRDefault="003C50DF" w:rsidP="00A3307E">
            <w:pPr>
              <w:tabs>
                <w:tab w:val="decimal" w:pos="1013"/>
              </w:tabs>
              <w:ind w:firstLine="0"/>
              <w:rPr>
                <w:sz w:val="16"/>
                <w:szCs w:val="16"/>
              </w:rPr>
            </w:pPr>
            <w:r>
              <w:rPr>
                <w:sz w:val="16"/>
                <w:szCs w:val="16"/>
              </w:rPr>
              <w:t>/</w:t>
            </w:r>
          </w:p>
        </w:tc>
        <w:tc>
          <w:tcPr>
            <w:tcW w:w="1786" w:type="dxa"/>
          </w:tcPr>
          <w:p w14:paraId="209AD1F0" w14:textId="27A8C2C4" w:rsidR="003C50DF" w:rsidRDefault="003C50DF" w:rsidP="00A3307E">
            <w:pPr>
              <w:tabs>
                <w:tab w:val="decimal" w:pos="1101"/>
              </w:tabs>
              <w:ind w:firstLine="0"/>
              <w:rPr>
                <w:sz w:val="16"/>
                <w:szCs w:val="16"/>
              </w:rPr>
            </w:pPr>
            <w:r>
              <w:rPr>
                <w:sz w:val="16"/>
                <w:szCs w:val="16"/>
              </w:rPr>
              <w:t>25-36</w:t>
            </w:r>
          </w:p>
        </w:tc>
      </w:tr>
      <w:tr w:rsidR="003C50DF" w14:paraId="06E55A30" w14:textId="77777777" w:rsidTr="003C50DF">
        <w:trPr>
          <w:jc w:val="center"/>
        </w:trPr>
        <w:tc>
          <w:tcPr>
            <w:tcW w:w="3261" w:type="dxa"/>
          </w:tcPr>
          <w:p w14:paraId="0511A9D4" w14:textId="4BC428AB" w:rsidR="003C50DF" w:rsidRDefault="003C50DF" w:rsidP="00A3307E">
            <w:pPr>
              <w:tabs>
                <w:tab w:val="decimal" w:pos="1026"/>
              </w:tabs>
              <w:ind w:firstLine="0"/>
              <w:rPr>
                <w:sz w:val="16"/>
                <w:szCs w:val="16"/>
              </w:rPr>
            </w:pPr>
            <w:r>
              <w:rPr>
                <w:sz w:val="16"/>
                <w:szCs w:val="16"/>
              </w:rPr>
              <w:t>CAC Cooling Circuit Temperature (LT)</w:t>
            </w:r>
          </w:p>
        </w:tc>
        <w:tc>
          <w:tcPr>
            <w:tcW w:w="1984" w:type="dxa"/>
          </w:tcPr>
          <w:p w14:paraId="11ACE8E2" w14:textId="4A81781A" w:rsidR="003C50DF" w:rsidRDefault="003C50DF" w:rsidP="00A3307E">
            <w:pPr>
              <w:tabs>
                <w:tab w:val="decimal" w:pos="1013"/>
              </w:tabs>
              <w:ind w:firstLine="0"/>
              <w:rPr>
                <w:sz w:val="16"/>
                <w:szCs w:val="16"/>
              </w:rPr>
            </w:pPr>
            <w:r>
              <w:rPr>
                <w:sz w:val="16"/>
                <w:szCs w:val="16"/>
              </w:rPr>
              <w:t>40-65</w:t>
            </w:r>
          </w:p>
        </w:tc>
        <w:tc>
          <w:tcPr>
            <w:tcW w:w="1786" w:type="dxa"/>
          </w:tcPr>
          <w:p w14:paraId="316EE8CA" w14:textId="63E96B5D" w:rsidR="003C50DF" w:rsidRDefault="003C50DF" w:rsidP="00A3307E">
            <w:pPr>
              <w:tabs>
                <w:tab w:val="decimal" w:pos="1101"/>
              </w:tabs>
              <w:ind w:firstLine="0"/>
              <w:rPr>
                <w:sz w:val="16"/>
                <w:szCs w:val="16"/>
              </w:rPr>
            </w:pPr>
            <w:r>
              <w:rPr>
                <w:sz w:val="16"/>
                <w:szCs w:val="16"/>
              </w:rPr>
              <w:t>/</w:t>
            </w:r>
          </w:p>
        </w:tc>
      </w:tr>
      <w:tr w:rsidR="003C50DF" w14:paraId="389E4011" w14:textId="77777777" w:rsidTr="003C50DF">
        <w:trPr>
          <w:jc w:val="center"/>
        </w:trPr>
        <w:tc>
          <w:tcPr>
            <w:tcW w:w="3261" w:type="dxa"/>
          </w:tcPr>
          <w:p w14:paraId="257C84D8" w14:textId="3A230E8B" w:rsidR="003C50DF" w:rsidRDefault="003C50DF" w:rsidP="00A3307E">
            <w:pPr>
              <w:tabs>
                <w:tab w:val="decimal" w:pos="1026"/>
              </w:tabs>
              <w:ind w:firstLine="0"/>
              <w:rPr>
                <w:sz w:val="16"/>
                <w:szCs w:val="16"/>
              </w:rPr>
            </w:pPr>
            <w:r>
              <w:rPr>
                <w:sz w:val="16"/>
                <w:szCs w:val="16"/>
              </w:rPr>
              <w:t>Lube Oil Circuit</w:t>
            </w:r>
          </w:p>
        </w:tc>
        <w:tc>
          <w:tcPr>
            <w:tcW w:w="1984" w:type="dxa"/>
          </w:tcPr>
          <w:p w14:paraId="35011BC0" w14:textId="771CE533" w:rsidR="003C50DF" w:rsidRDefault="003C50DF" w:rsidP="00A3307E">
            <w:pPr>
              <w:tabs>
                <w:tab w:val="decimal" w:pos="1013"/>
              </w:tabs>
              <w:ind w:firstLine="0"/>
              <w:rPr>
                <w:sz w:val="16"/>
                <w:szCs w:val="16"/>
              </w:rPr>
            </w:pPr>
            <w:r>
              <w:rPr>
                <w:sz w:val="16"/>
                <w:szCs w:val="16"/>
              </w:rPr>
              <w:t>65-80</w:t>
            </w:r>
          </w:p>
        </w:tc>
        <w:tc>
          <w:tcPr>
            <w:tcW w:w="1786" w:type="dxa"/>
          </w:tcPr>
          <w:p w14:paraId="069260F5" w14:textId="159C55A8" w:rsidR="003C50DF" w:rsidRDefault="003C50DF" w:rsidP="00A3307E">
            <w:pPr>
              <w:tabs>
                <w:tab w:val="decimal" w:pos="1101"/>
              </w:tabs>
              <w:ind w:firstLine="0"/>
              <w:rPr>
                <w:sz w:val="16"/>
                <w:szCs w:val="16"/>
              </w:rPr>
            </w:pPr>
            <w:r>
              <w:rPr>
                <w:sz w:val="16"/>
                <w:szCs w:val="16"/>
              </w:rPr>
              <w:t>60-75</w:t>
            </w:r>
          </w:p>
        </w:tc>
      </w:tr>
      <w:tr w:rsidR="003C50DF" w14:paraId="3B30D660" w14:textId="77777777" w:rsidTr="003C50DF">
        <w:trPr>
          <w:jc w:val="center"/>
        </w:trPr>
        <w:tc>
          <w:tcPr>
            <w:tcW w:w="3261" w:type="dxa"/>
          </w:tcPr>
          <w:p w14:paraId="4F0F64C8" w14:textId="5F4D30EF" w:rsidR="003C50DF" w:rsidRDefault="003C50DF" w:rsidP="00A3307E">
            <w:pPr>
              <w:tabs>
                <w:tab w:val="decimal" w:pos="1026"/>
              </w:tabs>
              <w:ind w:firstLine="0"/>
              <w:rPr>
                <w:sz w:val="16"/>
                <w:szCs w:val="16"/>
              </w:rPr>
            </w:pPr>
            <w:r>
              <w:rPr>
                <w:sz w:val="16"/>
                <w:szCs w:val="16"/>
              </w:rPr>
              <w:t>Sea Water</w:t>
            </w:r>
          </w:p>
        </w:tc>
        <w:tc>
          <w:tcPr>
            <w:tcW w:w="3770" w:type="dxa"/>
            <w:gridSpan w:val="2"/>
          </w:tcPr>
          <w:p w14:paraId="61815F45" w14:textId="0FB0EA7F" w:rsidR="003C50DF" w:rsidRDefault="003C50DF" w:rsidP="003C50DF">
            <w:pPr>
              <w:tabs>
                <w:tab w:val="decimal" w:pos="1101"/>
              </w:tabs>
              <w:ind w:firstLine="0"/>
              <w:jc w:val="center"/>
              <w:rPr>
                <w:sz w:val="16"/>
                <w:szCs w:val="16"/>
              </w:rPr>
            </w:pPr>
            <w:r>
              <w:rPr>
                <w:sz w:val="16"/>
                <w:szCs w:val="16"/>
              </w:rPr>
              <w:t>Up to 30-40</w:t>
            </w:r>
          </w:p>
        </w:tc>
      </w:tr>
      <w:tr w:rsidR="003C50DF" w14:paraId="0759C0E1" w14:textId="77777777" w:rsidTr="003C50DF">
        <w:trPr>
          <w:jc w:val="center"/>
        </w:trPr>
        <w:tc>
          <w:tcPr>
            <w:tcW w:w="3261" w:type="dxa"/>
            <w:tcBorders>
              <w:bottom w:val="single" w:sz="4" w:space="0" w:color="auto"/>
            </w:tcBorders>
          </w:tcPr>
          <w:p w14:paraId="64934EF5" w14:textId="061A01DA" w:rsidR="003C50DF" w:rsidRDefault="003C50DF" w:rsidP="00A3307E">
            <w:pPr>
              <w:tabs>
                <w:tab w:val="decimal" w:pos="1026"/>
              </w:tabs>
              <w:ind w:firstLine="0"/>
              <w:rPr>
                <w:sz w:val="16"/>
                <w:szCs w:val="16"/>
              </w:rPr>
            </w:pPr>
            <w:r>
              <w:rPr>
                <w:sz w:val="16"/>
                <w:szCs w:val="16"/>
              </w:rPr>
              <w:t>Engine Room Air</w:t>
            </w:r>
          </w:p>
        </w:tc>
        <w:tc>
          <w:tcPr>
            <w:tcW w:w="3770" w:type="dxa"/>
            <w:gridSpan w:val="2"/>
            <w:tcBorders>
              <w:bottom w:val="single" w:sz="4" w:space="0" w:color="auto"/>
            </w:tcBorders>
          </w:tcPr>
          <w:p w14:paraId="467B6836" w14:textId="2118E4FA" w:rsidR="003C50DF" w:rsidRDefault="003C50DF" w:rsidP="003C50DF">
            <w:pPr>
              <w:tabs>
                <w:tab w:val="decimal" w:pos="1101"/>
              </w:tabs>
              <w:ind w:firstLine="0"/>
              <w:jc w:val="center"/>
              <w:rPr>
                <w:sz w:val="16"/>
                <w:szCs w:val="16"/>
              </w:rPr>
            </w:pPr>
            <w:r>
              <w:rPr>
                <w:sz w:val="16"/>
                <w:szCs w:val="16"/>
              </w:rPr>
              <w:t>Up to 40-45</w:t>
            </w:r>
          </w:p>
        </w:tc>
      </w:tr>
    </w:tbl>
    <w:p w14:paraId="4EDD5167" w14:textId="77777777" w:rsidR="00706997" w:rsidRPr="00706997" w:rsidRDefault="00706997" w:rsidP="003C50DF">
      <w:pPr>
        <w:ind w:firstLine="0"/>
        <w:rPr>
          <w:lang w:val="en-GB"/>
        </w:rPr>
      </w:pPr>
    </w:p>
    <w:p w14:paraId="7258BEEC" w14:textId="7D8F8B23" w:rsidR="005F611B" w:rsidRDefault="00706997" w:rsidP="00ED5E5B">
      <w:pPr>
        <w:rPr>
          <w:lang w:val="en-GB"/>
        </w:rPr>
      </w:pPr>
      <w:r w:rsidRPr="00706997">
        <w:rPr>
          <w:lang w:val="en-GB"/>
        </w:rPr>
        <w:t>However, the large amount of gas mass flows available in 2-stroke engines could also lead to possible advantages when considering heat recovery systems</w:t>
      </w:r>
      <w:r w:rsidR="005F611B">
        <w:rPr>
          <w:lang w:val="en-GB"/>
        </w:rPr>
        <w:t xml:space="preserve"> </w:t>
      </w:r>
      <w:r w:rsidR="005F611B">
        <w:rPr>
          <w:lang w:val="en-GB"/>
        </w:rPr>
        <w:fldChar w:fldCharType="begin"/>
      </w:r>
      <w:r w:rsidR="005F611B">
        <w:rPr>
          <w:lang w:val="en-GB"/>
        </w:rPr>
        <w:instrText xml:space="preserve"> REF _Ref509571256 \r \h </w:instrText>
      </w:r>
      <w:r w:rsidR="005F611B">
        <w:rPr>
          <w:lang w:val="en-GB"/>
        </w:rPr>
      </w:r>
      <w:r w:rsidR="005F611B">
        <w:rPr>
          <w:lang w:val="en-GB"/>
        </w:rPr>
        <w:fldChar w:fldCharType="separate"/>
      </w:r>
      <w:r w:rsidR="00254850">
        <w:rPr>
          <w:lang w:val="en-GB"/>
        </w:rPr>
        <w:t>[20]</w:t>
      </w:r>
      <w:r w:rsidR="005F611B">
        <w:rPr>
          <w:lang w:val="en-GB"/>
        </w:rPr>
        <w:fldChar w:fldCharType="end"/>
      </w:r>
      <w:r w:rsidR="005F611B">
        <w:rPr>
          <w:lang w:val="en-GB"/>
        </w:rPr>
        <w:t>.</w:t>
      </w:r>
    </w:p>
    <w:p w14:paraId="0D87B689" w14:textId="2587B08E" w:rsidR="00EE4D1E" w:rsidRDefault="005F611B" w:rsidP="0097053B">
      <w:r>
        <w:t>Usually, part of the energy dissipated by the engine</w:t>
      </w:r>
      <w:r w:rsidR="00EE4D1E">
        <w:t>s</w:t>
      </w:r>
      <w:r w:rsidRPr="001612D1">
        <w:t xml:space="preserve"> is </w:t>
      </w:r>
      <w:r>
        <w:t>already recovered</w:t>
      </w:r>
      <w:r w:rsidRPr="001612D1">
        <w:t xml:space="preserve"> </w:t>
      </w:r>
      <w:r>
        <w:t xml:space="preserve">onboard </w:t>
      </w:r>
      <w:r w:rsidRPr="001612D1">
        <w:t xml:space="preserve">for </w:t>
      </w:r>
      <w:r>
        <w:t>different auxiliary</w:t>
      </w:r>
      <w:r w:rsidRPr="001612D1">
        <w:t xml:space="preserve"> </w:t>
      </w:r>
      <w:r>
        <w:t>demands</w:t>
      </w:r>
      <w:r w:rsidRPr="001612D1">
        <w:t>, such as</w:t>
      </w:r>
      <w:r w:rsidR="00EE4D1E">
        <w:t>, for example,</w:t>
      </w:r>
      <w:r w:rsidRPr="001612D1">
        <w:t xml:space="preserve"> </w:t>
      </w:r>
      <w:r>
        <w:t xml:space="preserve">fresh water generation or kitchen and </w:t>
      </w:r>
      <w:r w:rsidRPr="001612D1">
        <w:t>laundry</w:t>
      </w:r>
      <w:r>
        <w:t xml:space="preserve"> services, </w:t>
      </w:r>
      <w:r w:rsidRPr="001612D1">
        <w:t xml:space="preserve">but never in the most efficient way </w:t>
      </w:r>
      <w:r>
        <w:t xml:space="preserve">and </w:t>
      </w:r>
      <w:r w:rsidRPr="001612D1">
        <w:t>never in its entirety</w:t>
      </w:r>
      <w:r>
        <w:t xml:space="preserve"> </w:t>
      </w:r>
      <w:r>
        <w:fldChar w:fldCharType="begin"/>
      </w:r>
      <w:r>
        <w:instrText xml:space="preserve"> REF _Ref509502356 \r \h </w:instrText>
      </w:r>
      <w:r>
        <w:fldChar w:fldCharType="separate"/>
      </w:r>
      <w:r w:rsidR="00254850">
        <w:t>[21]</w:t>
      </w:r>
      <w:r>
        <w:fldChar w:fldCharType="end"/>
      </w:r>
      <w:r>
        <w:t xml:space="preserve">.  </w:t>
      </w:r>
      <w:r w:rsidR="00C75FAB">
        <w:t>I</w:t>
      </w:r>
      <w:r w:rsidR="00C75FAB" w:rsidRPr="00CE09AB">
        <w:t xml:space="preserve">n particular, energy surplus </w:t>
      </w:r>
      <w:proofErr w:type="gramStart"/>
      <w:r w:rsidR="00C75FAB" w:rsidRPr="00CE09AB">
        <w:t xml:space="preserve">could be </w:t>
      </w:r>
      <w:r w:rsidR="00FD05D6">
        <w:t>exploit</w:t>
      </w:r>
      <w:r w:rsidR="00C82D3C">
        <w:t>ed</w:t>
      </w:r>
      <w:proofErr w:type="gramEnd"/>
      <w:r w:rsidR="00C75FAB" w:rsidRPr="00CE09AB">
        <w:t xml:space="preserve"> for the </w:t>
      </w:r>
      <w:r w:rsidR="00C75FAB">
        <w:t>conversion of waste heat to electric power using different technologies</w:t>
      </w:r>
      <w:r w:rsidR="00C75FAB" w:rsidRPr="00CE09AB">
        <w:t>,</w:t>
      </w:r>
      <w:r w:rsidR="00C75FAB">
        <w:t xml:space="preserve"> which have been widely studied in the scientific community, despite the relative scarcity of industrial applications in shipping</w:t>
      </w:r>
      <w:r w:rsidR="00021A80">
        <w:t xml:space="preserve"> </w:t>
      </w:r>
      <w:r w:rsidR="00021A80">
        <w:fldChar w:fldCharType="begin"/>
      </w:r>
      <w:r w:rsidR="00021A80">
        <w:instrText xml:space="preserve"> REF _Ref509502556 \r \h </w:instrText>
      </w:r>
      <w:r w:rsidR="00021A80">
        <w:fldChar w:fldCharType="separate"/>
      </w:r>
      <w:r w:rsidR="00254850">
        <w:t>[22]</w:t>
      </w:r>
      <w:r w:rsidR="00021A80">
        <w:fldChar w:fldCharType="end"/>
      </w:r>
      <w:r w:rsidR="00C75FAB">
        <w:t>.</w:t>
      </w:r>
      <w:r w:rsidR="00FD05D6">
        <w:t xml:space="preserve"> </w:t>
      </w:r>
      <w:r w:rsidR="00884652">
        <w:t xml:space="preserve">This solution translates into the adoption of an additional thermal cycle, bottoming the main engines, such as </w:t>
      </w:r>
      <w:proofErr w:type="spellStart"/>
      <w:r w:rsidR="00884652">
        <w:t>Kalin</w:t>
      </w:r>
      <w:r w:rsidR="00021A80">
        <w:t>a</w:t>
      </w:r>
      <w:proofErr w:type="spellEnd"/>
      <w:r w:rsidR="00884652">
        <w:t>,</w:t>
      </w:r>
      <w:r w:rsidR="00A16AAC">
        <w:t xml:space="preserve"> </w:t>
      </w:r>
      <w:proofErr w:type="spellStart"/>
      <w:r w:rsidR="00A16AAC">
        <w:t>Stirling</w:t>
      </w:r>
      <w:proofErr w:type="spellEnd"/>
      <w:r w:rsidR="00A16AAC">
        <w:t>,</w:t>
      </w:r>
      <w:r w:rsidR="00884652">
        <w:t xml:space="preserve"> </w:t>
      </w:r>
      <w:proofErr w:type="spellStart"/>
      <w:r w:rsidR="00884652">
        <w:t>Brayton</w:t>
      </w:r>
      <w:proofErr w:type="spellEnd"/>
      <w:r w:rsidR="00884652">
        <w:t xml:space="preserve">, </w:t>
      </w:r>
      <w:proofErr w:type="spellStart"/>
      <w:r w:rsidR="00A16AAC">
        <w:t>Rankine</w:t>
      </w:r>
      <w:proofErr w:type="spellEnd"/>
      <w:r w:rsidR="00A16AAC">
        <w:t xml:space="preserve">, </w:t>
      </w:r>
      <w:r w:rsidR="00884652">
        <w:t xml:space="preserve">or Organic </w:t>
      </w:r>
      <w:proofErr w:type="spellStart"/>
      <w:r w:rsidR="00884652">
        <w:t>Rankine</w:t>
      </w:r>
      <w:proofErr w:type="spellEnd"/>
      <w:r w:rsidR="00884652">
        <w:t xml:space="preserve"> Cycle (ORC)</w:t>
      </w:r>
      <w:r w:rsidR="00932652">
        <w:t xml:space="preserve">, </w:t>
      </w:r>
      <w:r w:rsidR="00884652">
        <w:t xml:space="preserve">which </w:t>
      </w:r>
      <w:r w:rsidR="00884652" w:rsidRPr="00884652">
        <w:t xml:space="preserve">seems to be the most promising </w:t>
      </w:r>
      <w:r w:rsidR="00884652">
        <w:t>one</w:t>
      </w:r>
      <w:r w:rsidR="00884652" w:rsidRPr="00884652">
        <w:t xml:space="preserve">, </w:t>
      </w:r>
      <w:r w:rsidR="00884652" w:rsidRPr="00C84A89">
        <w:t xml:space="preserve">because of the lower evaporation temperature of the organic working fluids </w:t>
      </w:r>
      <w:r w:rsidR="000358C8">
        <w:fldChar w:fldCharType="begin"/>
      </w:r>
      <w:r w:rsidR="000358C8">
        <w:instrText xml:space="preserve"> REF _Ref509570510 \r \h </w:instrText>
      </w:r>
      <w:r w:rsidR="000358C8">
        <w:fldChar w:fldCharType="separate"/>
      </w:r>
      <w:r w:rsidR="00254850">
        <w:t>[7]</w:t>
      </w:r>
      <w:r w:rsidR="000358C8">
        <w:fldChar w:fldCharType="end"/>
      </w:r>
      <w:r w:rsidR="000358C8">
        <w:fldChar w:fldCharType="begin"/>
      </w:r>
      <w:r w:rsidR="000358C8">
        <w:instrText xml:space="preserve"> REF _Ref509570519 \r \h </w:instrText>
      </w:r>
      <w:r w:rsidR="000358C8">
        <w:fldChar w:fldCharType="separate"/>
      </w:r>
      <w:r w:rsidR="00254850">
        <w:t>[23]</w:t>
      </w:r>
      <w:r w:rsidR="000358C8">
        <w:fldChar w:fldCharType="end"/>
      </w:r>
      <w:r w:rsidR="00021A80">
        <w:t>.</w:t>
      </w:r>
    </w:p>
    <w:p w14:paraId="16F07105" w14:textId="77777777" w:rsidR="001E7334" w:rsidRPr="008E6E9A" w:rsidRDefault="001E7334" w:rsidP="001E7334">
      <w:pPr>
        <w:pStyle w:val="Titolo1"/>
      </w:pPr>
      <w:r>
        <w:lastRenderedPageBreak/>
        <w:t xml:space="preserve">Development of a new simulation platform </w:t>
      </w:r>
    </w:p>
    <w:p w14:paraId="55C806E8" w14:textId="6CD21D75" w:rsidR="00F41A04" w:rsidRDefault="00CB7873" w:rsidP="00FB1456">
      <w:pPr>
        <w:ind w:firstLine="0"/>
      </w:pPr>
      <w:r>
        <w:t>With such a complex design and operational scenario</w:t>
      </w:r>
      <w:r w:rsidR="00932652" w:rsidRPr="00932652">
        <w:t xml:space="preserve">, the necessity </w:t>
      </w:r>
      <w:r w:rsidR="00932652">
        <w:t xml:space="preserve">of having a tool capable of helping the ship owners in </w:t>
      </w:r>
      <w:r w:rsidR="00B6376B">
        <w:t>choosing from</w:t>
      </w:r>
      <w:r w:rsidR="00932652">
        <w:t xml:space="preserve"> </w:t>
      </w:r>
      <w:r w:rsidR="00A16AAC">
        <w:t>different plant layouts</w:t>
      </w:r>
      <w:r w:rsidR="000720C2">
        <w:t xml:space="preserve">, recovery </w:t>
      </w:r>
      <w:r w:rsidR="00A16AAC">
        <w:t>systems</w:t>
      </w:r>
      <w:r w:rsidR="000720C2">
        <w:t xml:space="preserve"> and emission abatement systems</w:t>
      </w:r>
      <w:r>
        <w:t xml:space="preserve"> </w:t>
      </w:r>
      <w:r w:rsidR="00932652" w:rsidRPr="00932652">
        <w:t>emerges</w:t>
      </w:r>
      <w:r w:rsidR="003F3F3E">
        <w:t xml:space="preserve">. </w:t>
      </w:r>
      <w:r w:rsidR="000720C2" w:rsidRPr="000720C2">
        <w:t>I</w:t>
      </w:r>
      <w:r w:rsidR="000720C2">
        <w:t>n fact, i</w:t>
      </w:r>
      <w:r w:rsidR="006B69B7" w:rsidRPr="006B69B7">
        <w:t>t is not enough to design the single plants separately</w:t>
      </w:r>
      <w:r w:rsidR="00D054C7">
        <w:t>,</w:t>
      </w:r>
      <w:r w:rsidR="006B69B7" w:rsidRPr="006B69B7">
        <w:t xml:space="preserve"> but </w:t>
      </w:r>
      <w:r w:rsidR="00D054C7">
        <w:t xml:space="preserve">it </w:t>
      </w:r>
      <w:r w:rsidR="006B69B7" w:rsidRPr="006B69B7">
        <w:t>is necessary to</w:t>
      </w:r>
      <w:r w:rsidR="000720C2">
        <w:t xml:space="preserve"> </w:t>
      </w:r>
      <w:r w:rsidR="000720C2" w:rsidRPr="006B69B7">
        <w:t>consider the energy system as a whole</w:t>
      </w:r>
      <w:r w:rsidR="000720C2">
        <w:t xml:space="preserve">, </w:t>
      </w:r>
      <w:r w:rsidR="006B69B7" w:rsidRPr="006B69B7">
        <w:t>think</w:t>
      </w:r>
      <w:r w:rsidR="000720C2">
        <w:t>ing</w:t>
      </w:r>
      <w:r w:rsidR="006B69B7" w:rsidRPr="006B69B7">
        <w:t xml:space="preserve"> from the beginning how the plants </w:t>
      </w:r>
      <w:r w:rsidR="00D054C7">
        <w:t>would</w:t>
      </w:r>
      <w:r w:rsidR="006B69B7" w:rsidRPr="006B69B7">
        <w:t xml:space="preserve"> interact</w:t>
      </w:r>
      <w:r w:rsidR="000720C2">
        <w:t xml:space="preserve"> with each other</w:t>
      </w:r>
      <w:r w:rsidRPr="00CB7873">
        <w:t xml:space="preserve"> </w:t>
      </w:r>
      <w:r>
        <w:t xml:space="preserve">in order to </w:t>
      </w:r>
      <w:r w:rsidRPr="000720C2">
        <w:t xml:space="preserve">optimize the available energy </w:t>
      </w:r>
      <w:r>
        <w:t>onboard and reduce the emissions</w:t>
      </w:r>
      <w:r w:rsidR="000720C2">
        <w:t>.</w:t>
      </w:r>
      <w:r w:rsidR="00D054C7">
        <w:t xml:space="preserve"> </w:t>
      </w:r>
      <w:r w:rsidR="006B69B7" w:rsidRPr="006B69B7">
        <w:t xml:space="preserve">Overall, </w:t>
      </w:r>
      <w:r w:rsidR="00D054C7" w:rsidRPr="006B69B7">
        <w:t>a</w:t>
      </w:r>
      <w:r w:rsidR="006B69B7" w:rsidRPr="006B69B7">
        <w:t xml:space="preserve"> holistic approach to manage energy flows in modern ship</w:t>
      </w:r>
      <w:r w:rsidR="00D054C7">
        <w:t>s</w:t>
      </w:r>
      <w:r w:rsidR="006B69B7" w:rsidRPr="006B69B7">
        <w:t xml:space="preserve"> is </w:t>
      </w:r>
      <w:r>
        <w:t>becoming an absolute necessity</w:t>
      </w:r>
      <w:r w:rsidR="00D054C7">
        <w:t>.</w:t>
      </w:r>
    </w:p>
    <w:p w14:paraId="0F54D693" w14:textId="65093088" w:rsidR="00F41A04" w:rsidRDefault="00B449B4">
      <w:r>
        <w:t xml:space="preserve">Currently, the only commercial product available on the market, able to manage it, seems to be COSSMOS </w:t>
      </w:r>
      <w:r>
        <w:fldChar w:fldCharType="begin"/>
      </w:r>
      <w:r>
        <w:instrText xml:space="preserve"> REF _Ref509585252 \r \h </w:instrText>
      </w:r>
      <w:r>
        <w:fldChar w:fldCharType="separate"/>
      </w:r>
      <w:r w:rsidR="00254850">
        <w:t>[24]</w:t>
      </w:r>
      <w:r>
        <w:fldChar w:fldCharType="end"/>
      </w:r>
      <w:r>
        <w:t>. COSSMOS (</w:t>
      </w:r>
      <w:proofErr w:type="spellStart"/>
      <w:r w:rsidRPr="00AE48A2">
        <w:t>COmplex</w:t>
      </w:r>
      <w:proofErr w:type="spellEnd"/>
      <w:r w:rsidRPr="00AE48A2">
        <w:t xml:space="preserve"> Ship Systems </w:t>
      </w:r>
      <w:proofErr w:type="spellStart"/>
      <w:r w:rsidRPr="00AE48A2">
        <w:t>MOdelling</w:t>
      </w:r>
      <w:proofErr w:type="spellEnd"/>
      <w:r w:rsidRPr="00AE48A2">
        <w:t xml:space="preserve"> and Simulation</w:t>
      </w:r>
      <w:r>
        <w:t>) is a computer platform, developed by DNV GL</w:t>
      </w:r>
      <w:r w:rsidR="007F3735">
        <w:t xml:space="preserve"> </w:t>
      </w:r>
      <w:r>
        <w:t xml:space="preserve">that enables the </w:t>
      </w:r>
      <w:r w:rsidR="007F3735">
        <w:t xml:space="preserve">detailed </w:t>
      </w:r>
      <w:r w:rsidR="00F41A04">
        <w:t xml:space="preserve">dynamic </w:t>
      </w:r>
      <w:r>
        <w:t xml:space="preserve">analysis and optimization of the design, operation and control of </w:t>
      </w:r>
      <w:r w:rsidR="00CB7873">
        <w:t>a variety of</w:t>
      </w:r>
      <w:r>
        <w:t xml:space="preserve"> ship machinery system</w:t>
      </w:r>
      <w:r w:rsidR="00CB7873">
        <w:t>s</w:t>
      </w:r>
      <w:r>
        <w:t xml:space="preserve"> at the integrated systems’ level.</w:t>
      </w:r>
    </w:p>
    <w:p w14:paraId="3F00E5EE" w14:textId="1795896E" w:rsidR="00F41A04" w:rsidRDefault="008E6E9A" w:rsidP="00C7493A">
      <w:pPr>
        <w:ind w:firstLine="426"/>
      </w:pPr>
      <w:r>
        <w:t xml:space="preserve">LESS (Low Energy Ship </w:t>
      </w:r>
      <w:proofErr w:type="spellStart"/>
      <w:r>
        <w:t>deSign</w:t>
      </w:r>
      <w:proofErr w:type="spellEnd"/>
      <w:r>
        <w:t xml:space="preserve"> tool) is a</w:t>
      </w:r>
      <w:r w:rsidR="00F56932" w:rsidRPr="00F56932">
        <w:t xml:space="preserve"> </w:t>
      </w:r>
      <w:r>
        <w:t xml:space="preserve">newly developed </w:t>
      </w:r>
      <w:r w:rsidR="000443F5">
        <w:t>simulation platform that allow</w:t>
      </w:r>
      <w:r w:rsidR="000443F5" w:rsidRPr="00F56932">
        <w:t xml:space="preserve"> </w:t>
      </w:r>
      <w:r w:rsidR="00F56932" w:rsidRPr="00F56932">
        <w:t xml:space="preserve">to </w:t>
      </w:r>
      <w:r w:rsidR="00F41A04">
        <w:t xml:space="preserve">quickly </w:t>
      </w:r>
      <w:proofErr w:type="gramStart"/>
      <w:r w:rsidR="000443F5">
        <w:t>assess</w:t>
      </w:r>
      <w:proofErr w:type="gramEnd"/>
      <w:r w:rsidR="000443F5" w:rsidRPr="00F56932">
        <w:t xml:space="preserve"> </w:t>
      </w:r>
      <w:r w:rsidR="000443F5">
        <w:t xml:space="preserve">ship </w:t>
      </w:r>
      <w:r w:rsidR="00F56932" w:rsidRPr="00F56932">
        <w:t xml:space="preserve">energy performances </w:t>
      </w:r>
      <w:r w:rsidR="00F41A04">
        <w:t xml:space="preserve">focusing on the </w:t>
      </w:r>
      <w:r w:rsidR="00CB7873">
        <w:t xml:space="preserve">ship </w:t>
      </w:r>
      <w:r w:rsidR="00F41A04">
        <w:t>operational conditions</w:t>
      </w:r>
      <w:r w:rsidR="00BC4C8A">
        <w:t xml:space="preserve">, optimizing energy </w:t>
      </w:r>
      <w:r w:rsidR="00F56932" w:rsidRPr="00F56932">
        <w:t>efficiency</w:t>
      </w:r>
      <w:r w:rsidR="00922FBE">
        <w:t xml:space="preserve"> and </w:t>
      </w:r>
      <w:r w:rsidR="00BC4C8A">
        <w:t xml:space="preserve">reducing </w:t>
      </w:r>
      <w:r w:rsidR="00922FBE" w:rsidRPr="00F56932">
        <w:t>emissions</w:t>
      </w:r>
      <w:r w:rsidR="00922FBE">
        <w:t xml:space="preserve"> </w:t>
      </w:r>
      <w:r w:rsidR="00F56932" w:rsidRPr="00F56932">
        <w:t>through cogeneration and recovery plants</w:t>
      </w:r>
      <w:r w:rsidR="000443F5">
        <w:t xml:space="preserve"> </w:t>
      </w:r>
      <w:r w:rsidR="00BC4C8A">
        <w:t>since</w:t>
      </w:r>
      <w:r w:rsidR="000443F5">
        <w:t xml:space="preserve"> the early stages of the design process</w:t>
      </w:r>
      <w:r w:rsidR="00922FBE">
        <w:t>.</w:t>
      </w:r>
      <w:r w:rsidR="00F41A04">
        <w:t xml:space="preserve"> </w:t>
      </w:r>
      <w:r w:rsidR="003A1DDB" w:rsidRPr="006619C0">
        <w:t xml:space="preserve">LESS </w:t>
      </w:r>
      <w:proofErr w:type="gramStart"/>
      <w:r w:rsidR="003A1DDB" w:rsidRPr="006619C0">
        <w:t>is organized</w:t>
      </w:r>
      <w:proofErr w:type="gramEnd"/>
      <w:r w:rsidR="003A1DDB" w:rsidRPr="006619C0">
        <w:t xml:space="preserve"> as a “simulation </w:t>
      </w:r>
      <w:r w:rsidR="00F5333B" w:rsidRPr="006619C0">
        <w:t>environment</w:t>
      </w:r>
      <w:r w:rsidR="00F5333B">
        <w:t>”</w:t>
      </w:r>
      <w:r w:rsidR="00133394" w:rsidRPr="00133394">
        <w:rPr>
          <w:szCs w:val="20"/>
        </w:rPr>
        <w:t xml:space="preserve"> </w:t>
      </w:r>
      <w:r w:rsidR="00133394">
        <w:rPr>
          <w:szCs w:val="20"/>
        </w:rPr>
        <w:t>to determine energy balances and material fluxes between the system components for given operational conditions</w:t>
      </w:r>
      <w:r w:rsidR="00BC4C8A">
        <w:rPr>
          <w:szCs w:val="20"/>
        </w:rPr>
        <w:t xml:space="preserve"> </w:t>
      </w:r>
      <w:r w:rsidR="00BC4C8A">
        <w:t>and gives</w:t>
      </w:r>
      <w:r w:rsidR="003A1DDB" w:rsidRPr="006619C0">
        <w:t xml:space="preserve"> the user (the designer or a group of designers) the </w:t>
      </w:r>
      <w:r w:rsidR="00BC4C8A">
        <w:t>possibility</w:t>
      </w:r>
      <w:r w:rsidR="003A1DDB" w:rsidRPr="006619C0">
        <w:t xml:space="preserve"> to organize </w:t>
      </w:r>
      <w:r w:rsidR="00986D31">
        <w:t>his</w:t>
      </w:r>
      <w:r w:rsidR="003A1DDB" w:rsidRPr="006619C0">
        <w:t xml:space="preserve"> design activity in a flexible manner.</w:t>
      </w:r>
    </w:p>
    <w:p w14:paraId="2AA6F9C2" w14:textId="5EC5F20A" w:rsidR="003A1DDB" w:rsidRPr="00D22FCE" w:rsidRDefault="003A1DDB" w:rsidP="00C7493A">
      <w:pPr>
        <w:ind w:firstLine="426"/>
      </w:pPr>
      <w:r w:rsidRPr="006619C0">
        <w:t xml:space="preserve">The </w:t>
      </w:r>
      <w:r>
        <w:t>simulation environment</w:t>
      </w:r>
      <w:r w:rsidRPr="006619C0">
        <w:t xml:space="preserve"> works around </w:t>
      </w:r>
      <w:r>
        <w:t>the following fundamental elements</w:t>
      </w:r>
      <w:r w:rsidR="00235E9C">
        <w:t>:</w:t>
      </w:r>
    </w:p>
    <w:p w14:paraId="62C84DAF" w14:textId="27335A38" w:rsidR="003A1DDB" w:rsidRPr="007168FE" w:rsidRDefault="003A1DDB" w:rsidP="003F043E">
      <w:pPr>
        <w:pStyle w:val="Paragrafoelenco"/>
        <w:numPr>
          <w:ilvl w:val="0"/>
          <w:numId w:val="12"/>
        </w:numPr>
        <w:rPr>
          <w:szCs w:val="20"/>
        </w:rPr>
      </w:pPr>
      <w:proofErr w:type="gramStart"/>
      <w:r w:rsidRPr="00C7493A">
        <w:rPr>
          <w:b/>
          <w:szCs w:val="20"/>
        </w:rPr>
        <w:t>the</w:t>
      </w:r>
      <w:proofErr w:type="gramEnd"/>
      <w:r w:rsidRPr="00C7493A">
        <w:rPr>
          <w:b/>
          <w:szCs w:val="20"/>
        </w:rPr>
        <w:t xml:space="preserve"> plant components</w:t>
      </w:r>
      <w:r w:rsidR="00785F1C">
        <w:rPr>
          <w:szCs w:val="20"/>
        </w:rPr>
        <w:t>, which</w:t>
      </w:r>
      <w:r w:rsidRPr="007168FE">
        <w:rPr>
          <w:szCs w:val="20"/>
        </w:rPr>
        <w:t xml:space="preserve"> represent the fundamental objects and</w:t>
      </w:r>
      <w:r w:rsidR="00986D31" w:rsidRPr="007168FE">
        <w:rPr>
          <w:szCs w:val="20"/>
        </w:rPr>
        <w:t xml:space="preserve">, </w:t>
      </w:r>
      <w:r w:rsidRPr="007168FE">
        <w:rPr>
          <w:szCs w:val="20"/>
        </w:rPr>
        <w:t xml:space="preserve">in </w:t>
      </w:r>
      <w:r w:rsidR="00986D31" w:rsidRPr="007168FE">
        <w:rPr>
          <w:szCs w:val="20"/>
        </w:rPr>
        <w:t>a simplified manner,</w:t>
      </w:r>
      <w:r w:rsidRPr="007168FE">
        <w:rPr>
          <w:szCs w:val="20"/>
        </w:rPr>
        <w:t xml:space="preserve"> the physical components of the energy plant</w:t>
      </w:r>
      <w:r w:rsidR="00986D31" w:rsidRPr="007168FE">
        <w:rPr>
          <w:szCs w:val="20"/>
        </w:rPr>
        <w:t>.</w:t>
      </w:r>
      <w:r w:rsidR="00133394">
        <w:rPr>
          <w:szCs w:val="20"/>
        </w:rPr>
        <w:t xml:space="preserve"> </w:t>
      </w:r>
    </w:p>
    <w:p w14:paraId="395913FB" w14:textId="7818EC6F" w:rsidR="003A1DDB" w:rsidRPr="006619C0" w:rsidRDefault="003A1DDB" w:rsidP="003A1DDB">
      <w:pPr>
        <w:pStyle w:val="Paragrafoelenco"/>
        <w:numPr>
          <w:ilvl w:val="0"/>
          <w:numId w:val="12"/>
        </w:numPr>
        <w:jc w:val="left"/>
        <w:rPr>
          <w:szCs w:val="20"/>
        </w:rPr>
      </w:pPr>
      <w:proofErr w:type="gramStart"/>
      <w:r w:rsidRPr="00C7493A">
        <w:rPr>
          <w:b/>
          <w:szCs w:val="20"/>
        </w:rPr>
        <w:t>the</w:t>
      </w:r>
      <w:proofErr w:type="gramEnd"/>
      <w:r w:rsidRPr="00C7493A">
        <w:rPr>
          <w:b/>
          <w:szCs w:val="20"/>
        </w:rPr>
        <w:t xml:space="preserve"> plant configurations</w:t>
      </w:r>
      <w:r w:rsidR="00133394">
        <w:rPr>
          <w:szCs w:val="20"/>
        </w:rPr>
        <w:t>, which represent the energy system in both a graphical and functional manner, connecting the system components by mean of “pipes” transferring Low Temperature Water (LTW), High Temperature Water (HTW), Steam, Fuel, Fresh Water (FW) and electric cables.</w:t>
      </w:r>
    </w:p>
    <w:p w14:paraId="2960631F" w14:textId="60E27EBC" w:rsidR="003A1DDB" w:rsidRPr="006619C0" w:rsidRDefault="003A1DDB" w:rsidP="00C7493A">
      <w:pPr>
        <w:pStyle w:val="Paragrafoelenco"/>
        <w:numPr>
          <w:ilvl w:val="0"/>
          <w:numId w:val="12"/>
        </w:numPr>
        <w:rPr>
          <w:szCs w:val="20"/>
        </w:rPr>
      </w:pPr>
      <w:r w:rsidRPr="00C7493A">
        <w:rPr>
          <w:b/>
          <w:szCs w:val="20"/>
        </w:rPr>
        <w:t>the operational scenarios</w:t>
      </w:r>
      <w:r w:rsidR="00785F1C">
        <w:rPr>
          <w:szCs w:val="20"/>
        </w:rPr>
        <w:t>, which are</w:t>
      </w:r>
      <w:r w:rsidR="00785F1C">
        <w:t xml:space="preserve"> a collection of operational conditions for the ship and define the electrical request, divided into propulsive and non-propulsive demands, and thermal requests of the ship</w:t>
      </w:r>
      <w:r w:rsidR="007168FE">
        <w:rPr>
          <w:szCs w:val="20"/>
        </w:rPr>
        <w:t>;</w:t>
      </w:r>
    </w:p>
    <w:p w14:paraId="0716EE27" w14:textId="1F0C263F" w:rsidR="003A1DDB" w:rsidRDefault="003A1DDB">
      <w:pPr>
        <w:pStyle w:val="Paragrafoelenco"/>
        <w:numPr>
          <w:ilvl w:val="0"/>
          <w:numId w:val="12"/>
        </w:numPr>
        <w:rPr>
          <w:szCs w:val="20"/>
        </w:rPr>
      </w:pPr>
      <w:proofErr w:type="gramStart"/>
      <w:r w:rsidRPr="00C7493A">
        <w:rPr>
          <w:b/>
          <w:szCs w:val="20"/>
        </w:rPr>
        <w:t>the</w:t>
      </w:r>
      <w:proofErr w:type="gramEnd"/>
      <w:r w:rsidRPr="00C7493A">
        <w:rPr>
          <w:b/>
          <w:szCs w:val="20"/>
        </w:rPr>
        <w:t xml:space="preserve"> simulation scenarios</w:t>
      </w:r>
      <w:r w:rsidR="00E96057">
        <w:rPr>
          <w:szCs w:val="20"/>
        </w:rPr>
        <w:t xml:space="preserve">, which are determined by a collection of plant configurations and operational scenarios. Performance </w:t>
      </w:r>
      <w:proofErr w:type="gramStart"/>
      <w:r w:rsidR="00E96057">
        <w:rPr>
          <w:szCs w:val="20"/>
        </w:rPr>
        <w:t>are evaluated</w:t>
      </w:r>
      <w:r w:rsidR="00F41A04">
        <w:rPr>
          <w:szCs w:val="20"/>
        </w:rPr>
        <w:t xml:space="preserve"> </w:t>
      </w:r>
      <w:r w:rsidR="00E96057">
        <w:rPr>
          <w:szCs w:val="20"/>
        </w:rPr>
        <w:t xml:space="preserve">and assessed for each plant configurations </w:t>
      </w:r>
      <w:r w:rsidR="00BC4C8A">
        <w:rPr>
          <w:szCs w:val="20"/>
        </w:rPr>
        <w:t>and for</w:t>
      </w:r>
      <w:r w:rsidR="00E96057">
        <w:rPr>
          <w:szCs w:val="20"/>
        </w:rPr>
        <w:t xml:space="preserve"> each </w:t>
      </w:r>
      <w:r w:rsidR="00BC4C8A">
        <w:rPr>
          <w:szCs w:val="20"/>
        </w:rPr>
        <w:t xml:space="preserve">possible </w:t>
      </w:r>
      <w:r w:rsidR="00E96057">
        <w:rPr>
          <w:szCs w:val="20"/>
        </w:rPr>
        <w:t>operational scenario</w:t>
      </w:r>
      <w:r w:rsidR="00BC4C8A">
        <w:rPr>
          <w:szCs w:val="20"/>
        </w:rPr>
        <w:t>s</w:t>
      </w:r>
      <w:proofErr w:type="gramEnd"/>
      <w:r w:rsidR="00E96057">
        <w:rPr>
          <w:szCs w:val="20"/>
        </w:rPr>
        <w:t>.</w:t>
      </w:r>
    </w:p>
    <w:p w14:paraId="004AE5FD" w14:textId="77777777" w:rsidR="00712260" w:rsidRDefault="00712260" w:rsidP="00C7493A">
      <w:pPr>
        <w:ind w:firstLine="0"/>
      </w:pPr>
    </w:p>
    <w:p w14:paraId="5DAEE00A" w14:textId="7AB31831" w:rsidR="00712260" w:rsidRDefault="00712260" w:rsidP="00C7493A">
      <w:pPr>
        <w:jc w:val="center"/>
      </w:pPr>
      <w:r>
        <w:rPr>
          <w:noProof/>
          <w:lang w:val="en-GB" w:eastAsia="en-GB"/>
        </w:rPr>
        <w:drawing>
          <wp:inline distT="0" distB="0" distL="0" distR="0" wp14:anchorId="43B404EA" wp14:editId="4A94C8AF">
            <wp:extent cx="2660073" cy="1666943"/>
            <wp:effectExtent l="19050" t="19050" r="2603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7799" cy="1690584"/>
                    </a:xfrm>
                    <a:prstGeom prst="rect">
                      <a:avLst/>
                    </a:prstGeom>
                    <a:ln>
                      <a:solidFill>
                        <a:schemeClr val="accent1"/>
                      </a:solidFill>
                    </a:ln>
                  </pic:spPr>
                </pic:pic>
              </a:graphicData>
            </a:graphic>
          </wp:inline>
        </w:drawing>
      </w:r>
    </w:p>
    <w:p w14:paraId="0C1C859B" w14:textId="07F77B0B" w:rsidR="00712260" w:rsidRPr="006619C0" w:rsidRDefault="00712260" w:rsidP="00712260">
      <w:pPr>
        <w:pStyle w:val="CaptionShort"/>
      </w:pPr>
      <w:r w:rsidRPr="006619C0">
        <w:rPr>
          <w:b/>
        </w:rPr>
        <w:t xml:space="preserve">Figure </w:t>
      </w:r>
      <w:r w:rsidR="00081CBE">
        <w:rPr>
          <w:b/>
        </w:rPr>
        <w:t>4</w:t>
      </w:r>
      <w:r w:rsidRPr="006619C0">
        <w:rPr>
          <w:b/>
        </w:rPr>
        <w:t>.</w:t>
      </w:r>
      <w:r w:rsidRPr="006619C0">
        <w:t xml:space="preserve"> </w:t>
      </w:r>
      <w:r>
        <w:t>A typical cruise plan for Mediterranean and Black Sea</w:t>
      </w:r>
      <w:r w:rsidRPr="006619C0">
        <w:t>.</w:t>
      </w:r>
    </w:p>
    <w:p w14:paraId="4F9FCE15" w14:textId="4DC94EB2" w:rsidR="00712260" w:rsidRDefault="00712260" w:rsidP="00C7493A">
      <w:r>
        <w:lastRenderedPageBreak/>
        <w:t xml:space="preserve">To describe the cruise plan of Figure </w:t>
      </w:r>
      <w:r w:rsidR="00081CBE">
        <w:t>4</w:t>
      </w:r>
      <w:r>
        <w:t>, an operational scenario composed by at least 11 navigating operational conditions (without considering possible the changes due to intermediate waypoints) and by 10 port operational conditions. A typical operational condition is at minimum describing:</w:t>
      </w:r>
    </w:p>
    <w:p w14:paraId="40B1E760" w14:textId="77777777" w:rsidR="00712260" w:rsidRDefault="00712260" w:rsidP="00712260">
      <w:pPr>
        <w:pStyle w:val="Paragrafoelenco"/>
        <w:numPr>
          <w:ilvl w:val="0"/>
          <w:numId w:val="20"/>
        </w:numPr>
        <w:jc w:val="left"/>
      </w:pPr>
      <w:r>
        <w:t>the cruise speed and the corresponding propulsive power request;</w:t>
      </w:r>
    </w:p>
    <w:p w14:paraId="04062F5C" w14:textId="01CE0B9D" w:rsidR="00712260" w:rsidRDefault="00712260" w:rsidP="00712260">
      <w:pPr>
        <w:pStyle w:val="Paragrafoelenco"/>
        <w:numPr>
          <w:ilvl w:val="0"/>
          <w:numId w:val="20"/>
        </w:numPr>
        <w:jc w:val="left"/>
      </w:pPr>
      <w:proofErr w:type="gramStart"/>
      <w:r>
        <w:t>the</w:t>
      </w:r>
      <w:proofErr w:type="gramEnd"/>
      <w:r>
        <w:t xml:space="preserve"> non-propulsive power request that might be further detailed according to specific uses where necessary.</w:t>
      </w:r>
    </w:p>
    <w:p w14:paraId="588E7189" w14:textId="2E93F62B" w:rsidR="003F3F3E" w:rsidRDefault="003F3F3E" w:rsidP="003F043E">
      <w:r w:rsidRPr="003F3F3E">
        <w:t>The Software allow</w:t>
      </w:r>
      <w:r w:rsidR="008E6E9A">
        <w:t>s</w:t>
      </w:r>
      <w:r w:rsidRPr="003F3F3E">
        <w:t xml:space="preserve"> </w:t>
      </w:r>
      <w:proofErr w:type="gramStart"/>
      <w:r w:rsidRPr="003F3F3E">
        <w:t>to set</w:t>
      </w:r>
      <w:proofErr w:type="gramEnd"/>
      <w:r w:rsidRPr="003F3F3E">
        <w:t xml:space="preserve"> up the plant layout by choosing from differen</w:t>
      </w:r>
      <w:r w:rsidR="008E6E9A">
        <w:t xml:space="preserve">t </w:t>
      </w:r>
      <w:r w:rsidR="00922FBE">
        <w:t>power generators</w:t>
      </w:r>
      <w:r w:rsidR="00A618E5">
        <w:t xml:space="preserve">, </w:t>
      </w:r>
      <w:r w:rsidR="00922FBE">
        <w:t>recovery plants</w:t>
      </w:r>
      <w:r w:rsidR="00A618E5">
        <w:t xml:space="preserve"> and emission abatement systems</w:t>
      </w:r>
      <w:r w:rsidR="008E6E9A">
        <w:t xml:space="preserve">, </w:t>
      </w:r>
      <w:r w:rsidR="002B519D">
        <w:t xml:space="preserve">as briefly </w:t>
      </w:r>
      <w:r w:rsidR="008E6E9A">
        <w:t xml:space="preserve">listed in Table </w:t>
      </w:r>
      <w:r w:rsidR="00D22FCE">
        <w:t>2</w:t>
      </w:r>
      <w:r w:rsidR="008E6E9A">
        <w:t>.</w:t>
      </w:r>
    </w:p>
    <w:p w14:paraId="6BA68409" w14:textId="77777777" w:rsidR="008E6E9A" w:rsidRDefault="008E6E9A" w:rsidP="003A1DDB">
      <w:pPr>
        <w:ind w:firstLine="0"/>
        <w:jc w:val="left"/>
      </w:pPr>
    </w:p>
    <w:p w14:paraId="0038DE18" w14:textId="74C93925" w:rsidR="003A1DDB" w:rsidRDefault="003A1DDB" w:rsidP="00FB1456">
      <w:pPr>
        <w:pStyle w:val="CaptionShort"/>
      </w:pPr>
      <w:r>
        <w:rPr>
          <w:b/>
        </w:rPr>
        <w:t xml:space="preserve">Table </w:t>
      </w:r>
      <w:r w:rsidR="00D22FCE">
        <w:rPr>
          <w:b/>
        </w:rPr>
        <w:t>2</w:t>
      </w:r>
      <w:r>
        <w:rPr>
          <w:b/>
        </w:rPr>
        <w:t>.</w:t>
      </w:r>
      <w:r>
        <w:t xml:space="preserve"> </w:t>
      </w:r>
      <w:r w:rsidR="00AD6FF0">
        <w:t>“Generic c</w:t>
      </w:r>
      <w:r>
        <w:t>omponents</w:t>
      </w:r>
      <w:r w:rsidR="00AD6FF0">
        <w:t>”</w:t>
      </w:r>
      <w:r>
        <w:t xml:space="preserve"> implemented in the LESS simulation environment</w:t>
      </w:r>
    </w:p>
    <w:tbl>
      <w:tblPr>
        <w:tblW w:w="7031" w:type="dxa"/>
        <w:jc w:val="center"/>
        <w:tblLook w:val="00A0" w:firstRow="1" w:lastRow="0" w:firstColumn="1" w:lastColumn="0" w:noHBand="0" w:noVBand="0"/>
      </w:tblPr>
      <w:tblGrid>
        <w:gridCol w:w="2127"/>
        <w:gridCol w:w="2552"/>
        <w:gridCol w:w="2352"/>
      </w:tblGrid>
      <w:tr w:rsidR="003A1DDB" w14:paraId="36A17907" w14:textId="77777777" w:rsidTr="003F3F3E">
        <w:trPr>
          <w:jc w:val="center"/>
        </w:trPr>
        <w:tc>
          <w:tcPr>
            <w:tcW w:w="2127" w:type="dxa"/>
            <w:tcBorders>
              <w:top w:val="single" w:sz="4" w:space="0" w:color="auto"/>
              <w:bottom w:val="single" w:sz="4" w:space="0" w:color="auto"/>
            </w:tcBorders>
          </w:tcPr>
          <w:p w14:paraId="20ACDEB7" w14:textId="77777777" w:rsidR="003A1DDB" w:rsidRPr="00D82BC9" w:rsidRDefault="003F3F3E" w:rsidP="00AD6FF0">
            <w:pPr>
              <w:ind w:firstLine="0"/>
              <w:jc w:val="center"/>
              <w:rPr>
                <w:b/>
                <w:sz w:val="16"/>
                <w:szCs w:val="16"/>
              </w:rPr>
            </w:pPr>
            <w:r>
              <w:rPr>
                <w:b/>
                <w:sz w:val="16"/>
                <w:szCs w:val="16"/>
              </w:rPr>
              <w:t>Power generators</w:t>
            </w:r>
          </w:p>
        </w:tc>
        <w:tc>
          <w:tcPr>
            <w:tcW w:w="2552" w:type="dxa"/>
            <w:tcBorders>
              <w:top w:val="single" w:sz="4" w:space="0" w:color="auto"/>
              <w:bottom w:val="single" w:sz="4" w:space="0" w:color="auto"/>
            </w:tcBorders>
          </w:tcPr>
          <w:p w14:paraId="22E8DB77" w14:textId="77777777" w:rsidR="003A1DDB" w:rsidRPr="00D82BC9" w:rsidRDefault="003F3F3E" w:rsidP="00AD6FF0">
            <w:pPr>
              <w:ind w:firstLine="0"/>
              <w:jc w:val="center"/>
              <w:rPr>
                <w:b/>
                <w:sz w:val="16"/>
                <w:szCs w:val="16"/>
              </w:rPr>
            </w:pPr>
            <w:r>
              <w:rPr>
                <w:b/>
                <w:sz w:val="16"/>
                <w:szCs w:val="16"/>
              </w:rPr>
              <w:t>Recovery plants</w:t>
            </w:r>
          </w:p>
        </w:tc>
        <w:tc>
          <w:tcPr>
            <w:tcW w:w="2352" w:type="dxa"/>
            <w:tcBorders>
              <w:top w:val="single" w:sz="4" w:space="0" w:color="auto"/>
              <w:bottom w:val="single" w:sz="4" w:space="0" w:color="auto"/>
            </w:tcBorders>
          </w:tcPr>
          <w:p w14:paraId="5A3822F2" w14:textId="77777777" w:rsidR="003A1DDB" w:rsidRPr="00D82BC9" w:rsidRDefault="003F3F3E" w:rsidP="00AD6FF0">
            <w:pPr>
              <w:ind w:firstLine="0"/>
              <w:jc w:val="center"/>
              <w:rPr>
                <w:b/>
                <w:sz w:val="16"/>
                <w:szCs w:val="16"/>
              </w:rPr>
            </w:pPr>
            <w:r>
              <w:rPr>
                <w:b/>
                <w:sz w:val="16"/>
                <w:szCs w:val="16"/>
              </w:rPr>
              <w:t>Emissions abatement systems</w:t>
            </w:r>
          </w:p>
        </w:tc>
      </w:tr>
      <w:tr w:rsidR="003A1DDB" w14:paraId="12A9C748" w14:textId="77777777" w:rsidTr="003F3F3E">
        <w:trPr>
          <w:jc w:val="center"/>
        </w:trPr>
        <w:tc>
          <w:tcPr>
            <w:tcW w:w="2127" w:type="dxa"/>
            <w:tcBorders>
              <w:top w:val="single" w:sz="4" w:space="0" w:color="auto"/>
            </w:tcBorders>
          </w:tcPr>
          <w:p w14:paraId="6BACD696" w14:textId="77777777" w:rsidR="003A1DDB" w:rsidRDefault="003F3F3E" w:rsidP="00C7493A">
            <w:pPr>
              <w:ind w:firstLine="0"/>
              <w:jc w:val="center"/>
              <w:rPr>
                <w:sz w:val="16"/>
                <w:szCs w:val="16"/>
              </w:rPr>
            </w:pPr>
            <w:r>
              <w:rPr>
                <w:sz w:val="16"/>
                <w:szCs w:val="16"/>
              </w:rPr>
              <w:t>Diesel Engines</w:t>
            </w:r>
          </w:p>
        </w:tc>
        <w:tc>
          <w:tcPr>
            <w:tcW w:w="2552" w:type="dxa"/>
            <w:tcBorders>
              <w:top w:val="single" w:sz="4" w:space="0" w:color="auto"/>
            </w:tcBorders>
          </w:tcPr>
          <w:p w14:paraId="60B1188C" w14:textId="77777777" w:rsidR="003A1DDB" w:rsidRDefault="003F3F3E" w:rsidP="00C7493A">
            <w:pPr>
              <w:ind w:firstLine="0"/>
              <w:jc w:val="center"/>
              <w:rPr>
                <w:sz w:val="16"/>
                <w:szCs w:val="16"/>
              </w:rPr>
            </w:pPr>
            <w:r>
              <w:rPr>
                <w:sz w:val="16"/>
                <w:szCs w:val="16"/>
              </w:rPr>
              <w:t>Steam Turbines</w:t>
            </w:r>
          </w:p>
        </w:tc>
        <w:tc>
          <w:tcPr>
            <w:tcW w:w="2352" w:type="dxa"/>
            <w:tcBorders>
              <w:top w:val="single" w:sz="4" w:space="0" w:color="auto"/>
            </w:tcBorders>
          </w:tcPr>
          <w:p w14:paraId="0507ADF8" w14:textId="77777777" w:rsidR="003A1DDB" w:rsidRDefault="003F3F3E" w:rsidP="00C7493A">
            <w:pPr>
              <w:ind w:right="-27" w:firstLine="0"/>
              <w:jc w:val="center"/>
              <w:rPr>
                <w:sz w:val="16"/>
                <w:szCs w:val="16"/>
              </w:rPr>
            </w:pPr>
            <w:r>
              <w:rPr>
                <w:sz w:val="16"/>
                <w:szCs w:val="16"/>
              </w:rPr>
              <w:t>SCR</w:t>
            </w:r>
          </w:p>
        </w:tc>
      </w:tr>
      <w:tr w:rsidR="003A1DDB" w14:paraId="36B2B52E" w14:textId="77777777" w:rsidTr="003F3F3E">
        <w:trPr>
          <w:jc w:val="center"/>
        </w:trPr>
        <w:tc>
          <w:tcPr>
            <w:tcW w:w="2127" w:type="dxa"/>
          </w:tcPr>
          <w:p w14:paraId="164ED3E0" w14:textId="77777777" w:rsidR="003A1DDB" w:rsidRDefault="003F3F3E" w:rsidP="00C7493A">
            <w:pPr>
              <w:ind w:firstLine="0"/>
              <w:jc w:val="center"/>
              <w:rPr>
                <w:sz w:val="16"/>
                <w:szCs w:val="16"/>
              </w:rPr>
            </w:pPr>
            <w:r>
              <w:rPr>
                <w:sz w:val="16"/>
                <w:szCs w:val="16"/>
              </w:rPr>
              <w:t>Gas Turbines</w:t>
            </w:r>
          </w:p>
        </w:tc>
        <w:tc>
          <w:tcPr>
            <w:tcW w:w="2552" w:type="dxa"/>
          </w:tcPr>
          <w:p w14:paraId="6922ED1F" w14:textId="77777777" w:rsidR="003A1DDB" w:rsidRDefault="003F3F3E" w:rsidP="00C7493A">
            <w:pPr>
              <w:ind w:firstLine="0"/>
              <w:jc w:val="center"/>
              <w:rPr>
                <w:sz w:val="16"/>
                <w:szCs w:val="16"/>
              </w:rPr>
            </w:pPr>
            <w:r>
              <w:rPr>
                <w:sz w:val="16"/>
                <w:szCs w:val="16"/>
              </w:rPr>
              <w:t>ORC</w:t>
            </w:r>
          </w:p>
        </w:tc>
        <w:tc>
          <w:tcPr>
            <w:tcW w:w="2352" w:type="dxa"/>
          </w:tcPr>
          <w:p w14:paraId="7BEFB9AA" w14:textId="77777777" w:rsidR="003A1DDB" w:rsidRDefault="003F3F3E" w:rsidP="00C7493A">
            <w:pPr>
              <w:ind w:right="-27" w:firstLine="0"/>
              <w:jc w:val="center"/>
              <w:rPr>
                <w:sz w:val="16"/>
                <w:szCs w:val="16"/>
              </w:rPr>
            </w:pPr>
            <w:r>
              <w:rPr>
                <w:sz w:val="16"/>
                <w:szCs w:val="16"/>
              </w:rPr>
              <w:t>Scrubber</w:t>
            </w:r>
          </w:p>
        </w:tc>
      </w:tr>
      <w:tr w:rsidR="003A1DDB" w14:paraId="43189F08" w14:textId="77777777" w:rsidTr="003F3F3E">
        <w:trPr>
          <w:jc w:val="center"/>
        </w:trPr>
        <w:tc>
          <w:tcPr>
            <w:tcW w:w="2127" w:type="dxa"/>
          </w:tcPr>
          <w:p w14:paraId="00DD7A76" w14:textId="10568640" w:rsidR="003A1DDB" w:rsidRDefault="00680A48" w:rsidP="00680A48">
            <w:pPr>
              <w:ind w:firstLine="0"/>
              <w:jc w:val="center"/>
              <w:rPr>
                <w:sz w:val="16"/>
                <w:szCs w:val="16"/>
              </w:rPr>
            </w:pPr>
            <w:r>
              <w:rPr>
                <w:sz w:val="16"/>
                <w:szCs w:val="16"/>
              </w:rPr>
              <w:t>(Engine Rooms)</w:t>
            </w:r>
          </w:p>
        </w:tc>
        <w:tc>
          <w:tcPr>
            <w:tcW w:w="2552" w:type="dxa"/>
          </w:tcPr>
          <w:p w14:paraId="4BAF9EB0" w14:textId="77777777" w:rsidR="003A1DDB" w:rsidRDefault="003F3F3E" w:rsidP="00C7493A">
            <w:pPr>
              <w:ind w:firstLine="0"/>
              <w:jc w:val="center"/>
              <w:rPr>
                <w:sz w:val="16"/>
                <w:szCs w:val="16"/>
              </w:rPr>
            </w:pPr>
            <w:r>
              <w:rPr>
                <w:sz w:val="16"/>
                <w:szCs w:val="16"/>
              </w:rPr>
              <w:t>Exhaust Gas Boilers (EGB)</w:t>
            </w:r>
          </w:p>
        </w:tc>
        <w:tc>
          <w:tcPr>
            <w:tcW w:w="2352" w:type="dxa"/>
          </w:tcPr>
          <w:p w14:paraId="2B67AB05" w14:textId="77777777" w:rsidR="003A1DDB" w:rsidRDefault="003A1DDB" w:rsidP="00AD6FF0">
            <w:pPr>
              <w:tabs>
                <w:tab w:val="decimal" w:pos="1101"/>
              </w:tabs>
              <w:ind w:firstLine="0"/>
              <w:rPr>
                <w:sz w:val="16"/>
                <w:szCs w:val="16"/>
              </w:rPr>
            </w:pPr>
          </w:p>
        </w:tc>
      </w:tr>
      <w:tr w:rsidR="00922FBE" w14:paraId="27EEEFCF" w14:textId="77777777" w:rsidTr="003F3F3E">
        <w:trPr>
          <w:jc w:val="center"/>
        </w:trPr>
        <w:tc>
          <w:tcPr>
            <w:tcW w:w="2127" w:type="dxa"/>
          </w:tcPr>
          <w:p w14:paraId="2299C2EF" w14:textId="77777777" w:rsidR="00922FBE" w:rsidRDefault="00922FBE" w:rsidP="00922FBE">
            <w:pPr>
              <w:tabs>
                <w:tab w:val="decimal" w:pos="1026"/>
              </w:tabs>
              <w:ind w:firstLine="0"/>
              <w:rPr>
                <w:sz w:val="16"/>
                <w:szCs w:val="16"/>
              </w:rPr>
            </w:pPr>
          </w:p>
        </w:tc>
        <w:tc>
          <w:tcPr>
            <w:tcW w:w="2552" w:type="dxa"/>
          </w:tcPr>
          <w:p w14:paraId="7FD81A2B" w14:textId="77777777" w:rsidR="00922FBE" w:rsidRDefault="00922FBE" w:rsidP="00C7493A">
            <w:pPr>
              <w:ind w:firstLine="0"/>
              <w:jc w:val="center"/>
              <w:rPr>
                <w:sz w:val="16"/>
                <w:szCs w:val="16"/>
              </w:rPr>
            </w:pPr>
            <w:r>
              <w:rPr>
                <w:sz w:val="16"/>
                <w:szCs w:val="16"/>
              </w:rPr>
              <w:t>Absorption chiller units</w:t>
            </w:r>
          </w:p>
        </w:tc>
        <w:tc>
          <w:tcPr>
            <w:tcW w:w="2352" w:type="dxa"/>
          </w:tcPr>
          <w:p w14:paraId="2070F18A" w14:textId="77777777" w:rsidR="00922FBE" w:rsidRDefault="00922FBE" w:rsidP="00922FBE">
            <w:pPr>
              <w:tabs>
                <w:tab w:val="decimal" w:pos="1101"/>
              </w:tabs>
              <w:ind w:firstLine="0"/>
              <w:rPr>
                <w:sz w:val="16"/>
                <w:szCs w:val="16"/>
              </w:rPr>
            </w:pPr>
          </w:p>
        </w:tc>
      </w:tr>
      <w:tr w:rsidR="00922FBE" w14:paraId="07F355F7" w14:textId="77777777" w:rsidTr="003F3F3E">
        <w:trPr>
          <w:jc w:val="center"/>
        </w:trPr>
        <w:tc>
          <w:tcPr>
            <w:tcW w:w="2127" w:type="dxa"/>
          </w:tcPr>
          <w:p w14:paraId="1472A647" w14:textId="77777777" w:rsidR="00922FBE" w:rsidRDefault="00922FBE" w:rsidP="00922FBE">
            <w:pPr>
              <w:tabs>
                <w:tab w:val="decimal" w:pos="1026"/>
              </w:tabs>
              <w:ind w:firstLine="0"/>
              <w:rPr>
                <w:sz w:val="16"/>
                <w:szCs w:val="16"/>
              </w:rPr>
            </w:pPr>
          </w:p>
        </w:tc>
        <w:tc>
          <w:tcPr>
            <w:tcW w:w="2552" w:type="dxa"/>
          </w:tcPr>
          <w:p w14:paraId="0D61AF9D" w14:textId="77777777" w:rsidR="00922FBE" w:rsidRDefault="00922FBE" w:rsidP="00C7493A">
            <w:pPr>
              <w:ind w:firstLine="0"/>
              <w:jc w:val="center"/>
              <w:rPr>
                <w:sz w:val="16"/>
                <w:szCs w:val="16"/>
              </w:rPr>
            </w:pPr>
            <w:r>
              <w:rPr>
                <w:sz w:val="16"/>
                <w:szCs w:val="16"/>
              </w:rPr>
              <w:t>Fresh Water Generators</w:t>
            </w:r>
          </w:p>
        </w:tc>
        <w:tc>
          <w:tcPr>
            <w:tcW w:w="2352" w:type="dxa"/>
          </w:tcPr>
          <w:p w14:paraId="779AC7E3" w14:textId="77777777" w:rsidR="00922FBE" w:rsidRDefault="00922FBE" w:rsidP="00922FBE">
            <w:pPr>
              <w:tabs>
                <w:tab w:val="decimal" w:pos="1101"/>
              </w:tabs>
              <w:ind w:firstLine="0"/>
              <w:rPr>
                <w:sz w:val="16"/>
                <w:szCs w:val="16"/>
              </w:rPr>
            </w:pPr>
          </w:p>
        </w:tc>
      </w:tr>
      <w:tr w:rsidR="00922FBE" w14:paraId="05F92181" w14:textId="77777777" w:rsidTr="003F3F3E">
        <w:trPr>
          <w:jc w:val="center"/>
        </w:trPr>
        <w:tc>
          <w:tcPr>
            <w:tcW w:w="2127" w:type="dxa"/>
            <w:tcBorders>
              <w:bottom w:val="single" w:sz="4" w:space="0" w:color="auto"/>
            </w:tcBorders>
          </w:tcPr>
          <w:p w14:paraId="1D359A02" w14:textId="77777777" w:rsidR="00922FBE" w:rsidRDefault="00922FBE" w:rsidP="00922FBE">
            <w:pPr>
              <w:tabs>
                <w:tab w:val="decimal" w:pos="1026"/>
              </w:tabs>
              <w:ind w:firstLine="0"/>
              <w:rPr>
                <w:sz w:val="16"/>
                <w:szCs w:val="16"/>
              </w:rPr>
            </w:pPr>
          </w:p>
        </w:tc>
        <w:tc>
          <w:tcPr>
            <w:tcW w:w="2552" w:type="dxa"/>
            <w:tcBorders>
              <w:bottom w:val="single" w:sz="4" w:space="0" w:color="auto"/>
            </w:tcBorders>
          </w:tcPr>
          <w:p w14:paraId="2C61F7D3" w14:textId="77777777" w:rsidR="00922FBE" w:rsidRDefault="00922FBE" w:rsidP="00C7493A">
            <w:pPr>
              <w:ind w:firstLine="0"/>
              <w:jc w:val="center"/>
              <w:rPr>
                <w:sz w:val="16"/>
                <w:szCs w:val="16"/>
              </w:rPr>
            </w:pPr>
            <w:r>
              <w:rPr>
                <w:sz w:val="16"/>
                <w:szCs w:val="16"/>
              </w:rPr>
              <w:t>Steam and hot water generic users</w:t>
            </w:r>
          </w:p>
        </w:tc>
        <w:tc>
          <w:tcPr>
            <w:tcW w:w="2352" w:type="dxa"/>
            <w:tcBorders>
              <w:bottom w:val="single" w:sz="4" w:space="0" w:color="auto"/>
            </w:tcBorders>
          </w:tcPr>
          <w:p w14:paraId="456D1CDD" w14:textId="77777777" w:rsidR="00922FBE" w:rsidRDefault="00922FBE" w:rsidP="00922FBE">
            <w:pPr>
              <w:tabs>
                <w:tab w:val="decimal" w:pos="1101"/>
              </w:tabs>
              <w:ind w:firstLine="0"/>
              <w:rPr>
                <w:sz w:val="16"/>
                <w:szCs w:val="16"/>
              </w:rPr>
            </w:pPr>
          </w:p>
        </w:tc>
      </w:tr>
    </w:tbl>
    <w:p w14:paraId="418715D3" w14:textId="3FA8765F" w:rsidR="00AD6FF0" w:rsidRDefault="00AD6FF0" w:rsidP="003A1DDB">
      <w:pPr>
        <w:ind w:firstLine="0"/>
        <w:jc w:val="left"/>
      </w:pPr>
    </w:p>
    <w:p w14:paraId="765D0FD3" w14:textId="77777777" w:rsidR="003A1DDB" w:rsidRDefault="003A1DDB" w:rsidP="003A1DDB">
      <w:pPr>
        <w:ind w:firstLine="0"/>
        <w:jc w:val="left"/>
      </w:pPr>
      <w:r w:rsidRPr="006619C0">
        <w:t xml:space="preserve">Each component </w:t>
      </w:r>
      <w:proofErr w:type="gramStart"/>
      <w:r w:rsidRPr="006619C0">
        <w:t>is characterized</w:t>
      </w:r>
      <w:proofErr w:type="gramEnd"/>
      <w:r w:rsidRPr="006619C0">
        <w:t xml:space="preserve"> by</w:t>
      </w:r>
      <w:r>
        <w:t>:</w:t>
      </w:r>
    </w:p>
    <w:p w14:paraId="6B34F920" w14:textId="6683C8EF" w:rsidR="003A1DDB" w:rsidRDefault="003A1DDB" w:rsidP="003A1DDB">
      <w:pPr>
        <w:pStyle w:val="Paragrafoelenco"/>
        <w:numPr>
          <w:ilvl w:val="0"/>
          <w:numId w:val="13"/>
        </w:numPr>
        <w:jc w:val="left"/>
      </w:pPr>
      <w:r>
        <w:t>one or more input fluxes</w:t>
      </w:r>
      <w:r w:rsidR="00A618E5">
        <w:t xml:space="preserve"> and one or more output fluxes</w:t>
      </w:r>
      <w:r w:rsidR="00AD6FF0">
        <w:t>;</w:t>
      </w:r>
    </w:p>
    <w:p w14:paraId="2351A0DA" w14:textId="0D01F492" w:rsidR="003A1DDB" w:rsidRDefault="003A1DDB">
      <w:pPr>
        <w:pStyle w:val="Paragrafoelenco"/>
        <w:numPr>
          <w:ilvl w:val="0"/>
          <w:numId w:val="13"/>
        </w:numPr>
        <w:jc w:val="left"/>
      </w:pPr>
      <w:r>
        <w:t>a set of “observed variables”</w:t>
      </w:r>
      <w:r w:rsidR="00A618E5">
        <w:t>, a set of “control inputs</w:t>
      </w:r>
      <w:r w:rsidR="00712260">
        <w:t>”</w:t>
      </w:r>
      <w:r w:rsidR="00F41A04">
        <w:t>,</w:t>
      </w:r>
      <w:r w:rsidR="00A618E5">
        <w:t xml:space="preserve"> and a set of </w:t>
      </w:r>
      <w:r w:rsidR="00712260">
        <w:t>“</w:t>
      </w:r>
      <w:r w:rsidR="00A618E5">
        <w:t>calibration parameters</w:t>
      </w:r>
      <w:r w:rsidR="00712260">
        <w:t>”</w:t>
      </w:r>
      <w:r w:rsidR="00AD6FF0">
        <w:t>;</w:t>
      </w:r>
    </w:p>
    <w:p w14:paraId="0A8F3933" w14:textId="77777777" w:rsidR="003A1DDB" w:rsidRDefault="00AD6FF0" w:rsidP="00AD6FF0">
      <w:pPr>
        <w:pStyle w:val="Paragrafoelenco"/>
        <w:numPr>
          <w:ilvl w:val="0"/>
          <w:numId w:val="13"/>
        </w:numPr>
        <w:jc w:val="left"/>
      </w:pPr>
      <w:proofErr w:type="gramStart"/>
      <w:r>
        <w:t>a</w:t>
      </w:r>
      <w:proofErr w:type="gramEnd"/>
      <w:r w:rsidR="003A1DDB">
        <w:t xml:space="preserve"> description of its behavior</w:t>
      </w:r>
      <w:r>
        <w:t>.</w:t>
      </w:r>
    </w:p>
    <w:p w14:paraId="33921DF0" w14:textId="31C8F44E" w:rsidR="00120576" w:rsidRDefault="003A1DDB" w:rsidP="00120576">
      <w:r>
        <w:t>The flux lines connecting the components typically are</w:t>
      </w:r>
      <w:r w:rsidR="003F043E">
        <w:t xml:space="preserve"> the cooling water circuit (</w:t>
      </w:r>
      <w:r w:rsidR="00680A48">
        <w:t>LTW and HTW circuits</w:t>
      </w:r>
      <w:r w:rsidR="003F043E">
        <w:t>) and the steam circuit.</w:t>
      </w:r>
      <w:r w:rsidR="00120576">
        <w:t xml:space="preserve"> A simplified </w:t>
      </w:r>
      <w:r w:rsidR="00BC4C8A">
        <w:t>plant/</w:t>
      </w:r>
      <w:r w:rsidR="00120576">
        <w:t xml:space="preserve">scheme </w:t>
      </w:r>
      <w:r w:rsidR="00BC4C8A">
        <w:t>illustrating</w:t>
      </w:r>
      <w:r w:rsidR="00120576">
        <w:t xml:space="preserve"> the </w:t>
      </w:r>
      <w:r w:rsidR="00BC4C8A">
        <w:t>logic of LESS</w:t>
      </w:r>
      <w:r w:rsidR="00120576">
        <w:t xml:space="preserve"> </w:t>
      </w:r>
      <w:proofErr w:type="gramStart"/>
      <w:r w:rsidR="00120576">
        <w:t>is shown</w:t>
      </w:r>
      <w:proofErr w:type="gramEnd"/>
      <w:r w:rsidR="00120576">
        <w:t xml:space="preserve"> in Figure </w:t>
      </w:r>
      <w:r w:rsidR="00081CBE">
        <w:t>5</w:t>
      </w:r>
      <w:r w:rsidR="00BC4C8A">
        <w:t>, where one generator is connected to one generic user and, at same time,</w:t>
      </w:r>
      <w:r w:rsidR="00120576">
        <w:t xml:space="preserve"> </w:t>
      </w:r>
      <w:r w:rsidR="00BC4C8A">
        <w:t>an ORC system recovers part of the required energy.</w:t>
      </w:r>
    </w:p>
    <w:p w14:paraId="0A85880F" w14:textId="77777777" w:rsidR="00235E9C" w:rsidRDefault="00235E9C" w:rsidP="00120576"/>
    <w:p w14:paraId="079353D0" w14:textId="1021219C" w:rsidR="00120576" w:rsidRDefault="002A3BC2" w:rsidP="00C7493A">
      <w:pPr>
        <w:ind w:firstLine="0"/>
        <w:jc w:val="center"/>
      </w:pPr>
      <w:r w:rsidRPr="0090563D">
        <w:rPr>
          <w:noProof/>
          <w:lang w:val="en-GB" w:eastAsia="en-GB"/>
        </w:rPr>
        <w:drawing>
          <wp:inline distT="0" distB="0" distL="0" distR="0" wp14:anchorId="49DAAE1F" wp14:editId="57EFFD9F">
            <wp:extent cx="3070747" cy="181310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7371" cy="1834727"/>
                    </a:xfrm>
                    <a:prstGeom prst="rect">
                      <a:avLst/>
                    </a:prstGeom>
                    <a:noFill/>
                    <a:ln>
                      <a:noFill/>
                    </a:ln>
                  </pic:spPr>
                </pic:pic>
              </a:graphicData>
            </a:graphic>
          </wp:inline>
        </w:drawing>
      </w:r>
    </w:p>
    <w:p w14:paraId="3A02FAF3" w14:textId="06A4CBAC" w:rsidR="00120576" w:rsidRPr="006619C0" w:rsidRDefault="00120576" w:rsidP="00120576">
      <w:pPr>
        <w:pStyle w:val="CaptionShort"/>
      </w:pPr>
      <w:r w:rsidRPr="006619C0">
        <w:rPr>
          <w:b/>
        </w:rPr>
        <w:t xml:space="preserve">Figure </w:t>
      </w:r>
      <w:r w:rsidR="00081CBE">
        <w:rPr>
          <w:b/>
        </w:rPr>
        <w:t>5</w:t>
      </w:r>
      <w:r w:rsidRPr="006619C0">
        <w:rPr>
          <w:b/>
        </w:rPr>
        <w:t>.</w:t>
      </w:r>
      <w:r w:rsidRPr="006619C0">
        <w:t xml:space="preserve"> </w:t>
      </w:r>
      <w:r w:rsidRPr="008E6E9A">
        <w:t>Simplified scheme of mass and energy flows</w:t>
      </w:r>
    </w:p>
    <w:p w14:paraId="27EFCF4E" w14:textId="2CB7ECB8" w:rsidR="00712260" w:rsidRDefault="00712260">
      <w:pPr>
        <w:ind w:firstLine="0"/>
      </w:pPr>
      <w:r>
        <w:t>The “Engine Room</w:t>
      </w:r>
      <w:r w:rsidR="00680A48">
        <w:t>s</w:t>
      </w:r>
      <w:r>
        <w:t>”, as a first example of “macro component</w:t>
      </w:r>
      <w:r w:rsidR="00680A48">
        <w:t>s</w:t>
      </w:r>
      <w:r>
        <w:t>” or “sub plant</w:t>
      </w:r>
      <w:r w:rsidR="00680A48">
        <w:t>s</w:t>
      </w:r>
      <w:r>
        <w:t xml:space="preserve">”, typically include two or more Diesel Generators and provides at least one steam line and at least one HTW Line. In the initial implementation, the power request </w:t>
      </w:r>
      <w:proofErr w:type="gramStart"/>
      <w:r>
        <w:t>is equally distributed</w:t>
      </w:r>
      <w:proofErr w:type="gramEnd"/>
      <w:r>
        <w:t xml:space="preserve"> between all the Diesel Generators. In </w:t>
      </w:r>
      <w:r w:rsidR="003479DE">
        <w:t xml:space="preserve">a </w:t>
      </w:r>
      <w:r>
        <w:t xml:space="preserve">future implementation more complex </w:t>
      </w:r>
      <w:proofErr w:type="gramStart"/>
      <w:r w:rsidR="003479DE">
        <w:t xml:space="preserve">energy demand distribution </w:t>
      </w:r>
      <w:r>
        <w:t>logic</w:t>
      </w:r>
      <w:proofErr w:type="gramEnd"/>
      <w:r>
        <w:t xml:space="preserve"> </w:t>
      </w:r>
      <w:r w:rsidR="003479DE">
        <w:t>shall</w:t>
      </w:r>
      <w:r>
        <w:t xml:space="preserve"> be implemented, taking into account efficiency curves for each generator as well as the exact operational conditions.</w:t>
      </w:r>
    </w:p>
    <w:p w14:paraId="106A74E9" w14:textId="77777777" w:rsidR="003A1DDB" w:rsidRDefault="003A1DDB" w:rsidP="00120576">
      <w:r>
        <w:lastRenderedPageBreak/>
        <w:t xml:space="preserve">The behavior of the components </w:t>
      </w:r>
      <w:proofErr w:type="gramStart"/>
      <w:r>
        <w:t>can be characterized</w:t>
      </w:r>
      <w:proofErr w:type="gramEnd"/>
      <w:r>
        <w:t xml:space="preserve"> in the following manner:</w:t>
      </w:r>
    </w:p>
    <w:p w14:paraId="5F13CBC9" w14:textId="02256732" w:rsidR="003A1DDB" w:rsidRDefault="003A1DDB" w:rsidP="00120576">
      <w:pPr>
        <w:pStyle w:val="Paragrafoelenco"/>
        <w:numPr>
          <w:ilvl w:val="0"/>
          <w:numId w:val="14"/>
        </w:numPr>
      </w:pPr>
      <w:r>
        <w:t>by a mathematical formulation</w:t>
      </w:r>
      <w:r w:rsidR="00712260">
        <w:t>,</w:t>
      </w:r>
      <w:r>
        <w:t xml:space="preserve"> describing the relationships between its input, output, and control variables</w:t>
      </w:r>
      <w:r w:rsidR="00120576">
        <w:t>;</w:t>
      </w:r>
    </w:p>
    <w:p w14:paraId="157DC041" w14:textId="6FF4A8DA" w:rsidR="003A1DDB" w:rsidRDefault="003A1DDB" w:rsidP="00120576">
      <w:pPr>
        <w:pStyle w:val="Paragrafoelenco"/>
        <w:numPr>
          <w:ilvl w:val="0"/>
          <w:numId w:val="14"/>
        </w:numPr>
      </w:pPr>
      <w:r>
        <w:t>by a set of data</w:t>
      </w:r>
      <w:r w:rsidR="00712260">
        <w:t>,</w:t>
      </w:r>
      <w:r>
        <w:t xml:space="preserve"> that might be interpolated to define a relationship between variables</w:t>
      </w:r>
      <w:r w:rsidR="00120576">
        <w:t>;</w:t>
      </w:r>
    </w:p>
    <w:p w14:paraId="1445361D" w14:textId="725C2A00" w:rsidR="00120576" w:rsidRDefault="003A1DDB" w:rsidP="00F52B24">
      <w:pPr>
        <w:pStyle w:val="Paragrafoelenco"/>
        <w:numPr>
          <w:ilvl w:val="0"/>
          <w:numId w:val="14"/>
        </w:numPr>
        <w:jc w:val="left"/>
      </w:pPr>
      <w:proofErr w:type="gramStart"/>
      <w:r>
        <w:t>by</w:t>
      </w:r>
      <w:proofErr w:type="gramEnd"/>
      <w:r>
        <w:t xml:space="preserve"> a link to an external code or an external model</w:t>
      </w:r>
      <w:r w:rsidR="00F52B24">
        <w:t>, that can be used to describe the most complex behavior.</w:t>
      </w:r>
    </w:p>
    <w:p w14:paraId="7FDE73CD" w14:textId="54FDE30C" w:rsidR="00680A48" w:rsidRDefault="00F52B24" w:rsidP="00680A48">
      <w:pPr>
        <w:rPr>
          <w:szCs w:val="20"/>
        </w:rPr>
      </w:pPr>
      <w:r>
        <w:t xml:space="preserve">The behavior of the plant components can be “tracked” using the “observed variables”, </w:t>
      </w:r>
      <w:proofErr w:type="gramStart"/>
      <w:r>
        <w:t>which basically</w:t>
      </w:r>
      <w:proofErr w:type="gramEnd"/>
      <w:r>
        <w:t xml:space="preserve"> describe the possible introduction of “sensors” in the plant. In addition, by acting on the control inputs it is possible to modify the behavior of the components and, by acting on “constraints” it is possible to fix the values of specific variables (e.g. temperatures, fluxes, power) describing in this way the possible role of control systems acting on the plant. It is worth nothing that no dynamic behavior </w:t>
      </w:r>
      <w:proofErr w:type="gramStart"/>
      <w:r>
        <w:t>is considered</w:t>
      </w:r>
      <w:proofErr w:type="gramEnd"/>
      <w:r>
        <w:t xml:space="preserve"> for such control systems. </w:t>
      </w:r>
      <w:r w:rsidR="003F043E" w:rsidRPr="00F56932">
        <w:rPr>
          <w:szCs w:val="20"/>
        </w:rPr>
        <w:t xml:space="preserve">Power and recovery plants </w:t>
      </w:r>
      <w:proofErr w:type="gramStart"/>
      <w:r w:rsidR="003F043E">
        <w:rPr>
          <w:szCs w:val="20"/>
        </w:rPr>
        <w:t>can be</w:t>
      </w:r>
      <w:r w:rsidR="003F043E" w:rsidRPr="00F56932">
        <w:rPr>
          <w:szCs w:val="20"/>
        </w:rPr>
        <w:t xml:space="preserve"> simulated</w:t>
      </w:r>
      <w:proofErr w:type="gramEnd"/>
      <w:r w:rsidR="003F043E" w:rsidRPr="00F56932">
        <w:rPr>
          <w:szCs w:val="20"/>
        </w:rPr>
        <w:t xml:space="preserve"> by referring to commercial systems, making immediate the layout solution analyzed. Nevertheless, it </w:t>
      </w:r>
      <w:r w:rsidR="003F043E">
        <w:rPr>
          <w:szCs w:val="20"/>
        </w:rPr>
        <w:t xml:space="preserve">is also </w:t>
      </w:r>
      <w:r w:rsidR="003F043E" w:rsidRPr="00F56932">
        <w:rPr>
          <w:szCs w:val="20"/>
        </w:rPr>
        <w:t>possible to choose custom plants in order to study innovative and optimized layout.</w:t>
      </w:r>
    </w:p>
    <w:p w14:paraId="1F5109DB" w14:textId="77777777" w:rsidR="00680A48" w:rsidRDefault="00F52B24" w:rsidP="00680A48">
      <w:r>
        <w:t xml:space="preserve">The core of the LESS environment is the “solver” that actually collects all the equations/formulations for all the components and aggregates all the state variables of all the components. The role of the solver is that of identifying the “working conditions” of the plant for each operational conditions in a given operational scenario. In </w:t>
      </w:r>
      <w:proofErr w:type="gramStart"/>
      <w:r>
        <w:t>practice</w:t>
      </w:r>
      <w:proofErr w:type="gramEnd"/>
      <w:r>
        <w:t xml:space="preserve"> a system of </w:t>
      </w:r>
      <w:proofErr w:type="spellStart"/>
      <w:r>
        <w:t>non linear</w:t>
      </w:r>
      <w:proofErr w:type="spellEnd"/>
      <w:r>
        <w:t xml:space="preserve"> equations is solved to identify a set of state variable that satisfies all equations/formulations for all the components.</w:t>
      </w:r>
    </w:p>
    <w:p w14:paraId="579EFFE6" w14:textId="05512F4E" w:rsidR="00F52B24" w:rsidRDefault="00F52B24" w:rsidP="00680A48">
      <w:r>
        <w:t xml:space="preserve">When components for energy recovery </w:t>
      </w:r>
      <w:proofErr w:type="gramStart"/>
      <w:r>
        <w:t>are introduced</w:t>
      </w:r>
      <w:proofErr w:type="gramEnd"/>
      <w:r>
        <w:t>, the solver identifies the corresponding changes in the working conditions, i.e. a shift in the values of the state variables. In general terms such shift corresponds primarily to a reduction of the “</w:t>
      </w:r>
      <w:proofErr w:type="spellStart"/>
      <w:r>
        <w:t>non propulsive</w:t>
      </w:r>
      <w:proofErr w:type="spellEnd"/>
      <w:r>
        <w:t xml:space="preserve">” power demand (Figure </w:t>
      </w:r>
      <w:r w:rsidR="00081CBE">
        <w:t>5</w:t>
      </w:r>
      <w:r>
        <w:t>).</w:t>
      </w:r>
    </w:p>
    <w:p w14:paraId="09CC07A7" w14:textId="77777777" w:rsidR="00F52B24" w:rsidRDefault="00F52B24" w:rsidP="00680A48">
      <w:r>
        <w:t>The resulting sets of “working conditions” for each simulation scenarios constitute the basic information to implement the “performance indicators” (in terms of energy demand, capital expenditure, operational expenditure, emissions) and support the decisions about the plant configurations.</w:t>
      </w:r>
    </w:p>
    <w:p w14:paraId="18DCCE08" w14:textId="77777777" w:rsidR="00FC12C2" w:rsidRDefault="00FC12C2" w:rsidP="00FC12C2">
      <w:pPr>
        <w:pStyle w:val="Titolo1"/>
      </w:pPr>
      <w:r w:rsidRPr="00246881">
        <w:t>Conclusion</w:t>
      </w:r>
      <w:r w:rsidR="00246881">
        <w:t>s and future development</w:t>
      </w:r>
    </w:p>
    <w:p w14:paraId="69D8CDD7" w14:textId="05B0F5AD" w:rsidR="00C81EB3" w:rsidRDefault="00680A48" w:rsidP="00FB1456">
      <w:pPr>
        <w:pStyle w:val="NoindentNormal"/>
      </w:pPr>
      <w:r>
        <w:t>To serve the needs of an increasing complex design and operational environment for the energy systems of a cruise ship, a</w:t>
      </w:r>
      <w:r w:rsidR="00877F5F">
        <w:t xml:space="preserve"> simulation </w:t>
      </w:r>
      <w:r>
        <w:t>environment</w:t>
      </w:r>
      <w:r w:rsidR="00877F5F">
        <w:t xml:space="preserve"> </w:t>
      </w:r>
      <w:r w:rsidR="00C81EB3" w:rsidRPr="00F56932">
        <w:t xml:space="preserve">able to </w:t>
      </w:r>
      <w:r w:rsidR="00877F5F">
        <w:t>assess the</w:t>
      </w:r>
      <w:r w:rsidR="00877F5F" w:rsidRPr="00F56932">
        <w:t xml:space="preserve"> </w:t>
      </w:r>
      <w:r w:rsidR="00C81EB3" w:rsidRPr="00F56932">
        <w:t xml:space="preserve">energy performances of </w:t>
      </w:r>
      <w:r w:rsidR="0095442F">
        <w:t>vessels</w:t>
      </w:r>
      <w:r w:rsidR="00C81EB3">
        <w:t xml:space="preserve"> </w:t>
      </w:r>
      <w:r w:rsidR="0095442F">
        <w:t>in different operational</w:t>
      </w:r>
      <w:r w:rsidR="00C81EB3" w:rsidRPr="00F56932">
        <w:t xml:space="preserve"> </w:t>
      </w:r>
      <w:r w:rsidR="0095442F">
        <w:t>scenarios</w:t>
      </w:r>
      <w:r w:rsidR="00C81EB3" w:rsidRPr="00F56932">
        <w:t xml:space="preserve"> </w:t>
      </w:r>
      <w:proofErr w:type="gramStart"/>
      <w:r w:rsidR="00C81EB3">
        <w:t>has been developed</w:t>
      </w:r>
      <w:proofErr w:type="gramEnd"/>
      <w:r w:rsidR="00C81EB3">
        <w:t xml:space="preserve">. </w:t>
      </w:r>
      <w:r>
        <w:t>For given operational scenarios, such tool</w:t>
      </w:r>
      <w:r w:rsidR="00C81EB3">
        <w:t xml:space="preserve"> will help ship owners </w:t>
      </w:r>
      <w:r w:rsidR="004E190B">
        <w:t xml:space="preserve">and shipyards </w:t>
      </w:r>
      <w:r w:rsidR="00C81EB3">
        <w:t xml:space="preserve">to choose from different plant layouts, recovery systems and emission abatement systems, in order to </w:t>
      </w:r>
      <w:r w:rsidR="0095442F">
        <w:t>guarantee</w:t>
      </w:r>
      <w:r w:rsidR="004E190B">
        <w:t xml:space="preserve"> lower fuel consumption </w:t>
      </w:r>
      <w:r w:rsidR="0095442F">
        <w:t xml:space="preserve">and operational costs </w:t>
      </w:r>
      <w:r w:rsidR="004E190B">
        <w:t xml:space="preserve">and compliance with increasingly stringent IMO regulatory requirements on emissions. </w:t>
      </w:r>
    </w:p>
    <w:p w14:paraId="3D5D8F24" w14:textId="39EFFA74" w:rsidR="004E190B" w:rsidRDefault="0095442F" w:rsidP="00246881">
      <w:r>
        <w:t>Future developments</w:t>
      </w:r>
      <w:r w:rsidR="00877F5F">
        <w:t xml:space="preserve"> will include additional</w:t>
      </w:r>
      <w:r>
        <w:t xml:space="preserve"> plant</w:t>
      </w:r>
      <w:r w:rsidR="00877F5F">
        <w:t xml:space="preserve"> components such as, for example, fuel cells</w:t>
      </w:r>
      <w:r>
        <w:t xml:space="preserve">, additional functionalities, such as the integration with a geographical information system for route planning, </w:t>
      </w:r>
      <w:r w:rsidR="00877F5F">
        <w:t xml:space="preserve">and features, such as </w:t>
      </w:r>
      <w:r>
        <w:t xml:space="preserve">fully integrated </w:t>
      </w:r>
      <w:r w:rsidR="00877F5F">
        <w:t xml:space="preserve">cost analysis.  </w:t>
      </w:r>
    </w:p>
    <w:p w14:paraId="60947F26" w14:textId="4F1DE28A" w:rsidR="00D1085D" w:rsidRDefault="00D1085D" w:rsidP="00D1085D">
      <w:pPr>
        <w:pStyle w:val="HeadingUnn1"/>
      </w:pPr>
      <w:r>
        <w:lastRenderedPageBreak/>
        <w:t>Acknowledgements</w:t>
      </w:r>
    </w:p>
    <w:p w14:paraId="26BDC260" w14:textId="6721D585" w:rsidR="00D1085D" w:rsidRPr="00FB1456" w:rsidRDefault="00D1085D" w:rsidP="00FB1456">
      <w:pPr>
        <w:ind w:firstLine="0"/>
        <w:rPr>
          <w:b/>
          <w:sz w:val="16"/>
          <w:szCs w:val="16"/>
        </w:rPr>
      </w:pPr>
      <w:r w:rsidRPr="00FB1456">
        <w:rPr>
          <w:sz w:val="16"/>
          <w:szCs w:val="16"/>
          <w:lang w:val="en"/>
        </w:rPr>
        <w:t xml:space="preserve">The work was partly supported by the European Regional Development Fund - Regional Operational Program of </w:t>
      </w:r>
      <w:proofErr w:type="spellStart"/>
      <w:r w:rsidRPr="00FB1456">
        <w:rPr>
          <w:sz w:val="16"/>
          <w:szCs w:val="16"/>
          <w:lang w:val="en"/>
        </w:rPr>
        <w:t>Regione</w:t>
      </w:r>
      <w:proofErr w:type="spellEnd"/>
      <w:r w:rsidRPr="00FB1456">
        <w:rPr>
          <w:sz w:val="16"/>
          <w:szCs w:val="16"/>
          <w:lang w:val="en"/>
        </w:rPr>
        <w:t xml:space="preserve"> Friuli </w:t>
      </w:r>
      <w:proofErr w:type="spellStart"/>
      <w:r w:rsidRPr="00FB1456">
        <w:rPr>
          <w:sz w:val="16"/>
          <w:szCs w:val="16"/>
          <w:lang w:val="en"/>
        </w:rPr>
        <w:t>Venezia</w:t>
      </w:r>
      <w:proofErr w:type="spellEnd"/>
      <w:r w:rsidRPr="00FB1456">
        <w:rPr>
          <w:sz w:val="16"/>
          <w:szCs w:val="16"/>
          <w:lang w:val="en"/>
        </w:rPr>
        <w:t xml:space="preserve"> Giulia, Objective «Investments to support Development and Employment» 2014-2020, Axis 1 – “</w:t>
      </w:r>
      <w:proofErr w:type="spellStart"/>
      <w:r w:rsidRPr="00FB1456">
        <w:rPr>
          <w:sz w:val="16"/>
          <w:szCs w:val="16"/>
          <w:lang w:val="en"/>
        </w:rPr>
        <w:t>Strenghten</w:t>
      </w:r>
      <w:proofErr w:type="spellEnd"/>
      <w:r w:rsidRPr="00FB1456">
        <w:rPr>
          <w:sz w:val="16"/>
          <w:szCs w:val="16"/>
          <w:lang w:val="en"/>
        </w:rPr>
        <w:t xml:space="preserve"> Research, Technological Development and Innovation”, Action 1.3 – “Support collaborative R&amp;D activities to support the development of new sustainable technologies, new products and new services”.</w:t>
      </w:r>
    </w:p>
    <w:p w14:paraId="49493058" w14:textId="77777777" w:rsidR="00B05D6E" w:rsidRDefault="00B05D6E">
      <w:pPr>
        <w:pStyle w:val="HeadingUnn1"/>
      </w:pPr>
      <w:r>
        <w:t>References</w:t>
      </w:r>
      <w:bookmarkStart w:id="1" w:name="_GoBack"/>
      <w:bookmarkEnd w:id="1"/>
    </w:p>
    <w:p w14:paraId="17D9F1CF" w14:textId="77777777" w:rsidR="002D18DF" w:rsidRDefault="005347C7" w:rsidP="009A1D67">
      <w:pPr>
        <w:pStyle w:val="References"/>
        <w:tabs>
          <w:tab w:val="clear" w:pos="255"/>
        </w:tabs>
      </w:pPr>
      <w:bookmarkStart w:id="2" w:name="_Ref508959945"/>
      <w:r w:rsidRPr="005347C7">
        <w:t>International Convention for the Prevention of Pollution from Ships, 1973.</w:t>
      </w:r>
      <w:bookmarkEnd w:id="2"/>
    </w:p>
    <w:p w14:paraId="17459777" w14:textId="77777777" w:rsidR="005312F6" w:rsidRDefault="005312F6" w:rsidP="009A1D67">
      <w:pPr>
        <w:pStyle w:val="References"/>
        <w:tabs>
          <w:tab w:val="clear" w:pos="255"/>
        </w:tabs>
      </w:pPr>
      <w:bookmarkStart w:id="3" w:name="_Ref508973037"/>
      <w:r w:rsidRPr="005312F6">
        <w:t>International Maritime Organization. RESOLUTION MEPC 2008;</w:t>
      </w:r>
      <w:r>
        <w:t xml:space="preserve"> </w:t>
      </w:r>
      <w:r w:rsidRPr="005312F6">
        <w:t>176(58)</w:t>
      </w:r>
      <w:bookmarkEnd w:id="3"/>
    </w:p>
    <w:p w14:paraId="63D07670" w14:textId="77777777" w:rsidR="005312F6" w:rsidRDefault="002869C0" w:rsidP="009A1D67">
      <w:pPr>
        <w:pStyle w:val="References"/>
        <w:tabs>
          <w:tab w:val="clear" w:pos="255"/>
        </w:tabs>
      </w:pPr>
      <w:bookmarkStart w:id="4" w:name="_Ref508983682"/>
      <w:proofErr w:type="spellStart"/>
      <w:r w:rsidRPr="002869C0">
        <w:t>Lokukaluge</w:t>
      </w:r>
      <w:proofErr w:type="spellEnd"/>
      <w:r w:rsidRPr="002869C0">
        <w:t xml:space="preserve"> P</w:t>
      </w:r>
      <w:r>
        <w:t>.</w:t>
      </w:r>
      <w:r w:rsidRPr="002869C0">
        <w:t xml:space="preserve">, </w:t>
      </w:r>
      <w:proofErr w:type="spellStart"/>
      <w:r w:rsidRPr="002869C0">
        <w:t>Brage</w:t>
      </w:r>
      <w:proofErr w:type="spellEnd"/>
      <w:r w:rsidRPr="002869C0">
        <w:t xml:space="preserve"> M</w:t>
      </w:r>
      <w:r>
        <w:t>.,</w:t>
      </w:r>
      <w:r w:rsidRPr="002869C0">
        <w:t xml:space="preserve"> </w:t>
      </w:r>
      <w:r w:rsidR="00636718" w:rsidRPr="00636718">
        <w:t>Emission control based energy efficiency measures in ship operations</w:t>
      </w:r>
      <w:r>
        <w:t xml:space="preserve">, </w:t>
      </w:r>
      <w:r w:rsidRPr="002869C0">
        <w:rPr>
          <w:i/>
        </w:rPr>
        <w:t>Applied Ocean Research</w:t>
      </w:r>
      <w:r>
        <w:rPr>
          <w:i/>
        </w:rPr>
        <w:t xml:space="preserve"> </w:t>
      </w:r>
      <w:r w:rsidRPr="002869C0">
        <w:t>60 (2016) 29–46</w:t>
      </w:r>
      <w:bookmarkEnd w:id="4"/>
    </w:p>
    <w:p w14:paraId="4F5C8818" w14:textId="77777777" w:rsidR="002869C0" w:rsidRDefault="00673D68" w:rsidP="009A1D67">
      <w:pPr>
        <w:pStyle w:val="References"/>
        <w:tabs>
          <w:tab w:val="clear" w:pos="255"/>
        </w:tabs>
      </w:pPr>
      <w:bookmarkStart w:id="5" w:name="_Ref508984078"/>
      <w:r>
        <w:t>The International Council of Clean Transportation (</w:t>
      </w:r>
      <w:proofErr w:type="spellStart"/>
      <w:r>
        <w:t>icct</w:t>
      </w:r>
      <w:proofErr w:type="spellEnd"/>
      <w:r>
        <w:t>),</w:t>
      </w:r>
      <w:r w:rsidR="002869C0" w:rsidRPr="002869C0">
        <w:t xml:space="preserve"> The Energy Efficiency Design Index (EEDI) for New Ships, (July 2011).</w:t>
      </w:r>
      <w:bookmarkEnd w:id="5"/>
    </w:p>
    <w:p w14:paraId="2BDDDFA8" w14:textId="4D24A5D7" w:rsidR="00673D68" w:rsidRDefault="00673D68" w:rsidP="009A1D67">
      <w:pPr>
        <w:pStyle w:val="References"/>
        <w:tabs>
          <w:tab w:val="clear" w:pos="255"/>
        </w:tabs>
        <w:jc w:val="left"/>
      </w:pPr>
      <w:bookmarkStart w:id="6" w:name="_Ref508984492"/>
      <w:r>
        <w:t>MAN Diesel &amp; Turbo, EEDI - Energy Efficiency Design Index (</w:t>
      </w:r>
      <w:hyperlink r:id="rId15" w:history="1">
        <w:r w:rsidRPr="00DB60E2">
          <w:rPr>
            <w:rStyle w:val="Collegamentoipertestuale"/>
          </w:rPr>
          <w:t>https://marine.mandieselturbo.com</w:t>
        </w:r>
      </w:hyperlink>
      <w:r>
        <w:t>, Accessed 14/03/2018)</w:t>
      </w:r>
      <w:bookmarkEnd w:id="6"/>
    </w:p>
    <w:p w14:paraId="79D9E8D3" w14:textId="77777777" w:rsidR="00673D68" w:rsidRDefault="00673D68" w:rsidP="009A1D67">
      <w:pPr>
        <w:pStyle w:val="References"/>
        <w:tabs>
          <w:tab w:val="clear" w:pos="255"/>
        </w:tabs>
      </w:pPr>
      <w:r>
        <w:t xml:space="preserve"> </w:t>
      </w:r>
      <w:bookmarkStart w:id="7" w:name="_Ref508985442"/>
      <w:r w:rsidR="00666DB1">
        <w:t xml:space="preserve">IMO, </w:t>
      </w:r>
      <w:r w:rsidR="0036254A" w:rsidRPr="0036254A">
        <w:t>2012 Guidelines for the development of a Ship Energy Efficiency Management Plan (SEEMP), resolution MEPC.213</w:t>
      </w:r>
      <w:r w:rsidR="00666DB1">
        <w:t xml:space="preserve"> </w:t>
      </w:r>
      <w:r w:rsidR="0036254A" w:rsidRPr="0036254A">
        <w:t>(63);</w:t>
      </w:r>
      <w:bookmarkEnd w:id="7"/>
    </w:p>
    <w:p w14:paraId="37C5DAB8" w14:textId="26E18D99" w:rsidR="0013673A" w:rsidRDefault="001039F7" w:rsidP="009A1D67">
      <w:pPr>
        <w:pStyle w:val="References"/>
        <w:tabs>
          <w:tab w:val="clear" w:pos="255"/>
        </w:tabs>
      </w:pPr>
      <w:bookmarkStart w:id="8" w:name="_Ref509570510"/>
      <w:bookmarkStart w:id="9" w:name="_Ref509322885"/>
      <w:r w:rsidRPr="00614BB0">
        <w:t xml:space="preserve">Lion, S., </w:t>
      </w:r>
      <w:proofErr w:type="spellStart"/>
      <w:r w:rsidRPr="00614BB0">
        <w:t>Michos</w:t>
      </w:r>
      <w:proofErr w:type="spellEnd"/>
      <w:r w:rsidRPr="00614BB0">
        <w:t xml:space="preserve">, C. N., </w:t>
      </w:r>
      <w:proofErr w:type="spellStart"/>
      <w:r w:rsidRPr="00614BB0">
        <w:t>Vlaskos</w:t>
      </w:r>
      <w:proofErr w:type="spellEnd"/>
      <w:r w:rsidRPr="00614BB0">
        <w:t xml:space="preserve">, I., </w:t>
      </w:r>
      <w:proofErr w:type="spellStart"/>
      <w:r w:rsidRPr="00614BB0">
        <w:t>Rouaud</w:t>
      </w:r>
      <w:proofErr w:type="spellEnd"/>
      <w:r w:rsidRPr="00614BB0">
        <w:t xml:space="preserve">, C., &amp; </w:t>
      </w:r>
      <w:proofErr w:type="spellStart"/>
      <w:r w:rsidRPr="00614BB0">
        <w:t>Taccani</w:t>
      </w:r>
      <w:proofErr w:type="spellEnd"/>
      <w:r w:rsidRPr="00614BB0">
        <w:t>, R.</w:t>
      </w:r>
      <w:r>
        <w:t>,</w:t>
      </w:r>
      <w:r w:rsidRPr="00614BB0">
        <w:t xml:space="preserve"> A review of waste heat recovery and Organic </w:t>
      </w:r>
      <w:proofErr w:type="spellStart"/>
      <w:r w:rsidRPr="00614BB0">
        <w:t>Rankine</w:t>
      </w:r>
      <w:proofErr w:type="spellEnd"/>
      <w:r w:rsidRPr="00614BB0">
        <w:t xml:space="preserve"> Cycles (ORC) in on-off highway vehicle Heavy Duty Diesel Engine applications. </w:t>
      </w:r>
      <w:r w:rsidRPr="00614BB0">
        <w:rPr>
          <w:i/>
          <w:iCs/>
        </w:rPr>
        <w:t>Renewable and Sustainable Energy Reviews</w:t>
      </w:r>
      <w:r w:rsidRPr="00614BB0">
        <w:t xml:space="preserve">, </w:t>
      </w:r>
      <w:r w:rsidRPr="00614BB0">
        <w:rPr>
          <w:i/>
          <w:iCs/>
        </w:rPr>
        <w:t>79</w:t>
      </w:r>
      <w:r>
        <w:rPr>
          <w:i/>
          <w:iCs/>
        </w:rPr>
        <w:t xml:space="preserve"> </w:t>
      </w:r>
      <w:r w:rsidRPr="00614BB0">
        <w:t>(</w:t>
      </w:r>
      <w:r w:rsidRPr="00A3307E">
        <w:t>2017</w:t>
      </w:r>
      <w:r w:rsidRPr="00614BB0">
        <w:t>), 691–708.</w:t>
      </w:r>
      <w:bookmarkEnd w:id="8"/>
      <w:bookmarkEnd w:id="9"/>
    </w:p>
    <w:p w14:paraId="3C648642" w14:textId="77777777" w:rsidR="00F10495" w:rsidRDefault="00F10495" w:rsidP="009A1D67">
      <w:pPr>
        <w:pStyle w:val="References"/>
        <w:tabs>
          <w:tab w:val="clear" w:pos="255"/>
        </w:tabs>
      </w:pPr>
      <w:bookmarkStart w:id="10" w:name="_Ref509393556"/>
      <w:r>
        <w:t xml:space="preserve">Lloyd’s Register. LNG-fuelled deep sea shipping: the outlook for LNG bunker and LNG-fuelled </w:t>
      </w:r>
      <w:proofErr w:type="spellStart"/>
      <w:r>
        <w:t>newbuild</w:t>
      </w:r>
      <w:proofErr w:type="spellEnd"/>
      <w:r>
        <w:t xml:space="preserve"> demand up to 2025, August 2012</w:t>
      </w:r>
      <w:bookmarkEnd w:id="10"/>
    </w:p>
    <w:p w14:paraId="777F5B67" w14:textId="77777777" w:rsidR="00E33156" w:rsidRDefault="00E33156" w:rsidP="009A1D67">
      <w:pPr>
        <w:pStyle w:val="References"/>
        <w:tabs>
          <w:tab w:val="clear" w:pos="255"/>
        </w:tabs>
        <w:rPr>
          <w:lang w:eastAsia="it-IT"/>
        </w:rPr>
      </w:pPr>
      <w:bookmarkStart w:id="11" w:name="_Ref509396270"/>
      <w:proofErr w:type="spellStart"/>
      <w:proofErr w:type="gramStart"/>
      <w:r>
        <w:t>Gu</w:t>
      </w:r>
      <w:proofErr w:type="spellEnd"/>
      <w:proofErr w:type="gramEnd"/>
      <w:r>
        <w:t xml:space="preserve">, Y., &amp; Wallace, S. W. Scrubber: A potentially overestimated compliance method for the Emission Control Areas. The importance of involving a ship’s sailing pattern in the evaluation. </w:t>
      </w:r>
      <w:r>
        <w:rPr>
          <w:i/>
          <w:iCs/>
        </w:rPr>
        <w:t>Transportation Research Part D</w:t>
      </w:r>
      <w:r>
        <w:t xml:space="preserve">, </w:t>
      </w:r>
      <w:r>
        <w:rPr>
          <w:i/>
          <w:iCs/>
        </w:rPr>
        <w:t>55</w:t>
      </w:r>
      <w:r>
        <w:t xml:space="preserve"> (2017), 51–66.</w:t>
      </w:r>
      <w:bookmarkEnd w:id="11"/>
    </w:p>
    <w:p w14:paraId="6BE27EEB" w14:textId="77777777" w:rsidR="001039F7" w:rsidRPr="001039F7" w:rsidRDefault="001039F7" w:rsidP="009A1D67">
      <w:pPr>
        <w:pStyle w:val="References"/>
        <w:tabs>
          <w:tab w:val="clear" w:pos="255"/>
        </w:tabs>
        <w:rPr>
          <w:lang w:eastAsia="it-IT"/>
        </w:rPr>
      </w:pPr>
      <w:bookmarkStart w:id="12" w:name="_Ref509584521"/>
      <w:proofErr w:type="spellStart"/>
      <w:r w:rsidRPr="001039F7">
        <w:t>Burel</w:t>
      </w:r>
      <w:proofErr w:type="spellEnd"/>
      <w:r w:rsidRPr="001039F7">
        <w:t xml:space="preserve">, F., </w:t>
      </w:r>
      <w:proofErr w:type="spellStart"/>
      <w:r w:rsidRPr="001039F7">
        <w:t>Taccani</w:t>
      </w:r>
      <w:proofErr w:type="spellEnd"/>
      <w:r w:rsidRPr="001039F7">
        <w:t xml:space="preserve">, R., &amp; </w:t>
      </w:r>
      <w:proofErr w:type="spellStart"/>
      <w:r w:rsidRPr="001039F7">
        <w:t>Zuliani</w:t>
      </w:r>
      <w:proofErr w:type="spellEnd"/>
      <w:r w:rsidRPr="001039F7">
        <w:t>, N.</w:t>
      </w:r>
      <w:r>
        <w:t>,</w:t>
      </w:r>
      <w:r w:rsidRPr="001039F7">
        <w:t xml:space="preserve"> </w:t>
      </w:r>
      <w:r>
        <w:t xml:space="preserve">Improving sustainability of maritime transport through utilization of Liquefied Natural Gas (LNG) for propulsion. </w:t>
      </w:r>
      <w:r>
        <w:rPr>
          <w:i/>
          <w:iCs/>
        </w:rPr>
        <w:t>Energy</w:t>
      </w:r>
      <w:r>
        <w:t xml:space="preserve">, </w:t>
      </w:r>
      <w:r>
        <w:rPr>
          <w:i/>
          <w:iCs/>
        </w:rPr>
        <w:t xml:space="preserve">57 </w:t>
      </w:r>
      <w:r w:rsidRPr="00614BB0">
        <w:t xml:space="preserve">(2013), </w:t>
      </w:r>
      <w:r>
        <w:t>412–420.</w:t>
      </w:r>
      <w:bookmarkEnd w:id="12"/>
    </w:p>
    <w:p w14:paraId="0EE2E23A" w14:textId="465E642A" w:rsidR="00062038" w:rsidRDefault="00062038" w:rsidP="009A1D67">
      <w:pPr>
        <w:pStyle w:val="References"/>
        <w:tabs>
          <w:tab w:val="clear" w:pos="255"/>
        </w:tabs>
        <w:rPr>
          <w:lang w:eastAsia="it-IT"/>
        </w:rPr>
      </w:pPr>
      <w:bookmarkStart w:id="13" w:name="_Ref509399178"/>
      <w:proofErr w:type="spellStart"/>
      <w:r w:rsidRPr="00062038">
        <w:t>Armellini</w:t>
      </w:r>
      <w:proofErr w:type="spellEnd"/>
      <w:r w:rsidRPr="00062038">
        <w:t xml:space="preserve">, A., </w:t>
      </w:r>
      <w:proofErr w:type="spellStart"/>
      <w:r w:rsidRPr="00062038">
        <w:t>Daniotti</w:t>
      </w:r>
      <w:proofErr w:type="spellEnd"/>
      <w:r w:rsidRPr="00062038">
        <w:t xml:space="preserve">, S., </w:t>
      </w:r>
      <w:proofErr w:type="spellStart"/>
      <w:r w:rsidRPr="00062038">
        <w:t>Pinamonti</w:t>
      </w:r>
      <w:proofErr w:type="spellEnd"/>
      <w:r w:rsidRPr="00062038">
        <w:t xml:space="preserve">, P., &amp; </w:t>
      </w:r>
      <w:proofErr w:type="spellStart"/>
      <w:r w:rsidRPr="00062038">
        <w:t>Reini</w:t>
      </w:r>
      <w:proofErr w:type="spellEnd"/>
      <w:r w:rsidRPr="00062038">
        <w:t xml:space="preserve">, M. </w:t>
      </w:r>
      <w:proofErr w:type="spellStart"/>
      <w:r w:rsidR="00CB7873">
        <w:t>Eval</w:t>
      </w:r>
      <w:proofErr w:type="spellEnd"/>
      <w:r w:rsidR="00CB7873">
        <w:t>.</w:t>
      </w:r>
      <w:r>
        <w:t xml:space="preserve"> </w:t>
      </w:r>
      <w:proofErr w:type="gramStart"/>
      <w:r>
        <w:t>of</w:t>
      </w:r>
      <w:proofErr w:type="gramEnd"/>
      <w:r>
        <w:t xml:space="preserve"> gas turbines </w:t>
      </w:r>
      <w:r w:rsidR="00CB7873">
        <w:t>as alternative energy prod.</w:t>
      </w:r>
      <w:r>
        <w:t xml:space="preserve"> </w:t>
      </w:r>
      <w:proofErr w:type="gramStart"/>
      <w:r>
        <w:t>systems</w:t>
      </w:r>
      <w:proofErr w:type="gramEnd"/>
      <w:r>
        <w:t xml:space="preserve"> for a large cruise ship </w:t>
      </w:r>
      <w:r w:rsidR="00CB7873">
        <w:t>to meet new maritime regulations</w:t>
      </w:r>
      <w:r>
        <w:t xml:space="preserve">. </w:t>
      </w:r>
      <w:r>
        <w:rPr>
          <w:i/>
          <w:iCs/>
        </w:rPr>
        <w:t>Applied Energy</w:t>
      </w:r>
      <w:r>
        <w:t xml:space="preserve">, </w:t>
      </w:r>
      <w:r>
        <w:rPr>
          <w:i/>
          <w:iCs/>
        </w:rPr>
        <w:t xml:space="preserve">211 </w:t>
      </w:r>
      <w:r>
        <w:t>(2017), 306–317.</w:t>
      </w:r>
      <w:bookmarkEnd w:id="13"/>
    </w:p>
    <w:p w14:paraId="310D775B" w14:textId="77777777" w:rsidR="00000D2A" w:rsidRDefault="00000D2A" w:rsidP="009A1D67">
      <w:pPr>
        <w:pStyle w:val="References"/>
        <w:tabs>
          <w:tab w:val="clear" w:pos="255"/>
        </w:tabs>
        <w:rPr>
          <w:lang w:eastAsia="it-IT"/>
        </w:rPr>
      </w:pPr>
      <w:bookmarkStart w:id="14" w:name="_Ref509394809"/>
      <w:r w:rsidRPr="00000D2A">
        <w:t xml:space="preserve">Zhen, L., Li, M. et al., </w:t>
      </w:r>
      <w:r>
        <w:t xml:space="preserve">The effects of </w:t>
      </w:r>
      <w:proofErr w:type="gramStart"/>
      <w:r>
        <w:t>emission control area regulations</w:t>
      </w:r>
      <w:proofErr w:type="gramEnd"/>
      <w:r>
        <w:t xml:space="preserve"> on cruise shipping. </w:t>
      </w:r>
      <w:r>
        <w:rPr>
          <w:i/>
          <w:iCs/>
        </w:rPr>
        <w:t>Transportation Research Part D</w:t>
      </w:r>
      <w:r>
        <w:t xml:space="preserve">, </w:t>
      </w:r>
      <w:r>
        <w:rPr>
          <w:i/>
          <w:iCs/>
        </w:rPr>
        <w:t>62</w:t>
      </w:r>
      <w:r>
        <w:t xml:space="preserve"> </w:t>
      </w:r>
      <w:r w:rsidRPr="00000D2A">
        <w:t>(2018)</w:t>
      </w:r>
      <w:r>
        <w:t>, 47–63.</w:t>
      </w:r>
      <w:bookmarkEnd w:id="14"/>
    </w:p>
    <w:p w14:paraId="6CA89EF2" w14:textId="77777777" w:rsidR="00914D54" w:rsidRDefault="00914D54" w:rsidP="009A1D67">
      <w:pPr>
        <w:pStyle w:val="References"/>
        <w:tabs>
          <w:tab w:val="clear" w:pos="255"/>
        </w:tabs>
        <w:rPr>
          <w:lang w:eastAsia="it-IT"/>
        </w:rPr>
      </w:pPr>
      <w:bookmarkStart w:id="15" w:name="_Ref509400323"/>
      <w:proofErr w:type="spellStart"/>
      <w:r>
        <w:t>Raptotasios</w:t>
      </w:r>
      <w:proofErr w:type="spellEnd"/>
      <w:r>
        <w:t xml:space="preserve">, S. I., Sakellaridis, N. F., </w:t>
      </w:r>
      <w:proofErr w:type="spellStart"/>
      <w:r>
        <w:t>Papagiannakis</w:t>
      </w:r>
      <w:proofErr w:type="spellEnd"/>
      <w:r>
        <w:t xml:space="preserve">, R. G., &amp; </w:t>
      </w:r>
      <w:proofErr w:type="spellStart"/>
      <w:r>
        <w:t>Hountalas</w:t>
      </w:r>
      <w:proofErr w:type="spellEnd"/>
      <w:r>
        <w:t xml:space="preserve">, D. T., Application of a multi-zone combustion model to investigate the </w:t>
      </w:r>
      <w:proofErr w:type="spellStart"/>
      <w:r>
        <w:t>NOx</w:t>
      </w:r>
      <w:proofErr w:type="spellEnd"/>
      <w:r>
        <w:t xml:space="preserve"> reduction potential of two-stroke marine diesel engines using EGR, </w:t>
      </w:r>
      <w:r w:rsidRPr="00914D54">
        <w:rPr>
          <w:i/>
          <w:iCs/>
        </w:rPr>
        <w:t>Applied Energy</w:t>
      </w:r>
      <w:r>
        <w:t xml:space="preserve">, </w:t>
      </w:r>
      <w:r w:rsidRPr="00914D54">
        <w:rPr>
          <w:i/>
          <w:iCs/>
        </w:rPr>
        <w:t xml:space="preserve">157 </w:t>
      </w:r>
      <w:r>
        <w:t>(2015)., 814–823.</w:t>
      </w:r>
      <w:bookmarkEnd w:id="15"/>
    </w:p>
    <w:p w14:paraId="1BE68F4B" w14:textId="77777777" w:rsidR="00C15B45" w:rsidRDefault="00C15B45" w:rsidP="009A1D67">
      <w:pPr>
        <w:pStyle w:val="References"/>
        <w:tabs>
          <w:tab w:val="clear" w:pos="255"/>
        </w:tabs>
        <w:rPr>
          <w:lang w:eastAsia="it-IT"/>
        </w:rPr>
      </w:pPr>
      <w:bookmarkStart w:id="16" w:name="_Ref509481686"/>
      <w:r>
        <w:rPr>
          <w:lang w:eastAsia="it-IT"/>
        </w:rPr>
        <w:t xml:space="preserve">Petersen PD. MAN Diesel &amp; Turbo Delivers World’s First IMO-Certified Two-Stroke Engine with Tier III </w:t>
      </w:r>
      <w:proofErr w:type="spellStart"/>
      <w:r>
        <w:rPr>
          <w:lang w:eastAsia="it-IT"/>
        </w:rPr>
        <w:t>NOx</w:t>
      </w:r>
      <w:proofErr w:type="spellEnd"/>
      <w:r>
        <w:rPr>
          <w:lang w:eastAsia="it-IT"/>
        </w:rPr>
        <w:t xml:space="preserve"> Control. MAN Global Corporate Website: Exhaust Gas Recirculation Systems; 2016.</w:t>
      </w:r>
      <w:bookmarkEnd w:id="16"/>
    </w:p>
    <w:p w14:paraId="55750F71" w14:textId="77777777" w:rsidR="00011791" w:rsidRDefault="00011791" w:rsidP="00011791">
      <w:pPr>
        <w:pStyle w:val="References"/>
        <w:rPr>
          <w:lang w:eastAsia="it-IT"/>
        </w:rPr>
      </w:pPr>
      <w:bookmarkStart w:id="17" w:name="_Ref509502058"/>
      <w:r w:rsidRPr="00011791">
        <w:rPr>
          <w:lang w:eastAsia="it-IT"/>
        </w:rPr>
        <w:t>A. Sala, F. de Carlo, G. </w:t>
      </w:r>
      <w:proofErr w:type="spellStart"/>
      <w:r w:rsidRPr="00011791">
        <w:rPr>
          <w:lang w:eastAsia="it-IT"/>
        </w:rPr>
        <w:t>Buglioni</w:t>
      </w:r>
      <w:proofErr w:type="spellEnd"/>
      <w:r w:rsidRPr="00011791">
        <w:rPr>
          <w:lang w:eastAsia="it-IT"/>
        </w:rPr>
        <w:t>, A. </w:t>
      </w:r>
      <w:proofErr w:type="spellStart"/>
      <w:r w:rsidRPr="00011791">
        <w:rPr>
          <w:lang w:eastAsia="it-IT"/>
        </w:rPr>
        <w:t>Lucchetti</w:t>
      </w:r>
      <w:proofErr w:type="spellEnd"/>
      <w:r>
        <w:rPr>
          <w:lang w:eastAsia="it-IT"/>
        </w:rPr>
        <w:t xml:space="preserve">, </w:t>
      </w:r>
      <w:r w:rsidRPr="00011791">
        <w:rPr>
          <w:lang w:eastAsia="it-IT"/>
        </w:rPr>
        <w:t>Energy performance evaluation of fishing vessels by fuel mass flow measuring system</w:t>
      </w:r>
      <w:r>
        <w:rPr>
          <w:lang w:eastAsia="it-IT"/>
        </w:rPr>
        <w:t xml:space="preserve">, </w:t>
      </w:r>
      <w:r w:rsidRPr="00011791">
        <w:rPr>
          <w:i/>
          <w:lang w:eastAsia="it-IT"/>
        </w:rPr>
        <w:t>Ocean Eng.,</w:t>
      </w:r>
      <w:r w:rsidRPr="00011791">
        <w:rPr>
          <w:lang w:eastAsia="it-IT"/>
        </w:rPr>
        <w:t> 38 (2011), 804-809</w:t>
      </w:r>
      <w:bookmarkEnd w:id="17"/>
    </w:p>
    <w:p w14:paraId="06DE3F7D" w14:textId="77777777" w:rsidR="00011791" w:rsidRPr="00011791" w:rsidRDefault="00011791" w:rsidP="00011791">
      <w:pPr>
        <w:pStyle w:val="References"/>
        <w:rPr>
          <w:lang w:eastAsia="it-IT"/>
        </w:rPr>
      </w:pPr>
      <w:bookmarkStart w:id="18" w:name="_Ref509502067"/>
      <w:r w:rsidRPr="00011791">
        <w:rPr>
          <w:lang w:eastAsia="it-IT"/>
        </w:rPr>
        <w:t>W. Shao, P. Zhou, S.K. Thong</w:t>
      </w:r>
      <w:r>
        <w:rPr>
          <w:lang w:eastAsia="it-IT"/>
        </w:rPr>
        <w:t xml:space="preserve">, </w:t>
      </w:r>
      <w:r w:rsidRPr="00011791">
        <w:rPr>
          <w:lang w:eastAsia="it-IT"/>
        </w:rPr>
        <w:t>Development of a novel forward dynamic programming method for weather routing</w:t>
      </w:r>
      <w:r>
        <w:rPr>
          <w:lang w:eastAsia="it-IT"/>
        </w:rPr>
        <w:t xml:space="preserve">, </w:t>
      </w:r>
      <w:r w:rsidRPr="00011791">
        <w:rPr>
          <w:i/>
          <w:lang w:eastAsia="it-IT"/>
        </w:rPr>
        <w:t>J. Mar. Sci. Technol.,</w:t>
      </w:r>
      <w:r w:rsidRPr="00011791">
        <w:rPr>
          <w:lang w:eastAsia="it-IT"/>
        </w:rPr>
        <w:t> 17 (2011), 239-251</w:t>
      </w:r>
      <w:bookmarkEnd w:id="18"/>
    </w:p>
    <w:p w14:paraId="1736654C" w14:textId="77777777" w:rsidR="00011791" w:rsidRDefault="00011791" w:rsidP="00C15B45">
      <w:pPr>
        <w:pStyle w:val="References"/>
        <w:rPr>
          <w:lang w:eastAsia="it-IT"/>
        </w:rPr>
      </w:pPr>
      <w:bookmarkStart w:id="19" w:name="_Ref509502210"/>
      <w:r w:rsidRPr="00011791">
        <w:rPr>
          <w:lang w:eastAsia="it-IT"/>
        </w:rPr>
        <w:t xml:space="preserve">DNV. Shipping 2020. Technical Report. </w:t>
      </w:r>
      <w:proofErr w:type="spellStart"/>
      <w:r w:rsidRPr="00011791">
        <w:rPr>
          <w:lang w:eastAsia="it-IT"/>
        </w:rPr>
        <w:t>Det</w:t>
      </w:r>
      <w:proofErr w:type="spellEnd"/>
      <w:r w:rsidRPr="00011791">
        <w:rPr>
          <w:lang w:eastAsia="it-IT"/>
        </w:rPr>
        <w:t xml:space="preserve"> Norske </w:t>
      </w:r>
      <w:proofErr w:type="spellStart"/>
      <w:r w:rsidRPr="00011791">
        <w:rPr>
          <w:lang w:eastAsia="it-IT"/>
        </w:rPr>
        <w:t>Veritas</w:t>
      </w:r>
      <w:proofErr w:type="spellEnd"/>
      <w:r w:rsidRPr="00011791">
        <w:rPr>
          <w:lang w:eastAsia="it-IT"/>
        </w:rPr>
        <w:t>, Oslo, Norway</w:t>
      </w:r>
      <w:r>
        <w:rPr>
          <w:lang w:eastAsia="it-IT"/>
        </w:rPr>
        <w:t>, 2012.</w:t>
      </w:r>
      <w:bookmarkEnd w:id="19"/>
    </w:p>
    <w:p w14:paraId="1CD8C1A5" w14:textId="6C70B071" w:rsidR="00584BA1" w:rsidRDefault="00584BA1" w:rsidP="00584BA1">
      <w:pPr>
        <w:pStyle w:val="References"/>
        <w:rPr>
          <w:lang w:eastAsia="it-IT"/>
        </w:rPr>
      </w:pPr>
      <w:bookmarkStart w:id="20" w:name="_Ref509484139"/>
      <w:r>
        <w:t xml:space="preserve">Yang, M. Payback period investigation of the </w:t>
      </w:r>
      <w:r w:rsidR="00CB7873">
        <w:t>ORC</w:t>
      </w:r>
      <w:r>
        <w:t xml:space="preserve"> with mixed working fluids to recover waste heat from the exhaust gas of</w:t>
      </w:r>
      <w:r w:rsidR="00CB7873">
        <w:t xml:space="preserve"> a large marine diesel </w:t>
      </w:r>
      <w:proofErr w:type="spellStart"/>
      <w:r w:rsidR="00CB7873">
        <w:t>eng</w:t>
      </w:r>
      <w:r>
        <w:t>.</w:t>
      </w:r>
      <w:proofErr w:type="spellEnd"/>
      <w:r>
        <w:t xml:space="preserve"> </w:t>
      </w:r>
      <w:r>
        <w:rPr>
          <w:i/>
          <w:iCs/>
        </w:rPr>
        <w:t>Energy Conversion and Management</w:t>
      </w:r>
      <w:r>
        <w:t xml:space="preserve">, </w:t>
      </w:r>
      <w:r>
        <w:rPr>
          <w:i/>
          <w:iCs/>
        </w:rPr>
        <w:t>162</w:t>
      </w:r>
      <w:r>
        <w:t>(2018), 189–202.</w:t>
      </w:r>
      <w:bookmarkEnd w:id="20"/>
    </w:p>
    <w:p w14:paraId="7CC05108" w14:textId="3C4993DE" w:rsidR="00AC6DA1" w:rsidRDefault="00EE4D1E" w:rsidP="00EE4D1E">
      <w:pPr>
        <w:pStyle w:val="References"/>
        <w:rPr>
          <w:lang w:eastAsia="it-IT"/>
        </w:rPr>
      </w:pPr>
      <w:bookmarkStart w:id="21" w:name="_Ref509581839"/>
      <w:proofErr w:type="spellStart"/>
      <w:r w:rsidRPr="00EE4D1E">
        <w:rPr>
          <w:lang w:eastAsia="it-IT"/>
        </w:rPr>
        <w:t>Wärtsilä</w:t>
      </w:r>
      <w:proofErr w:type="spellEnd"/>
      <w:r w:rsidRPr="00EE4D1E">
        <w:rPr>
          <w:lang w:eastAsia="it-IT"/>
        </w:rPr>
        <w:t xml:space="preserve"> 20 Product Guide - </w:t>
      </w:r>
      <w:proofErr w:type="spellStart"/>
      <w:r w:rsidRPr="00EE4D1E">
        <w:rPr>
          <w:lang w:eastAsia="it-IT"/>
        </w:rPr>
        <w:t>Wärtsilä</w:t>
      </w:r>
      <w:proofErr w:type="spellEnd"/>
      <w:r w:rsidRPr="00EE4D1E">
        <w:rPr>
          <w:lang w:eastAsia="it-IT"/>
        </w:rPr>
        <w:t>. 2013.</w:t>
      </w:r>
      <w:bookmarkEnd w:id="21"/>
    </w:p>
    <w:p w14:paraId="4D9A4CF5" w14:textId="1C35A1F8" w:rsidR="005D2B9E" w:rsidRPr="005D2B9E" w:rsidRDefault="005D2B9E" w:rsidP="005D2B9E">
      <w:pPr>
        <w:pStyle w:val="References"/>
        <w:rPr>
          <w:lang w:eastAsia="it-IT"/>
        </w:rPr>
      </w:pPr>
      <w:bookmarkStart w:id="22" w:name="_Ref509571256"/>
      <w:r w:rsidRPr="005D2B9E">
        <w:rPr>
          <w:lang w:eastAsia="it-IT"/>
        </w:rPr>
        <w:t xml:space="preserve">Lion, S., </w:t>
      </w:r>
      <w:proofErr w:type="spellStart"/>
      <w:r w:rsidRPr="005D2B9E">
        <w:rPr>
          <w:lang w:eastAsia="it-IT"/>
        </w:rPr>
        <w:t>Vlaskos</w:t>
      </w:r>
      <w:proofErr w:type="spellEnd"/>
      <w:r w:rsidRPr="005D2B9E">
        <w:rPr>
          <w:lang w:eastAsia="it-IT"/>
        </w:rPr>
        <w:t xml:space="preserve">, I., </w:t>
      </w:r>
      <w:proofErr w:type="spellStart"/>
      <w:r w:rsidRPr="005D2B9E">
        <w:rPr>
          <w:lang w:eastAsia="it-IT"/>
        </w:rPr>
        <w:t>Taccani</w:t>
      </w:r>
      <w:proofErr w:type="spellEnd"/>
      <w:r w:rsidRPr="005D2B9E">
        <w:rPr>
          <w:lang w:eastAsia="it-IT"/>
        </w:rPr>
        <w:t xml:space="preserve">, R., Preliminary thermodynamic analysis of waste heat recovery in marine diesel engines using Organic </w:t>
      </w:r>
      <w:proofErr w:type="spellStart"/>
      <w:r w:rsidRPr="005D2B9E">
        <w:rPr>
          <w:lang w:eastAsia="it-IT"/>
        </w:rPr>
        <w:t>Rankine</w:t>
      </w:r>
      <w:proofErr w:type="spellEnd"/>
      <w:r w:rsidRPr="005D2B9E">
        <w:rPr>
          <w:lang w:eastAsia="it-IT"/>
        </w:rPr>
        <w:t xml:space="preserve"> Cycles</w:t>
      </w:r>
      <w:r>
        <w:rPr>
          <w:lang w:eastAsia="it-IT"/>
        </w:rPr>
        <w:t xml:space="preserve">. </w:t>
      </w:r>
      <w:r>
        <w:rPr>
          <w:i/>
          <w:lang w:eastAsia="it-IT"/>
        </w:rPr>
        <w:t xml:space="preserve">Proceedings of ECOS 2017, </w:t>
      </w:r>
      <w:r w:rsidRPr="005D2B9E">
        <w:rPr>
          <w:i/>
          <w:lang w:eastAsia="it-IT"/>
        </w:rPr>
        <w:t>San Diego, California</w:t>
      </w:r>
      <w:r>
        <w:rPr>
          <w:i/>
          <w:lang w:eastAsia="it-IT"/>
        </w:rPr>
        <w:t>.</w:t>
      </w:r>
      <w:r>
        <w:rPr>
          <w:lang w:eastAsia="it-IT"/>
        </w:rPr>
        <w:t xml:space="preserve"> (2017).</w:t>
      </w:r>
      <w:bookmarkEnd w:id="22"/>
    </w:p>
    <w:p w14:paraId="428990C9" w14:textId="06C3027D" w:rsidR="00584BA1" w:rsidRDefault="00011791" w:rsidP="00AD6FF0">
      <w:pPr>
        <w:pStyle w:val="References"/>
        <w:rPr>
          <w:lang w:eastAsia="it-IT"/>
        </w:rPr>
      </w:pPr>
      <w:bookmarkStart w:id="23" w:name="_Ref509502356"/>
      <w:proofErr w:type="spellStart"/>
      <w:r w:rsidRPr="00011791">
        <w:rPr>
          <w:lang w:eastAsia="it-IT"/>
        </w:rPr>
        <w:t>Baldi</w:t>
      </w:r>
      <w:proofErr w:type="spellEnd"/>
      <w:r w:rsidRPr="00011791">
        <w:rPr>
          <w:lang w:eastAsia="it-IT"/>
        </w:rPr>
        <w:t xml:space="preserve">, F., Larsen, U., &amp; </w:t>
      </w:r>
      <w:proofErr w:type="spellStart"/>
      <w:r w:rsidRPr="00011791">
        <w:rPr>
          <w:lang w:eastAsia="it-IT"/>
        </w:rPr>
        <w:t>Gabrielii</w:t>
      </w:r>
      <w:proofErr w:type="spellEnd"/>
      <w:r w:rsidRPr="00011791">
        <w:rPr>
          <w:lang w:eastAsia="it-IT"/>
        </w:rPr>
        <w:t>, C.</w:t>
      </w:r>
      <w:r>
        <w:rPr>
          <w:lang w:eastAsia="it-IT"/>
        </w:rPr>
        <w:t xml:space="preserve">, </w:t>
      </w:r>
      <w:r w:rsidRPr="00011791">
        <w:rPr>
          <w:lang w:eastAsia="it-IT"/>
        </w:rPr>
        <w:t xml:space="preserve">Comparison of different procedures for the </w:t>
      </w:r>
      <w:r w:rsidR="002D6162" w:rsidRPr="00011791">
        <w:rPr>
          <w:lang w:eastAsia="it-IT"/>
        </w:rPr>
        <w:t>optimization</w:t>
      </w:r>
      <w:r w:rsidRPr="00011791">
        <w:rPr>
          <w:lang w:eastAsia="it-IT"/>
        </w:rPr>
        <w:t xml:space="preserve"> of a combined Diesel engine and organic </w:t>
      </w:r>
      <w:proofErr w:type="spellStart"/>
      <w:r w:rsidRPr="00011791">
        <w:rPr>
          <w:lang w:eastAsia="it-IT"/>
        </w:rPr>
        <w:t>Rankine</w:t>
      </w:r>
      <w:proofErr w:type="spellEnd"/>
      <w:r w:rsidRPr="00011791">
        <w:rPr>
          <w:lang w:eastAsia="it-IT"/>
        </w:rPr>
        <w:t xml:space="preserve"> cycle system based on ship operational profile. </w:t>
      </w:r>
      <w:r w:rsidRPr="00011791">
        <w:rPr>
          <w:i/>
          <w:iCs/>
          <w:lang w:eastAsia="it-IT"/>
        </w:rPr>
        <w:t>Ocean Engineering</w:t>
      </w:r>
      <w:r w:rsidRPr="00011791">
        <w:rPr>
          <w:lang w:eastAsia="it-IT"/>
        </w:rPr>
        <w:t xml:space="preserve">, </w:t>
      </w:r>
      <w:r w:rsidRPr="00011791">
        <w:rPr>
          <w:i/>
          <w:iCs/>
          <w:lang w:eastAsia="it-IT"/>
        </w:rPr>
        <w:t>110</w:t>
      </w:r>
      <w:r>
        <w:rPr>
          <w:i/>
          <w:iCs/>
          <w:lang w:eastAsia="it-IT"/>
        </w:rPr>
        <w:t xml:space="preserve"> </w:t>
      </w:r>
      <w:r w:rsidRPr="00011791">
        <w:rPr>
          <w:lang w:val="it-IT" w:eastAsia="it-IT"/>
        </w:rPr>
        <w:t>(2015)</w:t>
      </w:r>
      <w:r w:rsidRPr="00011791">
        <w:rPr>
          <w:lang w:eastAsia="it-IT"/>
        </w:rPr>
        <w:t>, 85–93.</w:t>
      </w:r>
      <w:bookmarkEnd w:id="23"/>
    </w:p>
    <w:p w14:paraId="19396298" w14:textId="77777777" w:rsidR="00021A80" w:rsidRDefault="00021A80" w:rsidP="00021A80">
      <w:pPr>
        <w:pStyle w:val="References"/>
        <w:rPr>
          <w:lang w:eastAsia="it-IT"/>
        </w:rPr>
      </w:pPr>
      <w:bookmarkStart w:id="24" w:name="_Ref509502556"/>
      <w:r w:rsidRPr="00021A80">
        <w:rPr>
          <w:lang w:eastAsia="it-IT"/>
        </w:rPr>
        <w:t xml:space="preserve">Larsen, U., </w:t>
      </w:r>
      <w:proofErr w:type="spellStart"/>
      <w:r w:rsidRPr="00021A80">
        <w:rPr>
          <w:lang w:eastAsia="it-IT"/>
        </w:rPr>
        <w:t>Sigthorsson</w:t>
      </w:r>
      <w:proofErr w:type="spellEnd"/>
      <w:r w:rsidRPr="00021A80">
        <w:rPr>
          <w:lang w:eastAsia="it-IT"/>
        </w:rPr>
        <w:t xml:space="preserve">, O., &amp; </w:t>
      </w:r>
      <w:proofErr w:type="spellStart"/>
      <w:r w:rsidRPr="00021A80">
        <w:rPr>
          <w:lang w:eastAsia="it-IT"/>
        </w:rPr>
        <w:t>Haglind</w:t>
      </w:r>
      <w:proofErr w:type="spellEnd"/>
      <w:r w:rsidRPr="00021A80">
        <w:rPr>
          <w:lang w:eastAsia="it-IT"/>
        </w:rPr>
        <w:t>, F.</w:t>
      </w:r>
      <w:r>
        <w:rPr>
          <w:lang w:eastAsia="it-IT"/>
        </w:rPr>
        <w:t xml:space="preserve">, </w:t>
      </w:r>
      <w:r w:rsidRPr="00021A80">
        <w:rPr>
          <w:lang w:eastAsia="it-IT"/>
        </w:rPr>
        <w:t>A comparison of advanced heat recovery power cycles in a combined cycle for large ships. Energy, 74</w:t>
      </w:r>
      <w:r>
        <w:rPr>
          <w:lang w:eastAsia="it-IT"/>
        </w:rPr>
        <w:t xml:space="preserve"> </w:t>
      </w:r>
      <w:r w:rsidRPr="00021A80">
        <w:rPr>
          <w:lang w:eastAsia="it-IT"/>
        </w:rPr>
        <w:t>(2014), 260–268.</w:t>
      </w:r>
      <w:bookmarkEnd w:id="24"/>
    </w:p>
    <w:p w14:paraId="498828ED" w14:textId="71E70E60" w:rsidR="000358C8" w:rsidRDefault="000358C8">
      <w:pPr>
        <w:pStyle w:val="References"/>
        <w:rPr>
          <w:lang w:eastAsia="it-IT"/>
        </w:rPr>
      </w:pPr>
      <w:bookmarkStart w:id="25" w:name="_Ref509570519"/>
      <w:proofErr w:type="spellStart"/>
      <w:r w:rsidRPr="00A3307E">
        <w:rPr>
          <w:lang w:eastAsia="it-IT"/>
        </w:rPr>
        <w:t>Michos</w:t>
      </w:r>
      <w:proofErr w:type="spellEnd"/>
      <w:r w:rsidRPr="00A3307E">
        <w:rPr>
          <w:lang w:eastAsia="it-IT"/>
        </w:rPr>
        <w:t xml:space="preserve">, C. N., Lion, S., </w:t>
      </w:r>
      <w:proofErr w:type="spellStart"/>
      <w:r w:rsidRPr="00A3307E">
        <w:rPr>
          <w:lang w:eastAsia="it-IT"/>
        </w:rPr>
        <w:t>Vlaskos</w:t>
      </w:r>
      <w:proofErr w:type="spellEnd"/>
      <w:r w:rsidRPr="00A3307E">
        <w:rPr>
          <w:lang w:eastAsia="it-IT"/>
        </w:rPr>
        <w:t xml:space="preserve">, I., &amp; </w:t>
      </w:r>
      <w:proofErr w:type="spellStart"/>
      <w:r w:rsidRPr="00A3307E">
        <w:rPr>
          <w:lang w:eastAsia="it-IT"/>
        </w:rPr>
        <w:t>Taccani</w:t>
      </w:r>
      <w:proofErr w:type="spellEnd"/>
      <w:r w:rsidRPr="00A3307E">
        <w:rPr>
          <w:lang w:eastAsia="it-IT"/>
        </w:rPr>
        <w:t>, R.</w:t>
      </w:r>
      <w:r>
        <w:rPr>
          <w:lang w:eastAsia="it-IT"/>
        </w:rPr>
        <w:t xml:space="preserve">, </w:t>
      </w:r>
      <w:r w:rsidRPr="00A3307E">
        <w:rPr>
          <w:lang w:eastAsia="it-IT"/>
        </w:rPr>
        <w:t xml:space="preserve">Analysis of the backpressure effect of an Organic </w:t>
      </w:r>
      <w:proofErr w:type="spellStart"/>
      <w:r w:rsidRPr="00A3307E">
        <w:rPr>
          <w:lang w:eastAsia="it-IT"/>
        </w:rPr>
        <w:t>Rankine</w:t>
      </w:r>
      <w:proofErr w:type="spellEnd"/>
      <w:r w:rsidRPr="00A3307E">
        <w:rPr>
          <w:lang w:eastAsia="it-IT"/>
        </w:rPr>
        <w:t xml:space="preserve"> Cycle (ORC) evaporator on the exhaust line of a turbocharged heavy</w:t>
      </w:r>
      <w:r>
        <w:rPr>
          <w:lang w:eastAsia="it-IT"/>
        </w:rPr>
        <w:t xml:space="preserve"> </w:t>
      </w:r>
      <w:r w:rsidRPr="00A3307E">
        <w:rPr>
          <w:lang w:eastAsia="it-IT"/>
        </w:rPr>
        <w:t xml:space="preserve">duty diesel power generator for marine applications. </w:t>
      </w:r>
      <w:r w:rsidRPr="00A3307E">
        <w:rPr>
          <w:i/>
          <w:iCs/>
          <w:lang w:eastAsia="it-IT"/>
        </w:rPr>
        <w:t>Energy Conversion and Management</w:t>
      </w:r>
      <w:r w:rsidRPr="00A3307E">
        <w:rPr>
          <w:lang w:eastAsia="it-IT"/>
        </w:rPr>
        <w:t xml:space="preserve">, </w:t>
      </w:r>
      <w:r w:rsidRPr="00A3307E">
        <w:rPr>
          <w:i/>
          <w:iCs/>
          <w:lang w:eastAsia="it-IT"/>
        </w:rPr>
        <w:t>132</w:t>
      </w:r>
      <w:r>
        <w:rPr>
          <w:i/>
          <w:iCs/>
          <w:lang w:eastAsia="it-IT"/>
        </w:rPr>
        <w:t xml:space="preserve"> </w:t>
      </w:r>
      <w:r w:rsidRPr="000358C8">
        <w:rPr>
          <w:lang w:val="it-IT" w:eastAsia="it-IT"/>
        </w:rPr>
        <w:t>(2017)</w:t>
      </w:r>
      <w:r w:rsidRPr="00A3307E">
        <w:rPr>
          <w:lang w:eastAsia="it-IT"/>
        </w:rPr>
        <w:t>, 347–360.</w:t>
      </w:r>
      <w:bookmarkEnd w:id="25"/>
    </w:p>
    <w:p w14:paraId="60E1BDB2" w14:textId="4578BFE3" w:rsidR="006C2486" w:rsidRDefault="00AE48A2" w:rsidP="008155C0">
      <w:pPr>
        <w:pStyle w:val="References"/>
        <w:rPr>
          <w:lang w:eastAsia="it-IT"/>
        </w:rPr>
      </w:pPr>
      <w:bookmarkStart w:id="26" w:name="_Ref509585252"/>
      <w:r w:rsidRPr="00AE48A2">
        <w:rPr>
          <w:lang w:val="it-IT" w:eastAsia="it-IT"/>
        </w:rPr>
        <w:t xml:space="preserve">DNV GL – Maritime, COSSMOS. 2016. </w:t>
      </w:r>
      <w:r w:rsidRPr="008155C0">
        <w:rPr>
          <w:lang w:eastAsia="it-IT"/>
        </w:rPr>
        <w:t>(</w:t>
      </w:r>
      <w:hyperlink r:id="rId16" w:history="1">
        <w:r w:rsidR="008155C0" w:rsidRPr="008155C0">
          <w:rPr>
            <w:rStyle w:val="Collegamentoipertestuale"/>
            <w:lang w:eastAsia="it-IT"/>
          </w:rPr>
          <w:t>https://www.dnvgl.com/maritime/</w:t>
        </w:r>
      </w:hyperlink>
      <w:r w:rsidR="008155C0" w:rsidRPr="008155C0">
        <w:rPr>
          <w:lang w:eastAsia="it-IT"/>
        </w:rPr>
        <w:t>, accessed</w:t>
      </w:r>
      <w:r w:rsidR="008155C0">
        <w:rPr>
          <w:lang w:eastAsia="it-IT"/>
        </w:rPr>
        <w:t xml:space="preserve"> 10/03/2018)</w:t>
      </w:r>
      <w:bookmarkEnd w:id="26"/>
    </w:p>
    <w:sectPr w:rsidR="006C248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566DA" w14:textId="77777777" w:rsidR="00693882" w:rsidRDefault="00693882">
      <w:r>
        <w:separator/>
      </w:r>
    </w:p>
  </w:endnote>
  <w:endnote w:type="continuationSeparator" w:id="0">
    <w:p w14:paraId="1B09F467" w14:textId="77777777" w:rsidR="00693882" w:rsidRDefault="0069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309CA" w14:textId="77777777" w:rsidR="00693882" w:rsidRDefault="00693882">
      <w:r>
        <w:separator/>
      </w:r>
    </w:p>
  </w:footnote>
  <w:footnote w:type="continuationSeparator" w:id="0">
    <w:p w14:paraId="5EB0A5FA" w14:textId="77777777" w:rsidR="00693882" w:rsidRDefault="00693882">
      <w:r>
        <w:continuationSeparator/>
      </w:r>
    </w:p>
  </w:footnote>
  <w:footnote w:id="1">
    <w:p w14:paraId="25A07D0A" w14:textId="4AA5B242" w:rsidR="00AD6FF0" w:rsidRPr="009A1D67" w:rsidRDefault="00AD6FF0" w:rsidP="009A1D67">
      <w:pPr>
        <w:pStyle w:val="Testonotaapidipagina"/>
        <w:ind w:firstLine="0"/>
        <w:rPr>
          <w:rStyle w:val="FootnoteChar"/>
          <w:szCs w:val="16"/>
          <w:lang w:val="it-IT"/>
        </w:rPr>
      </w:pPr>
      <w:r>
        <w:rPr>
          <w:rStyle w:val="Rimandonotaapidipagina"/>
        </w:rPr>
        <w:footnoteRef/>
      </w:r>
      <w:r w:rsidRPr="009A1D67">
        <w:rPr>
          <w:rStyle w:val="FootnoteChar"/>
          <w:lang w:val="it-IT"/>
        </w:rPr>
        <w:t xml:space="preserve"> </w:t>
      </w:r>
      <w:proofErr w:type="spellStart"/>
      <w:r w:rsidRPr="009A1D67">
        <w:rPr>
          <w:rStyle w:val="FootnoteChar"/>
          <w:lang w:val="it-IT"/>
        </w:rPr>
        <w:t>Corresponding</w:t>
      </w:r>
      <w:proofErr w:type="spellEnd"/>
      <w:r w:rsidRPr="009A1D67">
        <w:rPr>
          <w:rStyle w:val="FootnoteChar"/>
          <w:lang w:val="it-IT"/>
        </w:rPr>
        <w:t xml:space="preserve"> Author</w:t>
      </w:r>
      <w:r w:rsidR="009A1D67" w:rsidRPr="009A1D67">
        <w:rPr>
          <w:rStyle w:val="FootnoteChar"/>
          <w:szCs w:val="16"/>
          <w:lang w:val="it-IT"/>
        </w:rPr>
        <w:t>:</w:t>
      </w:r>
      <w:r w:rsidRPr="009A1D67">
        <w:rPr>
          <w:sz w:val="16"/>
          <w:szCs w:val="16"/>
          <w:lang w:val="it-IT"/>
        </w:rPr>
        <w:t xml:space="preserve"> </w:t>
      </w:r>
      <w:r w:rsidR="009A1D67" w:rsidRPr="009A1D67">
        <w:rPr>
          <w:sz w:val="16"/>
          <w:szCs w:val="16"/>
          <w:lang w:val="it-IT"/>
        </w:rPr>
        <w:t xml:space="preserve">Bruno Bisello, Tempestive s.r.l., via Roveredo 20b, 33170, Pordenone, </w:t>
      </w:r>
      <w:proofErr w:type="spellStart"/>
      <w:r w:rsidR="009A1D67" w:rsidRPr="009A1D67">
        <w:rPr>
          <w:sz w:val="16"/>
          <w:szCs w:val="16"/>
          <w:lang w:val="it-IT"/>
        </w:rPr>
        <w:t>Italy</w:t>
      </w:r>
      <w:proofErr w:type="spellEnd"/>
      <w:r w:rsidR="009A1D67">
        <w:rPr>
          <w:sz w:val="16"/>
          <w:szCs w:val="16"/>
          <w:lang w:val="it-IT"/>
        </w:rPr>
        <w:t>;</w:t>
      </w:r>
      <w:r w:rsidR="009A1D67" w:rsidRPr="009A1D67">
        <w:rPr>
          <w:sz w:val="16"/>
          <w:szCs w:val="16"/>
          <w:lang w:val="it-IT"/>
        </w:rPr>
        <w:t xml:space="preserve"> </w:t>
      </w:r>
      <w:r w:rsidRPr="009A1D67">
        <w:rPr>
          <w:sz w:val="16"/>
          <w:szCs w:val="16"/>
          <w:lang w:val="it-IT"/>
        </w:rPr>
        <w:t xml:space="preserve">E-mail: </w:t>
      </w:r>
      <w:r w:rsidR="009A1D67">
        <w:rPr>
          <w:sz w:val="16"/>
          <w:szCs w:val="16"/>
          <w:lang w:val="it-IT"/>
        </w:rPr>
        <w:t>bbisello@tempestive.com</w:t>
      </w:r>
      <w:r w:rsidRPr="009A1D67">
        <w:rPr>
          <w:sz w:val="16"/>
          <w:szCs w:val="16"/>
          <w:lang w:val="it-I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05135249"/>
    <w:multiLevelType w:val="hybridMultilevel"/>
    <w:tmpl w:val="8C7E22B4"/>
    <w:lvl w:ilvl="0" w:tplc="D7B255D0">
      <w:start w:val="1"/>
      <w:numFmt w:val="lowerLetter"/>
      <w:lvlText w:val="(%1)"/>
      <w:lvlJc w:val="left"/>
      <w:pPr>
        <w:ind w:left="1962" w:hanging="360"/>
      </w:pPr>
      <w:rPr>
        <w:rFonts w:hint="default"/>
      </w:rPr>
    </w:lvl>
    <w:lvl w:ilvl="1" w:tplc="04100019" w:tentative="1">
      <w:start w:val="1"/>
      <w:numFmt w:val="lowerLetter"/>
      <w:lvlText w:val="%2."/>
      <w:lvlJc w:val="left"/>
      <w:pPr>
        <w:ind w:left="2682" w:hanging="360"/>
      </w:pPr>
    </w:lvl>
    <w:lvl w:ilvl="2" w:tplc="0410001B" w:tentative="1">
      <w:start w:val="1"/>
      <w:numFmt w:val="lowerRoman"/>
      <w:lvlText w:val="%3."/>
      <w:lvlJc w:val="right"/>
      <w:pPr>
        <w:ind w:left="3402" w:hanging="180"/>
      </w:pPr>
    </w:lvl>
    <w:lvl w:ilvl="3" w:tplc="0410000F" w:tentative="1">
      <w:start w:val="1"/>
      <w:numFmt w:val="decimal"/>
      <w:lvlText w:val="%4."/>
      <w:lvlJc w:val="left"/>
      <w:pPr>
        <w:ind w:left="4122" w:hanging="360"/>
      </w:pPr>
    </w:lvl>
    <w:lvl w:ilvl="4" w:tplc="04100019" w:tentative="1">
      <w:start w:val="1"/>
      <w:numFmt w:val="lowerLetter"/>
      <w:lvlText w:val="%5."/>
      <w:lvlJc w:val="left"/>
      <w:pPr>
        <w:ind w:left="4842" w:hanging="360"/>
      </w:pPr>
    </w:lvl>
    <w:lvl w:ilvl="5" w:tplc="0410001B" w:tentative="1">
      <w:start w:val="1"/>
      <w:numFmt w:val="lowerRoman"/>
      <w:lvlText w:val="%6."/>
      <w:lvlJc w:val="right"/>
      <w:pPr>
        <w:ind w:left="5562" w:hanging="180"/>
      </w:pPr>
    </w:lvl>
    <w:lvl w:ilvl="6" w:tplc="0410000F" w:tentative="1">
      <w:start w:val="1"/>
      <w:numFmt w:val="decimal"/>
      <w:lvlText w:val="%7."/>
      <w:lvlJc w:val="left"/>
      <w:pPr>
        <w:ind w:left="6282" w:hanging="360"/>
      </w:pPr>
    </w:lvl>
    <w:lvl w:ilvl="7" w:tplc="04100019" w:tentative="1">
      <w:start w:val="1"/>
      <w:numFmt w:val="lowerLetter"/>
      <w:lvlText w:val="%8."/>
      <w:lvlJc w:val="left"/>
      <w:pPr>
        <w:ind w:left="7002" w:hanging="360"/>
      </w:pPr>
    </w:lvl>
    <w:lvl w:ilvl="8" w:tplc="0410001B" w:tentative="1">
      <w:start w:val="1"/>
      <w:numFmt w:val="lowerRoman"/>
      <w:lvlText w:val="%9."/>
      <w:lvlJc w:val="right"/>
      <w:pPr>
        <w:ind w:left="7722" w:hanging="180"/>
      </w:pPr>
    </w:lvl>
  </w:abstractNum>
  <w:abstractNum w:abstractNumId="2">
    <w:nsid w:val="0A1F711F"/>
    <w:multiLevelType w:val="hybridMultilevel"/>
    <w:tmpl w:val="15AE0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9C06EF"/>
    <w:multiLevelType w:val="hybridMultilevel"/>
    <w:tmpl w:val="459E4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600B2C"/>
    <w:multiLevelType w:val="hybridMultilevel"/>
    <w:tmpl w:val="7AC201F6"/>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B47100"/>
    <w:multiLevelType w:val="hybridMultilevel"/>
    <w:tmpl w:val="A3CC49A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nsid w:val="50366BA7"/>
    <w:multiLevelType w:val="hybridMultilevel"/>
    <w:tmpl w:val="CBC84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9">
    <w:nsid w:val="56AF3FCE"/>
    <w:multiLevelType w:val="hybridMultilevel"/>
    <w:tmpl w:val="FB349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1">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CA14B0D"/>
    <w:multiLevelType w:val="hybridMultilevel"/>
    <w:tmpl w:val="D6368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4">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5">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6">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E1373E5"/>
    <w:multiLevelType w:val="hybridMultilevel"/>
    <w:tmpl w:val="EB64F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0"/>
  </w:num>
  <w:num w:numId="4">
    <w:abstractNumId w:val="15"/>
  </w:num>
  <w:num w:numId="5">
    <w:abstractNumId w:val="8"/>
  </w:num>
  <w:num w:numId="6">
    <w:abstractNumId w:val="14"/>
  </w:num>
  <w:num w:numId="7">
    <w:abstractNumId w:val="16"/>
  </w:num>
  <w:num w:numId="8">
    <w:abstractNumId w:val="11"/>
  </w:num>
  <w:num w:numId="9">
    <w:abstractNumId w:val="16"/>
  </w:num>
  <w:num w:numId="10">
    <w:abstractNumId w:val="5"/>
  </w:num>
  <w:num w:numId="11">
    <w:abstractNumId w:val="16"/>
    <w:lvlOverride w:ilvl="0">
      <w:startOverride w:val="1"/>
    </w:lvlOverride>
  </w:num>
  <w:num w:numId="12">
    <w:abstractNumId w:val="12"/>
  </w:num>
  <w:num w:numId="13">
    <w:abstractNumId w:val="17"/>
  </w:num>
  <w:num w:numId="14">
    <w:abstractNumId w:val="9"/>
  </w:num>
  <w:num w:numId="15">
    <w:abstractNumId w:val="3"/>
  </w:num>
  <w:num w:numId="16">
    <w:abstractNumId w:val="1"/>
  </w:num>
  <w:num w:numId="17">
    <w:abstractNumId w:val="4"/>
  </w:num>
  <w:num w:numId="18">
    <w:abstractNumId w:val="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77"/>
    <w:rsid w:val="00000D2A"/>
    <w:rsid w:val="00005554"/>
    <w:rsid w:val="00011791"/>
    <w:rsid w:val="00021A80"/>
    <w:rsid w:val="00021F77"/>
    <w:rsid w:val="000358C8"/>
    <w:rsid w:val="00041478"/>
    <w:rsid w:val="000443F5"/>
    <w:rsid w:val="00054A8C"/>
    <w:rsid w:val="00062038"/>
    <w:rsid w:val="00071708"/>
    <w:rsid w:val="000720C2"/>
    <w:rsid w:val="00077CBE"/>
    <w:rsid w:val="00081CBE"/>
    <w:rsid w:val="00086F91"/>
    <w:rsid w:val="00087CD2"/>
    <w:rsid w:val="00087CE8"/>
    <w:rsid w:val="000A100F"/>
    <w:rsid w:val="000C6632"/>
    <w:rsid w:val="000F0D5B"/>
    <w:rsid w:val="000F34DD"/>
    <w:rsid w:val="000F7BDB"/>
    <w:rsid w:val="001039F7"/>
    <w:rsid w:val="001160EA"/>
    <w:rsid w:val="00120316"/>
    <w:rsid w:val="00120576"/>
    <w:rsid w:val="00124ACE"/>
    <w:rsid w:val="00133394"/>
    <w:rsid w:val="0013673A"/>
    <w:rsid w:val="001612D1"/>
    <w:rsid w:val="0018361A"/>
    <w:rsid w:val="00190CC7"/>
    <w:rsid w:val="001B0ED9"/>
    <w:rsid w:val="001B1E86"/>
    <w:rsid w:val="001B236C"/>
    <w:rsid w:val="001C4233"/>
    <w:rsid w:val="001D11DF"/>
    <w:rsid w:val="001E2A80"/>
    <w:rsid w:val="001E7334"/>
    <w:rsid w:val="001E7E1E"/>
    <w:rsid w:val="001F6E6D"/>
    <w:rsid w:val="00233C1D"/>
    <w:rsid w:val="00235E9C"/>
    <w:rsid w:val="00246455"/>
    <w:rsid w:val="00246881"/>
    <w:rsid w:val="00250B2F"/>
    <w:rsid w:val="00254850"/>
    <w:rsid w:val="002552FC"/>
    <w:rsid w:val="00257B04"/>
    <w:rsid w:val="002869C0"/>
    <w:rsid w:val="00296534"/>
    <w:rsid w:val="002A3BC2"/>
    <w:rsid w:val="002B44EF"/>
    <w:rsid w:val="002B519D"/>
    <w:rsid w:val="002D18DF"/>
    <w:rsid w:val="002D6162"/>
    <w:rsid w:val="002F633E"/>
    <w:rsid w:val="0030405B"/>
    <w:rsid w:val="00317085"/>
    <w:rsid w:val="00317895"/>
    <w:rsid w:val="003250FB"/>
    <w:rsid w:val="00344BF6"/>
    <w:rsid w:val="003479DE"/>
    <w:rsid w:val="003543B2"/>
    <w:rsid w:val="003572B7"/>
    <w:rsid w:val="0036254A"/>
    <w:rsid w:val="003777DD"/>
    <w:rsid w:val="003A0D8C"/>
    <w:rsid w:val="003A1DDB"/>
    <w:rsid w:val="003A4B51"/>
    <w:rsid w:val="003B28C3"/>
    <w:rsid w:val="003C50DF"/>
    <w:rsid w:val="003C5C8C"/>
    <w:rsid w:val="003C5DB5"/>
    <w:rsid w:val="003F043E"/>
    <w:rsid w:val="003F3283"/>
    <w:rsid w:val="003F3F3E"/>
    <w:rsid w:val="00405097"/>
    <w:rsid w:val="00426D58"/>
    <w:rsid w:val="00430534"/>
    <w:rsid w:val="00454103"/>
    <w:rsid w:val="00454F00"/>
    <w:rsid w:val="00464C92"/>
    <w:rsid w:val="004755C4"/>
    <w:rsid w:val="00485F03"/>
    <w:rsid w:val="00486856"/>
    <w:rsid w:val="004A61CC"/>
    <w:rsid w:val="004B7C17"/>
    <w:rsid w:val="004E190B"/>
    <w:rsid w:val="004E7CB7"/>
    <w:rsid w:val="004F7277"/>
    <w:rsid w:val="0050189C"/>
    <w:rsid w:val="005226B9"/>
    <w:rsid w:val="005246F7"/>
    <w:rsid w:val="005312F6"/>
    <w:rsid w:val="005347C7"/>
    <w:rsid w:val="00543F4B"/>
    <w:rsid w:val="00553FFA"/>
    <w:rsid w:val="00561C04"/>
    <w:rsid w:val="00563677"/>
    <w:rsid w:val="00565D00"/>
    <w:rsid w:val="00567FD3"/>
    <w:rsid w:val="00584BA1"/>
    <w:rsid w:val="005B1745"/>
    <w:rsid w:val="005C2975"/>
    <w:rsid w:val="005D2B9E"/>
    <w:rsid w:val="005D5DAE"/>
    <w:rsid w:val="005D7A10"/>
    <w:rsid w:val="005E5696"/>
    <w:rsid w:val="005F611B"/>
    <w:rsid w:val="0060162B"/>
    <w:rsid w:val="00606D23"/>
    <w:rsid w:val="00614BB0"/>
    <w:rsid w:val="006161C2"/>
    <w:rsid w:val="00616CAF"/>
    <w:rsid w:val="00621D6E"/>
    <w:rsid w:val="006312AB"/>
    <w:rsid w:val="00631672"/>
    <w:rsid w:val="00632E7F"/>
    <w:rsid w:val="00636718"/>
    <w:rsid w:val="0063697E"/>
    <w:rsid w:val="00643170"/>
    <w:rsid w:val="00654AE5"/>
    <w:rsid w:val="006638ED"/>
    <w:rsid w:val="00666DB1"/>
    <w:rsid w:val="00672CAD"/>
    <w:rsid w:val="00673D68"/>
    <w:rsid w:val="00680A48"/>
    <w:rsid w:val="00693882"/>
    <w:rsid w:val="00693D63"/>
    <w:rsid w:val="006A224A"/>
    <w:rsid w:val="006B69B7"/>
    <w:rsid w:val="006C2486"/>
    <w:rsid w:val="006D1071"/>
    <w:rsid w:val="006D427D"/>
    <w:rsid w:val="006D5EF8"/>
    <w:rsid w:val="006F7999"/>
    <w:rsid w:val="00706997"/>
    <w:rsid w:val="00712260"/>
    <w:rsid w:val="007168FE"/>
    <w:rsid w:val="007361F7"/>
    <w:rsid w:val="0075170B"/>
    <w:rsid w:val="00762E8C"/>
    <w:rsid w:val="00784F42"/>
    <w:rsid w:val="00785F1C"/>
    <w:rsid w:val="00791773"/>
    <w:rsid w:val="00794A7F"/>
    <w:rsid w:val="007B0CD7"/>
    <w:rsid w:val="007C3706"/>
    <w:rsid w:val="007D4887"/>
    <w:rsid w:val="007D7803"/>
    <w:rsid w:val="007E4875"/>
    <w:rsid w:val="007F2F59"/>
    <w:rsid w:val="007F3735"/>
    <w:rsid w:val="00806A15"/>
    <w:rsid w:val="00814AB8"/>
    <w:rsid w:val="008155C0"/>
    <w:rsid w:val="008327B6"/>
    <w:rsid w:val="00850F49"/>
    <w:rsid w:val="00856F77"/>
    <w:rsid w:val="00877F5F"/>
    <w:rsid w:val="00884652"/>
    <w:rsid w:val="00896E11"/>
    <w:rsid w:val="008A3D74"/>
    <w:rsid w:val="008B06AE"/>
    <w:rsid w:val="008D1445"/>
    <w:rsid w:val="008D3542"/>
    <w:rsid w:val="008D7EC4"/>
    <w:rsid w:val="008E0A79"/>
    <w:rsid w:val="008E4DDF"/>
    <w:rsid w:val="008E6E9A"/>
    <w:rsid w:val="009070AE"/>
    <w:rsid w:val="00914D54"/>
    <w:rsid w:val="00917A9B"/>
    <w:rsid w:val="00922FBE"/>
    <w:rsid w:val="0092548A"/>
    <w:rsid w:val="00932652"/>
    <w:rsid w:val="009437AD"/>
    <w:rsid w:val="0095442F"/>
    <w:rsid w:val="009641D9"/>
    <w:rsid w:val="0097053B"/>
    <w:rsid w:val="009772B8"/>
    <w:rsid w:val="00986D31"/>
    <w:rsid w:val="0099169F"/>
    <w:rsid w:val="00991740"/>
    <w:rsid w:val="00993DBC"/>
    <w:rsid w:val="009A1D67"/>
    <w:rsid w:val="009A1FEA"/>
    <w:rsid w:val="009C4424"/>
    <w:rsid w:val="009C736B"/>
    <w:rsid w:val="009E5C00"/>
    <w:rsid w:val="009F102D"/>
    <w:rsid w:val="00A15E1B"/>
    <w:rsid w:val="00A16AAC"/>
    <w:rsid w:val="00A52E4C"/>
    <w:rsid w:val="00A5792F"/>
    <w:rsid w:val="00A618E5"/>
    <w:rsid w:val="00A62EEE"/>
    <w:rsid w:val="00A73590"/>
    <w:rsid w:val="00A90F66"/>
    <w:rsid w:val="00AA3A98"/>
    <w:rsid w:val="00AA4A56"/>
    <w:rsid w:val="00AC6DA1"/>
    <w:rsid w:val="00AD5F01"/>
    <w:rsid w:val="00AD6FF0"/>
    <w:rsid w:val="00AE3201"/>
    <w:rsid w:val="00AE48A2"/>
    <w:rsid w:val="00B05D6E"/>
    <w:rsid w:val="00B1737F"/>
    <w:rsid w:val="00B32467"/>
    <w:rsid w:val="00B43295"/>
    <w:rsid w:val="00B449B4"/>
    <w:rsid w:val="00B6376B"/>
    <w:rsid w:val="00B751DA"/>
    <w:rsid w:val="00B75BDD"/>
    <w:rsid w:val="00BA5361"/>
    <w:rsid w:val="00BC4C8A"/>
    <w:rsid w:val="00BD4C5D"/>
    <w:rsid w:val="00BF08A6"/>
    <w:rsid w:val="00C14DE2"/>
    <w:rsid w:val="00C15B45"/>
    <w:rsid w:val="00C22B0C"/>
    <w:rsid w:val="00C3049B"/>
    <w:rsid w:val="00C7493A"/>
    <w:rsid w:val="00C75FAB"/>
    <w:rsid w:val="00C76425"/>
    <w:rsid w:val="00C81EB3"/>
    <w:rsid w:val="00C82D3C"/>
    <w:rsid w:val="00C84A89"/>
    <w:rsid w:val="00C90E34"/>
    <w:rsid w:val="00C97D11"/>
    <w:rsid w:val="00CA281E"/>
    <w:rsid w:val="00CB521F"/>
    <w:rsid w:val="00CB7873"/>
    <w:rsid w:val="00CC2308"/>
    <w:rsid w:val="00CD0BB4"/>
    <w:rsid w:val="00CE09AB"/>
    <w:rsid w:val="00CF1FE0"/>
    <w:rsid w:val="00CF5C91"/>
    <w:rsid w:val="00D054C7"/>
    <w:rsid w:val="00D1085D"/>
    <w:rsid w:val="00D22FCE"/>
    <w:rsid w:val="00D30D45"/>
    <w:rsid w:val="00D311C4"/>
    <w:rsid w:val="00D4367E"/>
    <w:rsid w:val="00D53784"/>
    <w:rsid w:val="00D6021F"/>
    <w:rsid w:val="00D66B18"/>
    <w:rsid w:val="00D80893"/>
    <w:rsid w:val="00D82BC9"/>
    <w:rsid w:val="00DD6003"/>
    <w:rsid w:val="00DF14C5"/>
    <w:rsid w:val="00DF338A"/>
    <w:rsid w:val="00E034EE"/>
    <w:rsid w:val="00E04206"/>
    <w:rsid w:val="00E063EC"/>
    <w:rsid w:val="00E161CA"/>
    <w:rsid w:val="00E22918"/>
    <w:rsid w:val="00E33156"/>
    <w:rsid w:val="00E63503"/>
    <w:rsid w:val="00E92B30"/>
    <w:rsid w:val="00E96057"/>
    <w:rsid w:val="00E97C44"/>
    <w:rsid w:val="00EA3E27"/>
    <w:rsid w:val="00EB4665"/>
    <w:rsid w:val="00ED0E32"/>
    <w:rsid w:val="00ED5E5B"/>
    <w:rsid w:val="00EE4D1E"/>
    <w:rsid w:val="00EE4EE8"/>
    <w:rsid w:val="00F0214D"/>
    <w:rsid w:val="00F07FC3"/>
    <w:rsid w:val="00F10495"/>
    <w:rsid w:val="00F133EF"/>
    <w:rsid w:val="00F17679"/>
    <w:rsid w:val="00F24433"/>
    <w:rsid w:val="00F25002"/>
    <w:rsid w:val="00F41A04"/>
    <w:rsid w:val="00F52B24"/>
    <w:rsid w:val="00F5333B"/>
    <w:rsid w:val="00F54F93"/>
    <w:rsid w:val="00F56932"/>
    <w:rsid w:val="00F6083B"/>
    <w:rsid w:val="00F708BB"/>
    <w:rsid w:val="00F91401"/>
    <w:rsid w:val="00F956E4"/>
    <w:rsid w:val="00FA7841"/>
    <w:rsid w:val="00FB1456"/>
    <w:rsid w:val="00FB281D"/>
    <w:rsid w:val="00FC12C2"/>
    <w:rsid w:val="00FC6BA7"/>
    <w:rsid w:val="00FC7724"/>
    <w:rsid w:val="00FD05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EAAB2"/>
  <w15:docId w15:val="{94A0663A-CA1F-400F-9815-8EE79AC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US"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zione1">
    <w:name w:val="Citazione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Rientrocorpodeltesto2">
    <w:name w:val="Body Text Indent 2"/>
    <w:basedOn w:val="Normale"/>
    <w:link w:val="Rientrocorpodeltesto2Carattere"/>
    <w:uiPriority w:val="99"/>
    <w:semiHidden/>
    <w:unhideWhenUsed/>
    <w:rsid w:val="006C2486"/>
    <w:pPr>
      <w:spacing w:after="120" w:line="480" w:lineRule="auto"/>
      <w:ind w:left="283" w:firstLine="0"/>
    </w:pPr>
    <w:rPr>
      <w:sz w:val="24"/>
      <w:szCs w:val="22"/>
      <w:lang w:val="en-GB" w:eastAsia="en-US"/>
    </w:rPr>
  </w:style>
  <w:style w:type="character" w:customStyle="1" w:styleId="Rientrocorpodeltesto2Carattere">
    <w:name w:val="Rientro corpo del testo 2 Carattere"/>
    <w:basedOn w:val="Carpredefinitoparagrafo"/>
    <w:link w:val="Rientrocorpodeltesto2"/>
    <w:uiPriority w:val="99"/>
    <w:semiHidden/>
    <w:rsid w:val="006C2486"/>
    <w:rPr>
      <w:sz w:val="24"/>
      <w:szCs w:val="22"/>
      <w:lang w:val="en-GB" w:eastAsia="en-US"/>
    </w:rPr>
  </w:style>
  <w:style w:type="character" w:styleId="Collegamentoipertestuale">
    <w:name w:val="Hyperlink"/>
    <w:basedOn w:val="Carpredefinitoparagrafo"/>
    <w:uiPriority w:val="99"/>
    <w:unhideWhenUsed/>
    <w:rsid w:val="008E4DDF"/>
    <w:rPr>
      <w:color w:val="0563C1" w:themeColor="hyperlink"/>
      <w:u w:val="single"/>
    </w:rPr>
  </w:style>
  <w:style w:type="character" w:customStyle="1" w:styleId="Menzionenonrisolta1">
    <w:name w:val="Menzione non risolta1"/>
    <w:basedOn w:val="Carpredefinitoparagrafo"/>
    <w:uiPriority w:val="99"/>
    <w:semiHidden/>
    <w:unhideWhenUsed/>
    <w:rsid w:val="008E4DDF"/>
    <w:rPr>
      <w:color w:val="808080"/>
      <w:shd w:val="clear" w:color="auto" w:fill="E6E6E6"/>
    </w:rPr>
  </w:style>
  <w:style w:type="paragraph" w:styleId="NormaleWeb">
    <w:name w:val="Normal (Web)"/>
    <w:basedOn w:val="Normale"/>
    <w:uiPriority w:val="99"/>
    <w:unhideWhenUsed/>
    <w:rsid w:val="0013673A"/>
    <w:pPr>
      <w:spacing w:before="100" w:beforeAutospacing="1" w:after="100" w:afterAutospacing="1"/>
      <w:ind w:firstLine="0"/>
      <w:jc w:val="left"/>
    </w:pPr>
    <w:rPr>
      <w:rFonts w:eastAsia="Times New Roman"/>
      <w:sz w:val="24"/>
      <w:lang w:val="it-IT" w:eastAsia="it-IT"/>
    </w:rPr>
  </w:style>
  <w:style w:type="paragraph" w:styleId="Paragrafoelenco">
    <w:name w:val="List Paragraph"/>
    <w:basedOn w:val="Normale"/>
    <w:uiPriority w:val="34"/>
    <w:qFormat/>
    <w:rsid w:val="003A1DDB"/>
    <w:pPr>
      <w:ind w:left="720"/>
      <w:contextualSpacing/>
    </w:pPr>
  </w:style>
  <w:style w:type="table" w:styleId="Grigliatabella">
    <w:name w:val="Table Grid"/>
    <w:basedOn w:val="Tabellanormale"/>
    <w:uiPriority w:val="59"/>
    <w:rsid w:val="003A1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011791"/>
    <w:rPr>
      <w:b/>
      <w:bCs/>
    </w:rPr>
  </w:style>
  <w:style w:type="paragraph" w:styleId="Testofumetto">
    <w:name w:val="Balloon Text"/>
    <w:basedOn w:val="Normale"/>
    <w:link w:val="TestofumettoCarattere"/>
    <w:uiPriority w:val="99"/>
    <w:semiHidden/>
    <w:unhideWhenUsed/>
    <w:rsid w:val="00BF08A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8A6"/>
    <w:rPr>
      <w:rFonts w:ascii="Tahoma" w:hAnsi="Tahoma" w:cs="Tahoma"/>
      <w:sz w:val="16"/>
      <w:szCs w:val="16"/>
      <w:lang w:val="en-US" w:eastAsia="ja-JP"/>
    </w:rPr>
  </w:style>
  <w:style w:type="character" w:styleId="Rimandocommento">
    <w:name w:val="annotation reference"/>
    <w:basedOn w:val="Carpredefinitoparagrafo"/>
    <w:uiPriority w:val="99"/>
    <w:semiHidden/>
    <w:unhideWhenUsed/>
    <w:rsid w:val="00C90E34"/>
    <w:rPr>
      <w:sz w:val="16"/>
      <w:szCs w:val="16"/>
    </w:rPr>
  </w:style>
  <w:style w:type="paragraph" w:styleId="Testocommento">
    <w:name w:val="annotation text"/>
    <w:basedOn w:val="Normale"/>
    <w:link w:val="TestocommentoCarattere"/>
    <w:uiPriority w:val="99"/>
    <w:semiHidden/>
    <w:unhideWhenUsed/>
    <w:rsid w:val="00C90E34"/>
    <w:rPr>
      <w:szCs w:val="20"/>
    </w:rPr>
  </w:style>
  <w:style w:type="character" w:customStyle="1" w:styleId="TestocommentoCarattere">
    <w:name w:val="Testo commento Carattere"/>
    <w:basedOn w:val="Carpredefinitoparagrafo"/>
    <w:link w:val="Testocommento"/>
    <w:uiPriority w:val="99"/>
    <w:semiHidden/>
    <w:rsid w:val="00C90E34"/>
    <w:rPr>
      <w:lang w:val="en-US" w:eastAsia="ja-JP"/>
    </w:rPr>
  </w:style>
  <w:style w:type="paragraph" w:styleId="Soggettocommento">
    <w:name w:val="annotation subject"/>
    <w:basedOn w:val="Testocommento"/>
    <w:next w:val="Testocommento"/>
    <w:link w:val="SoggettocommentoCarattere"/>
    <w:uiPriority w:val="99"/>
    <w:semiHidden/>
    <w:unhideWhenUsed/>
    <w:rsid w:val="00C90E34"/>
    <w:rPr>
      <w:b/>
      <w:bCs/>
    </w:rPr>
  </w:style>
  <w:style w:type="character" w:customStyle="1" w:styleId="SoggettocommentoCarattere">
    <w:name w:val="Soggetto commento Carattere"/>
    <w:basedOn w:val="TestocommentoCarattere"/>
    <w:link w:val="Soggettocommento"/>
    <w:uiPriority w:val="99"/>
    <w:semiHidden/>
    <w:rsid w:val="00C90E34"/>
    <w:rPr>
      <w:b/>
      <w:bCs/>
      <w:lang w:val="en-US" w:eastAsia="ja-JP"/>
    </w:rPr>
  </w:style>
  <w:style w:type="paragraph" w:styleId="Revisione">
    <w:name w:val="Revision"/>
    <w:hidden/>
    <w:uiPriority w:val="99"/>
    <w:semiHidden/>
    <w:rsid w:val="00C90E34"/>
    <w:rPr>
      <w:szCs w:val="24"/>
      <w:lang w:val="en-US" w:eastAsia="ja-JP"/>
    </w:rPr>
  </w:style>
  <w:style w:type="character" w:customStyle="1" w:styleId="Menzionenonrisolta2">
    <w:name w:val="Menzione non risolta2"/>
    <w:basedOn w:val="Carpredefinitoparagrafo"/>
    <w:uiPriority w:val="99"/>
    <w:semiHidden/>
    <w:unhideWhenUsed/>
    <w:rsid w:val="008155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4484">
      <w:bodyDiv w:val="1"/>
      <w:marLeft w:val="0"/>
      <w:marRight w:val="0"/>
      <w:marTop w:val="0"/>
      <w:marBottom w:val="0"/>
      <w:divBdr>
        <w:top w:val="none" w:sz="0" w:space="0" w:color="auto"/>
        <w:left w:val="none" w:sz="0" w:space="0" w:color="auto"/>
        <w:bottom w:val="none" w:sz="0" w:space="0" w:color="auto"/>
        <w:right w:val="none" w:sz="0" w:space="0" w:color="auto"/>
      </w:divBdr>
      <w:divsChild>
        <w:div w:id="1033194331">
          <w:marLeft w:val="165"/>
          <w:marRight w:val="165"/>
          <w:marTop w:val="0"/>
          <w:marBottom w:val="0"/>
          <w:divBdr>
            <w:top w:val="none" w:sz="0" w:space="0" w:color="auto"/>
            <w:left w:val="none" w:sz="0" w:space="0" w:color="auto"/>
            <w:bottom w:val="none" w:sz="0" w:space="0" w:color="auto"/>
            <w:right w:val="none" w:sz="0" w:space="0" w:color="auto"/>
          </w:divBdr>
          <w:divsChild>
            <w:div w:id="1139495895">
              <w:marLeft w:val="0"/>
              <w:marRight w:val="0"/>
              <w:marTop w:val="0"/>
              <w:marBottom w:val="0"/>
              <w:divBdr>
                <w:top w:val="none" w:sz="0" w:space="0" w:color="auto"/>
                <w:left w:val="none" w:sz="0" w:space="0" w:color="auto"/>
                <w:bottom w:val="none" w:sz="0" w:space="0" w:color="auto"/>
                <w:right w:val="none" w:sz="0" w:space="0" w:color="auto"/>
              </w:divBdr>
            </w:div>
            <w:div w:id="21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21203">
      <w:bodyDiv w:val="1"/>
      <w:marLeft w:val="0"/>
      <w:marRight w:val="0"/>
      <w:marTop w:val="0"/>
      <w:marBottom w:val="0"/>
      <w:divBdr>
        <w:top w:val="none" w:sz="0" w:space="0" w:color="auto"/>
        <w:left w:val="none" w:sz="0" w:space="0" w:color="auto"/>
        <w:bottom w:val="none" w:sz="0" w:space="0" w:color="auto"/>
        <w:right w:val="none" w:sz="0" w:space="0" w:color="auto"/>
      </w:divBdr>
    </w:div>
    <w:div w:id="461046360">
      <w:bodyDiv w:val="1"/>
      <w:marLeft w:val="0"/>
      <w:marRight w:val="0"/>
      <w:marTop w:val="0"/>
      <w:marBottom w:val="0"/>
      <w:divBdr>
        <w:top w:val="none" w:sz="0" w:space="0" w:color="auto"/>
        <w:left w:val="none" w:sz="0" w:space="0" w:color="auto"/>
        <w:bottom w:val="none" w:sz="0" w:space="0" w:color="auto"/>
        <w:right w:val="none" w:sz="0" w:space="0" w:color="auto"/>
      </w:divBdr>
      <w:divsChild>
        <w:div w:id="1256356651">
          <w:marLeft w:val="0"/>
          <w:marRight w:val="0"/>
          <w:marTop w:val="0"/>
          <w:marBottom w:val="0"/>
          <w:divBdr>
            <w:top w:val="none" w:sz="0" w:space="0" w:color="auto"/>
            <w:left w:val="none" w:sz="0" w:space="0" w:color="auto"/>
            <w:bottom w:val="none" w:sz="0" w:space="0" w:color="auto"/>
            <w:right w:val="none" w:sz="0" w:space="0" w:color="auto"/>
          </w:divBdr>
        </w:div>
        <w:div w:id="1004672763">
          <w:marLeft w:val="0"/>
          <w:marRight w:val="0"/>
          <w:marTop w:val="0"/>
          <w:marBottom w:val="0"/>
          <w:divBdr>
            <w:top w:val="none" w:sz="0" w:space="0" w:color="auto"/>
            <w:left w:val="none" w:sz="0" w:space="0" w:color="auto"/>
            <w:bottom w:val="none" w:sz="0" w:space="0" w:color="auto"/>
            <w:right w:val="none" w:sz="0" w:space="0" w:color="auto"/>
          </w:divBdr>
        </w:div>
      </w:divsChild>
    </w:div>
    <w:div w:id="699431105">
      <w:bodyDiv w:val="1"/>
      <w:marLeft w:val="0"/>
      <w:marRight w:val="0"/>
      <w:marTop w:val="0"/>
      <w:marBottom w:val="0"/>
      <w:divBdr>
        <w:top w:val="none" w:sz="0" w:space="0" w:color="auto"/>
        <w:left w:val="none" w:sz="0" w:space="0" w:color="auto"/>
        <w:bottom w:val="none" w:sz="0" w:space="0" w:color="auto"/>
        <w:right w:val="none" w:sz="0" w:space="0" w:color="auto"/>
      </w:divBdr>
      <w:divsChild>
        <w:div w:id="1455322390">
          <w:marLeft w:val="0"/>
          <w:marRight w:val="0"/>
          <w:marTop w:val="0"/>
          <w:marBottom w:val="0"/>
          <w:divBdr>
            <w:top w:val="none" w:sz="0" w:space="0" w:color="auto"/>
            <w:left w:val="none" w:sz="0" w:space="0" w:color="auto"/>
            <w:bottom w:val="none" w:sz="0" w:space="0" w:color="auto"/>
            <w:right w:val="none" w:sz="0" w:space="0" w:color="auto"/>
          </w:divBdr>
          <w:divsChild>
            <w:div w:id="583074411">
              <w:marLeft w:val="0"/>
              <w:marRight w:val="60"/>
              <w:marTop w:val="0"/>
              <w:marBottom w:val="0"/>
              <w:divBdr>
                <w:top w:val="none" w:sz="0" w:space="0" w:color="auto"/>
                <w:left w:val="none" w:sz="0" w:space="0" w:color="auto"/>
                <w:bottom w:val="none" w:sz="0" w:space="0" w:color="auto"/>
                <w:right w:val="none" w:sz="0" w:space="0" w:color="auto"/>
              </w:divBdr>
              <w:divsChild>
                <w:div w:id="2003241025">
                  <w:marLeft w:val="0"/>
                  <w:marRight w:val="0"/>
                  <w:marTop w:val="0"/>
                  <w:marBottom w:val="120"/>
                  <w:divBdr>
                    <w:top w:val="single" w:sz="6" w:space="0" w:color="C0C0C0"/>
                    <w:left w:val="single" w:sz="6" w:space="0" w:color="D9D9D9"/>
                    <w:bottom w:val="single" w:sz="6" w:space="0" w:color="D9D9D9"/>
                    <w:right w:val="single" w:sz="6" w:space="0" w:color="D9D9D9"/>
                  </w:divBdr>
                  <w:divsChild>
                    <w:div w:id="882448368">
                      <w:marLeft w:val="0"/>
                      <w:marRight w:val="0"/>
                      <w:marTop w:val="0"/>
                      <w:marBottom w:val="0"/>
                      <w:divBdr>
                        <w:top w:val="none" w:sz="0" w:space="0" w:color="auto"/>
                        <w:left w:val="none" w:sz="0" w:space="0" w:color="auto"/>
                        <w:bottom w:val="none" w:sz="0" w:space="0" w:color="auto"/>
                        <w:right w:val="none" w:sz="0" w:space="0" w:color="auto"/>
                      </w:divBdr>
                    </w:div>
                    <w:div w:id="13543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388">
          <w:marLeft w:val="0"/>
          <w:marRight w:val="0"/>
          <w:marTop w:val="0"/>
          <w:marBottom w:val="0"/>
          <w:divBdr>
            <w:top w:val="none" w:sz="0" w:space="0" w:color="auto"/>
            <w:left w:val="none" w:sz="0" w:space="0" w:color="auto"/>
            <w:bottom w:val="none" w:sz="0" w:space="0" w:color="auto"/>
            <w:right w:val="none" w:sz="0" w:space="0" w:color="auto"/>
          </w:divBdr>
          <w:divsChild>
            <w:div w:id="126093974">
              <w:marLeft w:val="60"/>
              <w:marRight w:val="0"/>
              <w:marTop w:val="0"/>
              <w:marBottom w:val="0"/>
              <w:divBdr>
                <w:top w:val="none" w:sz="0" w:space="0" w:color="auto"/>
                <w:left w:val="none" w:sz="0" w:space="0" w:color="auto"/>
                <w:bottom w:val="none" w:sz="0" w:space="0" w:color="auto"/>
                <w:right w:val="none" w:sz="0" w:space="0" w:color="auto"/>
              </w:divBdr>
              <w:divsChild>
                <w:div w:id="162741195">
                  <w:marLeft w:val="0"/>
                  <w:marRight w:val="0"/>
                  <w:marTop w:val="0"/>
                  <w:marBottom w:val="0"/>
                  <w:divBdr>
                    <w:top w:val="none" w:sz="0" w:space="0" w:color="auto"/>
                    <w:left w:val="none" w:sz="0" w:space="0" w:color="auto"/>
                    <w:bottom w:val="none" w:sz="0" w:space="0" w:color="auto"/>
                    <w:right w:val="none" w:sz="0" w:space="0" w:color="auto"/>
                  </w:divBdr>
                  <w:divsChild>
                    <w:div w:id="2140953677">
                      <w:marLeft w:val="0"/>
                      <w:marRight w:val="0"/>
                      <w:marTop w:val="0"/>
                      <w:marBottom w:val="120"/>
                      <w:divBdr>
                        <w:top w:val="single" w:sz="6" w:space="0" w:color="F5F5F5"/>
                        <w:left w:val="single" w:sz="6" w:space="0" w:color="F5F5F5"/>
                        <w:bottom w:val="single" w:sz="6" w:space="0" w:color="F5F5F5"/>
                        <w:right w:val="single" w:sz="6" w:space="0" w:color="F5F5F5"/>
                      </w:divBdr>
                      <w:divsChild>
                        <w:div w:id="2112775625">
                          <w:marLeft w:val="0"/>
                          <w:marRight w:val="0"/>
                          <w:marTop w:val="0"/>
                          <w:marBottom w:val="0"/>
                          <w:divBdr>
                            <w:top w:val="none" w:sz="0" w:space="0" w:color="auto"/>
                            <w:left w:val="none" w:sz="0" w:space="0" w:color="auto"/>
                            <w:bottom w:val="none" w:sz="0" w:space="0" w:color="auto"/>
                            <w:right w:val="none" w:sz="0" w:space="0" w:color="auto"/>
                          </w:divBdr>
                          <w:divsChild>
                            <w:div w:id="16921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724">
      <w:bodyDiv w:val="1"/>
      <w:marLeft w:val="0"/>
      <w:marRight w:val="0"/>
      <w:marTop w:val="0"/>
      <w:marBottom w:val="0"/>
      <w:divBdr>
        <w:top w:val="none" w:sz="0" w:space="0" w:color="auto"/>
        <w:left w:val="none" w:sz="0" w:space="0" w:color="auto"/>
        <w:bottom w:val="none" w:sz="0" w:space="0" w:color="auto"/>
        <w:right w:val="none" w:sz="0" w:space="0" w:color="auto"/>
      </w:divBdr>
    </w:div>
    <w:div w:id="820535880">
      <w:bodyDiv w:val="1"/>
      <w:marLeft w:val="0"/>
      <w:marRight w:val="0"/>
      <w:marTop w:val="0"/>
      <w:marBottom w:val="0"/>
      <w:divBdr>
        <w:top w:val="none" w:sz="0" w:space="0" w:color="auto"/>
        <w:left w:val="none" w:sz="0" w:space="0" w:color="auto"/>
        <w:bottom w:val="none" w:sz="0" w:space="0" w:color="auto"/>
        <w:right w:val="none" w:sz="0" w:space="0" w:color="auto"/>
      </w:divBdr>
    </w:div>
    <w:div w:id="891503185">
      <w:bodyDiv w:val="1"/>
      <w:marLeft w:val="0"/>
      <w:marRight w:val="0"/>
      <w:marTop w:val="0"/>
      <w:marBottom w:val="0"/>
      <w:divBdr>
        <w:top w:val="none" w:sz="0" w:space="0" w:color="auto"/>
        <w:left w:val="none" w:sz="0" w:space="0" w:color="auto"/>
        <w:bottom w:val="none" w:sz="0" w:space="0" w:color="auto"/>
        <w:right w:val="none" w:sz="0" w:space="0" w:color="auto"/>
      </w:divBdr>
    </w:div>
    <w:div w:id="1018041828">
      <w:bodyDiv w:val="1"/>
      <w:marLeft w:val="0"/>
      <w:marRight w:val="0"/>
      <w:marTop w:val="0"/>
      <w:marBottom w:val="0"/>
      <w:divBdr>
        <w:top w:val="none" w:sz="0" w:space="0" w:color="auto"/>
        <w:left w:val="none" w:sz="0" w:space="0" w:color="auto"/>
        <w:bottom w:val="none" w:sz="0" w:space="0" w:color="auto"/>
        <w:right w:val="none" w:sz="0" w:space="0" w:color="auto"/>
      </w:divBdr>
    </w:div>
    <w:div w:id="1173451216">
      <w:bodyDiv w:val="1"/>
      <w:marLeft w:val="0"/>
      <w:marRight w:val="0"/>
      <w:marTop w:val="0"/>
      <w:marBottom w:val="0"/>
      <w:divBdr>
        <w:top w:val="none" w:sz="0" w:space="0" w:color="auto"/>
        <w:left w:val="none" w:sz="0" w:space="0" w:color="auto"/>
        <w:bottom w:val="none" w:sz="0" w:space="0" w:color="auto"/>
        <w:right w:val="none" w:sz="0" w:space="0" w:color="auto"/>
      </w:divBdr>
      <w:divsChild>
        <w:div w:id="631902491">
          <w:marLeft w:val="0"/>
          <w:marRight w:val="0"/>
          <w:marTop w:val="0"/>
          <w:marBottom w:val="0"/>
          <w:divBdr>
            <w:top w:val="none" w:sz="0" w:space="0" w:color="auto"/>
            <w:left w:val="none" w:sz="0" w:space="0" w:color="auto"/>
            <w:bottom w:val="none" w:sz="0" w:space="0" w:color="auto"/>
            <w:right w:val="none" w:sz="0" w:space="0" w:color="auto"/>
          </w:divBdr>
        </w:div>
        <w:div w:id="1057704266">
          <w:marLeft w:val="0"/>
          <w:marRight w:val="0"/>
          <w:marTop w:val="0"/>
          <w:marBottom w:val="0"/>
          <w:divBdr>
            <w:top w:val="none" w:sz="0" w:space="0" w:color="auto"/>
            <w:left w:val="none" w:sz="0" w:space="0" w:color="auto"/>
            <w:bottom w:val="none" w:sz="0" w:space="0" w:color="auto"/>
            <w:right w:val="none" w:sz="0" w:space="0" w:color="auto"/>
          </w:divBdr>
        </w:div>
      </w:divsChild>
    </w:div>
    <w:div w:id="1301105963">
      <w:bodyDiv w:val="1"/>
      <w:marLeft w:val="0"/>
      <w:marRight w:val="0"/>
      <w:marTop w:val="0"/>
      <w:marBottom w:val="0"/>
      <w:divBdr>
        <w:top w:val="none" w:sz="0" w:space="0" w:color="auto"/>
        <w:left w:val="none" w:sz="0" w:space="0" w:color="auto"/>
        <w:bottom w:val="none" w:sz="0" w:space="0" w:color="auto"/>
        <w:right w:val="none" w:sz="0" w:space="0" w:color="auto"/>
      </w:divBdr>
    </w:div>
    <w:div w:id="1601987603">
      <w:bodyDiv w:val="1"/>
      <w:marLeft w:val="0"/>
      <w:marRight w:val="0"/>
      <w:marTop w:val="0"/>
      <w:marBottom w:val="0"/>
      <w:divBdr>
        <w:top w:val="none" w:sz="0" w:space="0" w:color="auto"/>
        <w:left w:val="none" w:sz="0" w:space="0" w:color="auto"/>
        <w:bottom w:val="none" w:sz="0" w:space="0" w:color="auto"/>
        <w:right w:val="none" w:sz="0" w:space="0" w:color="auto"/>
      </w:divBdr>
    </w:div>
    <w:div w:id="1665816253">
      <w:bodyDiv w:val="1"/>
      <w:marLeft w:val="0"/>
      <w:marRight w:val="0"/>
      <w:marTop w:val="0"/>
      <w:marBottom w:val="0"/>
      <w:divBdr>
        <w:top w:val="none" w:sz="0" w:space="0" w:color="auto"/>
        <w:left w:val="none" w:sz="0" w:space="0" w:color="auto"/>
        <w:bottom w:val="none" w:sz="0" w:space="0" w:color="auto"/>
        <w:right w:val="none" w:sz="0" w:space="0" w:color="auto"/>
      </w:divBdr>
    </w:div>
    <w:div w:id="1691951002">
      <w:bodyDiv w:val="1"/>
      <w:marLeft w:val="0"/>
      <w:marRight w:val="0"/>
      <w:marTop w:val="0"/>
      <w:marBottom w:val="0"/>
      <w:divBdr>
        <w:top w:val="none" w:sz="0" w:space="0" w:color="auto"/>
        <w:left w:val="none" w:sz="0" w:space="0" w:color="auto"/>
        <w:bottom w:val="none" w:sz="0" w:space="0" w:color="auto"/>
        <w:right w:val="none" w:sz="0" w:space="0" w:color="auto"/>
      </w:divBdr>
    </w:div>
    <w:div w:id="1830247324">
      <w:bodyDiv w:val="1"/>
      <w:marLeft w:val="0"/>
      <w:marRight w:val="0"/>
      <w:marTop w:val="0"/>
      <w:marBottom w:val="0"/>
      <w:divBdr>
        <w:top w:val="none" w:sz="0" w:space="0" w:color="auto"/>
        <w:left w:val="none" w:sz="0" w:space="0" w:color="auto"/>
        <w:bottom w:val="none" w:sz="0" w:space="0" w:color="auto"/>
        <w:right w:val="none" w:sz="0" w:space="0" w:color="auto"/>
      </w:divBdr>
      <w:divsChild>
        <w:div w:id="367266971">
          <w:marLeft w:val="0"/>
          <w:marRight w:val="0"/>
          <w:marTop w:val="0"/>
          <w:marBottom w:val="0"/>
          <w:divBdr>
            <w:top w:val="none" w:sz="0" w:space="0" w:color="auto"/>
            <w:left w:val="none" w:sz="0" w:space="0" w:color="auto"/>
            <w:bottom w:val="none" w:sz="0" w:space="0" w:color="auto"/>
            <w:right w:val="none" w:sz="0" w:space="0" w:color="auto"/>
          </w:divBdr>
        </w:div>
        <w:div w:id="382801631">
          <w:marLeft w:val="0"/>
          <w:marRight w:val="0"/>
          <w:marTop w:val="0"/>
          <w:marBottom w:val="0"/>
          <w:divBdr>
            <w:top w:val="none" w:sz="0" w:space="0" w:color="auto"/>
            <w:left w:val="none" w:sz="0" w:space="0" w:color="auto"/>
            <w:bottom w:val="none" w:sz="0" w:space="0" w:color="auto"/>
            <w:right w:val="none" w:sz="0" w:space="0" w:color="auto"/>
          </w:divBdr>
        </w:div>
      </w:divsChild>
    </w:div>
    <w:div w:id="1839341818">
      <w:bodyDiv w:val="1"/>
      <w:marLeft w:val="0"/>
      <w:marRight w:val="0"/>
      <w:marTop w:val="0"/>
      <w:marBottom w:val="0"/>
      <w:divBdr>
        <w:top w:val="none" w:sz="0" w:space="0" w:color="auto"/>
        <w:left w:val="none" w:sz="0" w:space="0" w:color="auto"/>
        <w:bottom w:val="none" w:sz="0" w:space="0" w:color="auto"/>
        <w:right w:val="none" w:sz="0" w:space="0" w:color="auto"/>
      </w:divBdr>
    </w:div>
    <w:div w:id="1960641404">
      <w:bodyDiv w:val="1"/>
      <w:marLeft w:val="0"/>
      <w:marRight w:val="0"/>
      <w:marTop w:val="0"/>
      <w:marBottom w:val="0"/>
      <w:divBdr>
        <w:top w:val="none" w:sz="0" w:space="0" w:color="auto"/>
        <w:left w:val="none" w:sz="0" w:space="0" w:color="auto"/>
        <w:bottom w:val="none" w:sz="0" w:space="0" w:color="auto"/>
        <w:right w:val="none" w:sz="0" w:space="0" w:color="auto"/>
      </w:divBdr>
    </w:div>
    <w:div w:id="2066172201">
      <w:bodyDiv w:val="1"/>
      <w:marLeft w:val="0"/>
      <w:marRight w:val="0"/>
      <w:marTop w:val="0"/>
      <w:marBottom w:val="0"/>
      <w:divBdr>
        <w:top w:val="none" w:sz="0" w:space="0" w:color="auto"/>
        <w:left w:val="none" w:sz="0" w:space="0" w:color="auto"/>
        <w:bottom w:val="none" w:sz="0" w:space="0" w:color="auto"/>
        <w:right w:val="none" w:sz="0" w:space="0" w:color="auto"/>
      </w:divBdr>
    </w:div>
    <w:div w:id="2070372481">
      <w:bodyDiv w:val="1"/>
      <w:marLeft w:val="0"/>
      <w:marRight w:val="0"/>
      <w:marTop w:val="0"/>
      <w:marBottom w:val="0"/>
      <w:divBdr>
        <w:top w:val="none" w:sz="0" w:space="0" w:color="auto"/>
        <w:left w:val="none" w:sz="0" w:space="0" w:color="auto"/>
        <w:bottom w:val="none" w:sz="0" w:space="0" w:color="auto"/>
        <w:right w:val="none" w:sz="0" w:space="0" w:color="auto"/>
      </w:divBdr>
      <w:divsChild>
        <w:div w:id="1705444427">
          <w:marLeft w:val="0"/>
          <w:marRight w:val="0"/>
          <w:marTop w:val="0"/>
          <w:marBottom w:val="0"/>
          <w:divBdr>
            <w:top w:val="none" w:sz="0" w:space="0" w:color="auto"/>
            <w:left w:val="none" w:sz="0" w:space="0" w:color="auto"/>
            <w:bottom w:val="none" w:sz="0" w:space="0" w:color="auto"/>
            <w:right w:val="none" w:sz="0" w:space="0" w:color="auto"/>
          </w:divBdr>
        </w:div>
        <w:div w:id="99129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nvgl.com/marit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arine.mandieselturbo.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Desktop\Convegni\NAV%202018\LESS\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htt18</b:Tag>
    <b:SourceType>InternetSite</b:SourceType>
    <b:Guid>{22625F80-0514-402A-B3F2-F8A040E9264E}</b:Guid>
    <b:InternetSiteTitle>https://www.dieselnet.com/standards/inter/imo.php</b:InternetSiteTitle>
    <b:YearAccessed>2018</b:YearAccessed>
    <b:RefOrder>1</b:RefOrder>
  </b:Source>
</b:Sources>
</file>

<file path=customXml/itemProps1.xml><?xml version="1.0" encoding="utf-8"?>
<ds:datastoreItem xmlns:ds="http://schemas.openxmlformats.org/officeDocument/2006/customXml" ds:itemID="{35C67607-0213-47BC-97AC-F0FF70A0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122</TotalTime>
  <Pages>1</Pages>
  <Words>3465</Words>
  <Characters>19752</Characters>
  <Application>Microsoft Office Word</Application>
  <DocSecurity>0</DocSecurity>
  <Lines>164</Lines>
  <Paragraphs>46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Paolo Pinamonti</dc:creator>
  <cp:keywords/>
  <cp:lastModifiedBy>Luca</cp:lastModifiedBy>
  <cp:revision>16</cp:revision>
  <cp:lastPrinted>2018-03-29T14:13:00Z</cp:lastPrinted>
  <dcterms:created xsi:type="dcterms:W3CDTF">2018-03-28T18:50:00Z</dcterms:created>
  <dcterms:modified xsi:type="dcterms:W3CDTF">2018-03-29T14:13:00Z</dcterms:modified>
</cp:coreProperties>
</file>