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66C1" w14:textId="01FD4CF8" w:rsidR="000238CA" w:rsidRPr="009556B6" w:rsidRDefault="00F05EA4" w:rsidP="009556B6">
      <w:pPr>
        <w:pStyle w:val="Titolo"/>
      </w:pPr>
      <w:r w:rsidRPr="00674F6F">
        <w:t xml:space="preserve">Climate changes and maritime </w:t>
      </w:r>
      <w:r w:rsidRPr="009556B6">
        <w:t>transportation</w:t>
      </w:r>
      <w:r w:rsidRPr="00674F6F">
        <w:t>: a state of the art</w:t>
      </w:r>
    </w:p>
    <w:p w14:paraId="6177EC14" w14:textId="5F1AC110" w:rsidR="000238CA" w:rsidRPr="00FF55EE" w:rsidRDefault="00AF6C01" w:rsidP="00263B7E">
      <w:pPr>
        <w:pStyle w:val="Author"/>
        <w:rPr>
          <w:lang w:val="it-IT"/>
        </w:rPr>
      </w:pPr>
      <w:r w:rsidRPr="00FF55EE">
        <w:rPr>
          <w:lang w:val="it-IT"/>
        </w:rPr>
        <w:t xml:space="preserve">Luigia </w:t>
      </w:r>
      <w:r w:rsidR="000B3B46">
        <w:rPr>
          <w:lang w:val="it-IT"/>
        </w:rPr>
        <w:t>MOCERINO</w:t>
      </w:r>
      <w:r w:rsidR="000B3B46" w:rsidRPr="00FF55EE">
        <w:rPr>
          <w:vertAlign w:val="superscript"/>
          <w:lang w:val="it-IT"/>
        </w:rPr>
        <w:t>a</w:t>
      </w:r>
      <w:r w:rsidR="00F05EA4" w:rsidRPr="00FF55EE">
        <w:rPr>
          <w:lang w:val="it-IT"/>
        </w:rPr>
        <w:t xml:space="preserve">, Franco </w:t>
      </w:r>
      <w:r w:rsidR="000B3B46">
        <w:rPr>
          <w:lang w:val="it-IT"/>
        </w:rPr>
        <w:t>QUARANTA</w:t>
      </w:r>
      <w:r w:rsidR="000B3B46" w:rsidRPr="00FF55EE">
        <w:rPr>
          <w:vertAlign w:val="superscript"/>
          <w:lang w:val="it-IT"/>
        </w:rPr>
        <w:t>a</w:t>
      </w:r>
      <w:r w:rsidR="000B3B46" w:rsidRPr="00FF55EE">
        <w:rPr>
          <w:lang w:val="it-IT"/>
        </w:rPr>
        <w:t xml:space="preserve"> </w:t>
      </w:r>
      <w:r w:rsidR="00F05EA4" w:rsidRPr="00FF55EE">
        <w:rPr>
          <w:lang w:val="it-IT"/>
        </w:rPr>
        <w:t xml:space="preserve">and </w:t>
      </w:r>
      <w:r w:rsidRPr="00FF55EE">
        <w:rPr>
          <w:lang w:val="it-IT"/>
        </w:rPr>
        <w:t xml:space="preserve">Enrico </w:t>
      </w:r>
      <w:r w:rsidR="000B3B46" w:rsidRPr="00FF55EE">
        <w:rPr>
          <w:lang w:val="it-IT"/>
        </w:rPr>
        <w:t>R</w:t>
      </w:r>
      <w:r w:rsidR="000B3B46">
        <w:rPr>
          <w:lang w:val="it-IT"/>
        </w:rPr>
        <w:t>IZZUTO</w:t>
      </w:r>
      <w:r w:rsidR="000B3B46" w:rsidRPr="00FF55EE">
        <w:rPr>
          <w:vertAlign w:val="superscript"/>
          <w:lang w:val="it-IT"/>
        </w:rPr>
        <w:t>a</w:t>
      </w:r>
      <w:r w:rsidR="000B3B46">
        <w:rPr>
          <w:vertAlign w:val="superscript"/>
          <w:lang w:val="it-IT"/>
        </w:rPr>
        <w:t>1</w:t>
      </w:r>
      <w:r w:rsidR="000B3B46" w:rsidRPr="00FF55EE" w:rsidDel="00AF6C01">
        <w:rPr>
          <w:lang w:val="it-IT"/>
        </w:rPr>
        <w:t xml:space="preserve"> </w:t>
      </w:r>
    </w:p>
    <w:p w14:paraId="50A89FBE" w14:textId="26241382" w:rsidR="000238CA" w:rsidRDefault="00F05EA4" w:rsidP="00263B7E">
      <w:r>
        <w:rPr>
          <w:vertAlign w:val="superscript"/>
        </w:rPr>
        <w:t>a</w:t>
      </w:r>
      <w:r>
        <w:rPr>
          <w:sz w:val="8"/>
          <w:szCs w:val="8"/>
        </w:rPr>
        <w:t xml:space="preserve"> </w:t>
      </w:r>
      <w:r w:rsidRPr="000B3B46">
        <w:rPr>
          <w:i/>
        </w:rPr>
        <w:t>Dep</w:t>
      </w:r>
      <w:r w:rsidR="00AF6C01" w:rsidRPr="000B3B46">
        <w:rPr>
          <w:i/>
        </w:rPr>
        <w:t>t.</w:t>
      </w:r>
      <w:r w:rsidRPr="000B3B46">
        <w:rPr>
          <w:i/>
        </w:rPr>
        <w:t xml:space="preserve"> of Industrial Engineering</w:t>
      </w:r>
      <w:r w:rsidR="00AF6C01" w:rsidRPr="000B3B46">
        <w:rPr>
          <w:i/>
        </w:rPr>
        <w:t>,</w:t>
      </w:r>
      <w:r w:rsidRPr="000B3B46">
        <w:rPr>
          <w:i/>
        </w:rPr>
        <w:t xml:space="preserve"> University of Naples “Federico II”, Italy</w:t>
      </w:r>
    </w:p>
    <w:p w14:paraId="117A4A8D" w14:textId="3A01826B" w:rsidR="000238CA" w:rsidRDefault="00F05EA4" w:rsidP="009556B6">
      <w:pPr>
        <w:pStyle w:val="Abstract"/>
      </w:pPr>
      <w:r>
        <w:rPr>
          <w:b/>
        </w:rPr>
        <w:t>Abstract.</w:t>
      </w:r>
      <w:r>
        <w:t xml:space="preserve"> In the next years, the worldwide fleet will be called to adopt drastic measures to reduce their emissions of pollutants. In order to comply with the Paris Agreement and keep the average increase in the earth’s temperature below 2</w:t>
      </w:r>
      <w:r>
        <w:rPr>
          <w:vertAlign w:val="superscript"/>
        </w:rPr>
        <w:t>O</w:t>
      </w:r>
      <w:r>
        <w:t xml:space="preserve">C, anthropogenic emissions will have to drop significantly from 2020 onwards. Maritime transportation plays an important role in these policies. At the end of 2018, the </w:t>
      </w:r>
      <w:r w:rsidR="00263B7E" w:rsidRPr="00A04AE2">
        <w:rPr>
          <w:i/>
        </w:rPr>
        <w:t>United Nations Framework Convention on Climate Change</w:t>
      </w:r>
      <w:r w:rsidR="00263B7E" w:rsidRPr="00263B7E">
        <w:t xml:space="preserve"> </w:t>
      </w:r>
      <w:r w:rsidR="00401A26">
        <w:t>(</w:t>
      </w:r>
      <w:r w:rsidR="00263B7E">
        <w:t>UNFCC</w:t>
      </w:r>
      <w:r w:rsidR="00401A26">
        <w:t xml:space="preserve">) </w:t>
      </w:r>
      <w:r>
        <w:t xml:space="preserve">expects the IMO to communicate its intentions regarding the Paris Agreement. During the last session of MEPC71 guidelines have been set for the purpose. While waiting for regulatory updates in the maritime world, the study aims at interpreting the present position of IMO on the subject within the framework set by the IPCC’s last Assessment Report, AR5. The </w:t>
      </w:r>
      <w:r w:rsidR="00102BB0">
        <w:t>T</w:t>
      </w:r>
      <w:r>
        <w:t>hird IMO study on GHG</w:t>
      </w:r>
      <w:r w:rsidR="00102BB0">
        <w:t xml:space="preserve"> (3</w:t>
      </w:r>
      <w:r w:rsidR="00102BB0" w:rsidRPr="00D816B7">
        <w:rPr>
          <w:sz w:val="18"/>
          <w:vertAlign w:val="superscript"/>
        </w:rPr>
        <w:t>O</w:t>
      </w:r>
      <w:r w:rsidR="00102BB0">
        <w:t xml:space="preserve"> IMO-GHG’s)</w:t>
      </w:r>
      <w:r>
        <w:t xml:space="preserve"> </w:t>
      </w:r>
      <w:r w:rsidR="00AF6C01">
        <w:t>is</w:t>
      </w:r>
      <w:r>
        <w:t xml:space="preserve"> </w:t>
      </w:r>
      <w:r w:rsidR="00706AFD">
        <w:t>analyzed</w:t>
      </w:r>
      <w:r>
        <w:t xml:space="preserve"> in details, covering the inventory for the period 2007 to 2012 of GHG and of non-GHG emissions in the world’s fleet and the forecast scenario for years 2012 to</w:t>
      </w:r>
      <w:r w:rsidR="00423F42">
        <w:t xml:space="preserve"> </w:t>
      </w:r>
      <w:r>
        <w:t xml:space="preserve">2050. A last part of the work will concern the effects of these pollutants, with reference to the impact on human health and on environment. </w:t>
      </w:r>
    </w:p>
    <w:p w14:paraId="340E3D03" w14:textId="5396D04F" w:rsidR="000238CA" w:rsidRDefault="00F05EA4" w:rsidP="009556B6">
      <w:pPr>
        <w:pStyle w:val="Keywords"/>
        <w:rPr>
          <w:szCs w:val="16"/>
        </w:rPr>
      </w:pPr>
      <w:r>
        <w:rPr>
          <w:b/>
          <w:szCs w:val="16"/>
        </w:rPr>
        <w:t>Keywords.</w:t>
      </w:r>
      <w:r>
        <w:rPr>
          <w:szCs w:val="16"/>
        </w:rPr>
        <w:t xml:space="preserve"> </w:t>
      </w:r>
      <w:r w:rsidRPr="001308EB">
        <w:t>Climate change, maritime sector</w:t>
      </w:r>
      <w:r w:rsidR="00AF6C01">
        <w:t>, Green House Gases, CO</w:t>
      </w:r>
      <w:r w:rsidR="00AF6C01" w:rsidRPr="00AF6C01">
        <w:rPr>
          <w:vertAlign w:val="subscript"/>
        </w:rPr>
        <w:t>2</w:t>
      </w:r>
      <w:r w:rsidR="00AF6C01">
        <w:t xml:space="preserve"> and CO</w:t>
      </w:r>
      <w:r w:rsidR="00AF6C01" w:rsidRPr="00AF6C01">
        <w:rPr>
          <w:vertAlign w:val="subscript"/>
        </w:rPr>
        <w:t>2eq</w:t>
      </w:r>
      <w:r w:rsidR="00AF6C01">
        <w:t xml:space="preserve"> emissions </w:t>
      </w:r>
      <w:r>
        <w:rPr>
          <w:szCs w:val="16"/>
        </w:rPr>
        <w:t xml:space="preserve"> </w:t>
      </w:r>
    </w:p>
    <w:p w14:paraId="2147599C" w14:textId="033A1151" w:rsidR="000238CA" w:rsidRPr="001308EB" w:rsidRDefault="00D558F1" w:rsidP="00110FA8">
      <w:pPr>
        <w:pStyle w:val="Titolo1"/>
      </w:pPr>
      <w:r>
        <w:t xml:space="preserve">1. </w:t>
      </w:r>
      <w:r w:rsidR="00F05EA4" w:rsidRPr="001308EB">
        <w:t xml:space="preserve">Introduction </w:t>
      </w:r>
    </w:p>
    <w:p w14:paraId="49456E05" w14:textId="73A6EFE6" w:rsidR="000238CA" w:rsidRDefault="00F05EA4" w:rsidP="00B43168">
      <w:pPr>
        <w:ind w:firstLine="0"/>
      </w:pPr>
      <w:r w:rsidRPr="001308EB">
        <w:t xml:space="preserve">Human activities play a fundamental role in climate changes. The production of carbon dioxide by anthropogenic activities is one of the main factors influencing climate variations on the Earth. The so-called greenhouse effect is the natural phenomenon by which a layer of </w:t>
      </w:r>
      <w:r w:rsidR="00263B7E" w:rsidRPr="00AF6C01">
        <w:rPr>
          <w:i/>
        </w:rPr>
        <w:t>greenhouse</w:t>
      </w:r>
      <w:r w:rsidRPr="00AF6C01">
        <w:rPr>
          <w:i/>
        </w:rPr>
        <w:t xml:space="preserve"> gases</w:t>
      </w:r>
      <w:r w:rsidRPr="001308EB">
        <w:t xml:space="preserve"> (GHG) placed in the upper atmosphere of the Earth prevents a part of the heath of the earth from being radiated into space. The heath balance between the incoming solar radiation (which is not affected by the GHG layer) and the outgoing radiation has been altered by the introduction into the atmosphere of pollutants related to human activities.</w:t>
      </w:r>
      <w:r w:rsidR="00102BB0">
        <w:t xml:space="preserve"> </w:t>
      </w:r>
      <w:r w:rsidRPr="001308EB">
        <w:t>Agriculture, industry, energy production and transportation are just some activities intrinsically determining pollution, contamination and alteration of the natural habitat and influencing the energy balance of the climate system. Economic development and population growth imply important increases in anthropogenic greenhouse gas emission. The concentration of carbon dioxide, methane and nitrous oxide in the atmosphere are at the highest level in the last 800.000 years, although man is among the most recent causes of these climatic changes [1]. The continuous emission of GHG</w:t>
      </w:r>
      <w:r>
        <w:t xml:space="preserve"> will only increase the several and negative effects, with changes that could be irreversible in the long term for people and for the terrestrial ecosystem. As Anderson et al.</w:t>
      </w:r>
      <w:r w:rsidR="001308EB">
        <w:t xml:space="preserve"> </w:t>
      </w:r>
      <w:r>
        <w:t>[2] report, the global emission of CO</w:t>
      </w:r>
      <w:r w:rsidRPr="00706AFD">
        <w:rPr>
          <w:vertAlign w:val="subscript"/>
        </w:rPr>
        <w:t>2</w:t>
      </w:r>
      <w:r>
        <w:t xml:space="preserve"> in 2011, year of economic crisis for many industrialized nations, has increased by 3.2% compared to 2010. In the context of climate </w:t>
      </w:r>
      <w:r>
        <w:lastRenderedPageBreak/>
        <w:t>changes, Greenhouse gases are those emissions that contribute together, although in a different way, to climate change. The following updated list of the main GHG gases has been published in an amendment to the Kyoto Protocol [3]: Carbon dioxide (CO</w:t>
      </w:r>
      <w:r>
        <w:rPr>
          <w:vertAlign w:val="subscript"/>
        </w:rPr>
        <w:t>2</w:t>
      </w:r>
      <w:r>
        <w:t>), Methane (CH</w:t>
      </w:r>
      <w:r>
        <w:rPr>
          <w:vertAlign w:val="subscript"/>
        </w:rPr>
        <w:t>4</w:t>
      </w:r>
      <w:r>
        <w:t>), Nitrous oxide (N</w:t>
      </w:r>
      <w:r>
        <w:rPr>
          <w:vertAlign w:val="subscript"/>
        </w:rPr>
        <w:t>2</w:t>
      </w:r>
      <w:r>
        <w:t>O, Hydrofluorocarbons (HFCs), Perfluorocarbons (PFCs), Sulphur Hexafluoride (SF</w:t>
      </w:r>
      <w:r>
        <w:rPr>
          <w:vertAlign w:val="subscript"/>
        </w:rPr>
        <w:t>6</w:t>
      </w:r>
      <w:r>
        <w:t>) and Nitrogen Trifluoride (NF</w:t>
      </w:r>
      <w:r>
        <w:rPr>
          <w:vertAlign w:val="subscript"/>
        </w:rPr>
        <w:t>3</w:t>
      </w:r>
      <w:r>
        <w:t xml:space="preserve">), carbon dioxide being certainly the main contributor among these. The </w:t>
      </w:r>
      <w:r w:rsidR="001308EB">
        <w:t>so-called</w:t>
      </w:r>
      <w:r>
        <w:t xml:space="preserve"> CO</w:t>
      </w:r>
      <w:r w:rsidRPr="00F82058">
        <w:rPr>
          <w:vertAlign w:val="subscript"/>
        </w:rPr>
        <w:t>2eq</w:t>
      </w:r>
      <w:r>
        <w:t xml:space="preserve"> is used to weight the impact of all these seven gases on global warming, this quantity converting the emissions in terms of various other gases into an amount of carbon dioxide producing an equivalent GH effect in the time unit. Other non-GHG emissions are relevant from the viewpoint of environmental impact, especially in the transport sector, in addition to the GHG: oxides of Nitrogen and Sulphur, Particulate Matter (PM) and Volatile Organic Compound (VOC), produce a different effect at a local level on the air quality and a negative impact on human health. Almost 70% of ship emissions, in fact, are generated within 400 km of coastlines, leading to reduced air quality in coastal areas and harbors [4].</w:t>
      </w:r>
    </w:p>
    <w:p w14:paraId="079A8013" w14:textId="3B148FF6" w:rsidR="000238CA" w:rsidRPr="001308EB" w:rsidRDefault="00D558F1" w:rsidP="00110FA8">
      <w:pPr>
        <w:pStyle w:val="Titolo1"/>
      </w:pPr>
      <w:r>
        <w:t xml:space="preserve">2. </w:t>
      </w:r>
      <w:r w:rsidR="00F05EA4" w:rsidRPr="001308EB">
        <w:t>The Paris agreement</w:t>
      </w:r>
    </w:p>
    <w:p w14:paraId="7E63ABEA" w14:textId="258208D3" w:rsidR="00C10CDF" w:rsidRDefault="00F05EA4" w:rsidP="009556B6">
      <w:pPr>
        <w:ind w:firstLine="0"/>
      </w:pPr>
      <w:r w:rsidRPr="001308EB">
        <w:t>The Paris Climate conference, COP21, gave a strong impulse to global policies aimed at reducing GHG emissions into the atmosphere. Result of this was the first universal and legally binding agreement of the world on the subject, known as “Paris Agreement”. The ratification began on 22 April 2016 and the same will enter into force from 2020, only after at least 55 countries, responsible for more than 55% of global emission, will have signed it. The agreement includes [5]:</w:t>
      </w:r>
    </w:p>
    <w:p w14:paraId="47605686" w14:textId="001D4091" w:rsidR="000238CA" w:rsidRPr="009556B6" w:rsidRDefault="00F05EA4" w:rsidP="009556B6">
      <w:pPr>
        <w:pStyle w:val="elencopuntatoNAV"/>
      </w:pPr>
      <w:r w:rsidRPr="009556B6">
        <w:t>Long-term objectives aimed at maintaining the average increase in global temperature below 2°C compared to pre-industrial level</w:t>
      </w:r>
    </w:p>
    <w:p w14:paraId="55E41FB4" w14:textId="7F3D2113" w:rsidR="000238CA" w:rsidRPr="009556B6" w:rsidRDefault="00F05EA4" w:rsidP="009556B6">
      <w:pPr>
        <w:pStyle w:val="elencopuntatoNAV"/>
      </w:pPr>
      <w:r w:rsidRPr="009556B6">
        <w:t>Strategic plans: aimed at maintaining these values preferably close to 1.5°C</w:t>
      </w:r>
    </w:p>
    <w:p w14:paraId="2BA1321B" w14:textId="77777777" w:rsidR="000238CA" w:rsidRPr="009556B6" w:rsidRDefault="00F05EA4" w:rsidP="009556B6">
      <w:pPr>
        <w:pStyle w:val="elencopuntatoNAV"/>
      </w:pPr>
      <w:r w:rsidRPr="009556B6">
        <w:t>Attention to developing countries: more benefits for this countries and a general willingness to reach the maximum values of global emission as soon as possible</w:t>
      </w:r>
    </w:p>
    <w:p w14:paraId="620BF6FF" w14:textId="672AD50E" w:rsidR="000238CA" w:rsidRPr="009556B6" w:rsidRDefault="00F05EA4" w:rsidP="009556B6">
      <w:pPr>
        <w:pStyle w:val="elencopuntatoNAV"/>
      </w:pPr>
      <w:r w:rsidRPr="009556B6">
        <w:t>Research and innovation: in order to continue with rapid successive reductions, after reaching this maximum value, using the most advanced scientific and technological solutions</w:t>
      </w:r>
    </w:p>
    <w:p w14:paraId="000F6F87" w14:textId="6E7D00C2" w:rsidR="000238CA" w:rsidRPr="009556B6" w:rsidRDefault="00F05EA4" w:rsidP="009556B6">
      <w:pPr>
        <w:pStyle w:val="elencopuntatoNAV"/>
      </w:pPr>
      <w:r w:rsidRPr="009556B6">
        <w:t>Cooperation: obligation for richer countries to subsidize poor ones with a “green climate fund” of $100 billion a year, starting in 2020, to help them reduce emission</w:t>
      </w:r>
    </w:p>
    <w:p w14:paraId="6B364E2E" w14:textId="77777777" w:rsidR="000238CA" w:rsidRPr="00401A26" w:rsidRDefault="00F05EA4" w:rsidP="009556B6">
      <w:pPr>
        <w:pStyle w:val="elencopuntatoNAV"/>
      </w:pPr>
      <w:r w:rsidRPr="009556B6">
        <w:t>Monitoring</w:t>
      </w:r>
      <w:r w:rsidRPr="00401A26">
        <w:t xml:space="preserve"> five-year checks starting from 2023.  </w:t>
      </w:r>
    </w:p>
    <w:p w14:paraId="59842488" w14:textId="1DCF12E5" w:rsidR="000238CA" w:rsidRDefault="00D558F1" w:rsidP="00110FA8">
      <w:pPr>
        <w:pStyle w:val="Titolo1"/>
      </w:pPr>
      <w:r>
        <w:t xml:space="preserve">3. </w:t>
      </w:r>
      <w:r w:rsidR="00F05EA4">
        <w:t>Climate change</w:t>
      </w:r>
      <w:r w:rsidR="004E1F63">
        <w:t>s</w:t>
      </w:r>
      <w:r w:rsidR="00F05EA4">
        <w:t>: transport sect</w:t>
      </w:r>
      <w:r w:rsidR="004E1F63">
        <w:t>or</w:t>
      </w:r>
      <w:r w:rsidR="00F05EA4">
        <w:t xml:space="preserve"> and action</w:t>
      </w:r>
      <w:r w:rsidR="004E1F63">
        <w:t>s by</w:t>
      </w:r>
      <w:r w:rsidR="00F05EA4">
        <w:t xml:space="preserve"> IMO </w:t>
      </w:r>
    </w:p>
    <w:p w14:paraId="4557A776" w14:textId="0556DDCB" w:rsidR="00C10CDF" w:rsidRDefault="00F05EA4" w:rsidP="00AA0815">
      <w:pPr>
        <w:ind w:firstLine="0"/>
      </w:pPr>
      <w:r w:rsidRPr="001308EB">
        <w:t>The effects of the Paris agreement will influence all sectors of human activity, in particular that of transports.</w:t>
      </w:r>
      <w:r w:rsidR="00FF55EE" w:rsidRPr="001308EB">
        <w:t xml:space="preserve"> </w:t>
      </w:r>
      <w:r w:rsidR="00706AFD" w:rsidRPr="001308EB">
        <w:t>I</w:t>
      </w:r>
      <w:r w:rsidRPr="001308EB">
        <w:t>ndeed, this sector, will not be exempt in the next few years by the need to develop policies aimed to contain emissions in the next years</w:t>
      </w:r>
      <w:r w:rsidR="00423F42">
        <w:t xml:space="preserve"> </w:t>
      </w:r>
      <w:r w:rsidRPr="001308EB">
        <w:t xml:space="preserve">[6]. Given the latest [1] </w:t>
      </w:r>
      <w:r w:rsidR="00263B7E" w:rsidRPr="00AF6C01">
        <w:rPr>
          <w:i/>
        </w:rPr>
        <w:t>Intergovernmental Panel on Climate Change</w:t>
      </w:r>
      <w:r w:rsidR="00263B7E" w:rsidRPr="001308EB">
        <w:t xml:space="preserve"> </w:t>
      </w:r>
      <w:r w:rsidRPr="001308EB">
        <w:t>(</w:t>
      </w:r>
      <w:r w:rsidR="00263B7E" w:rsidRPr="001308EB">
        <w:t>IPCC</w:t>
      </w:r>
      <w:r w:rsidRPr="001308EB">
        <w:t>) report- AR5- in 2010 about 23% of CO</w:t>
      </w:r>
      <w:r w:rsidRPr="00423F42">
        <w:rPr>
          <w:vertAlign w:val="subscript"/>
        </w:rPr>
        <w:t>2</w:t>
      </w:r>
      <w:r w:rsidRPr="001308EB">
        <w:t xml:space="preserve"> emission is due to transports; the estimated quantities are as large as  6.7 Gt of CO</w:t>
      </w:r>
      <w:r w:rsidRPr="00423F42">
        <w:rPr>
          <w:vertAlign w:val="subscript"/>
        </w:rPr>
        <w:t>2</w:t>
      </w:r>
      <w:r w:rsidRPr="001308EB">
        <w:t xml:space="preserve"> and 7.0 Gt of CO</w:t>
      </w:r>
      <w:r w:rsidRPr="00423F42">
        <w:rPr>
          <w:vertAlign w:val="subscript"/>
        </w:rPr>
        <w:t>2eq</w:t>
      </w:r>
      <w:r w:rsidRPr="001308EB">
        <w:t xml:space="preserve"> . This percentage is stable compared to the data of 2004 when, however, the emissions related to transports were of 6.3 Gt CO</w:t>
      </w:r>
      <w:r w:rsidRPr="00423F42">
        <w:rPr>
          <w:vertAlign w:val="subscript"/>
        </w:rPr>
        <w:t>2</w:t>
      </w:r>
      <w:r w:rsidRPr="001308EB">
        <w:t xml:space="preserve">. It is </w:t>
      </w:r>
      <w:r w:rsidRPr="001308EB">
        <w:lastRenderedPageBreak/>
        <w:t>therefore evident, simply by comparing this two data, that the policies adopted on a global scale and the improvement of vehicle efficiency did not achieve great results.</w:t>
      </w:r>
    </w:p>
    <w:p w14:paraId="1BA02EA2" w14:textId="41AFF27A" w:rsidR="000238CA" w:rsidRPr="00AA0815" w:rsidRDefault="00F05EA4" w:rsidP="00AA0815">
      <w:r w:rsidRPr="00AA0815">
        <w:t>The perception of the severity of these increases is amplified by comparing the quantities of 1970 with these of 2010: direct emission related to transport increased by 250%, going from 2.8 to 7.0 Gt CO</w:t>
      </w:r>
      <w:r w:rsidRPr="00735FD6">
        <w:rPr>
          <w:vertAlign w:val="subscript"/>
        </w:rPr>
        <w:t>2eq</w:t>
      </w:r>
      <w:r w:rsidRPr="00AA0815">
        <w:t xml:space="preserve">. In fact, the General Secretariat of the United Nations expects by both the </w:t>
      </w:r>
      <w:r w:rsidR="00263B7E" w:rsidRPr="007D5616">
        <w:rPr>
          <w:i/>
        </w:rPr>
        <w:t>International Maritime Organization</w:t>
      </w:r>
      <w:r w:rsidR="00263B7E" w:rsidRPr="00AA0815">
        <w:t xml:space="preserve"> </w:t>
      </w:r>
      <w:r w:rsidRPr="00AA0815">
        <w:t>(</w:t>
      </w:r>
      <w:r w:rsidR="00263B7E" w:rsidRPr="00AA0815">
        <w:t>IMO</w:t>
      </w:r>
      <w:r w:rsidR="00263B7E">
        <w:t>)</w:t>
      </w:r>
      <w:r w:rsidR="00263B7E" w:rsidRPr="00AA0815">
        <w:t xml:space="preserve"> </w:t>
      </w:r>
      <w:r w:rsidRPr="00AA0815">
        <w:t xml:space="preserve">and the </w:t>
      </w:r>
      <w:r w:rsidR="00263B7E" w:rsidRPr="007D5616">
        <w:rPr>
          <w:i/>
        </w:rPr>
        <w:t>International Civil Aviation Organization</w:t>
      </w:r>
      <w:r w:rsidR="00263B7E" w:rsidRPr="00263B7E">
        <w:t xml:space="preserve"> </w:t>
      </w:r>
      <w:r w:rsidRPr="00AA0815">
        <w:t>(</w:t>
      </w:r>
      <w:r w:rsidR="00263B7E" w:rsidRPr="00AA0815">
        <w:t>ICAO</w:t>
      </w:r>
      <w:r w:rsidRPr="00AA0815">
        <w:t>) incisive, pragmatic and urgent actions. With particular focus on maritime sector, on the upcoming IMO decisions in this respect, are</w:t>
      </w:r>
      <w:r w:rsidR="004E1F63" w:rsidRPr="00AA0815">
        <w:t xml:space="preserve"> in</w:t>
      </w:r>
      <w:r w:rsidRPr="00AA0815">
        <w:t xml:space="preserve"> the spotlight. That is clearly reflected in the “Negotiating text” for the Paris agreement, (UNFCC, Geneva Climate Change Conference</w:t>
      </w:r>
      <w:r w:rsidR="00BE1AD0" w:rsidRPr="00AA0815">
        <w:t xml:space="preserve">, </w:t>
      </w:r>
      <w:r w:rsidRPr="00AA0815">
        <w:t>February 2015) which states</w:t>
      </w:r>
      <w:r w:rsidR="00423F42" w:rsidRPr="00AA0815">
        <w:t xml:space="preserve"> </w:t>
      </w:r>
      <w:r w:rsidRPr="00AA0815">
        <w:t>[7]:</w:t>
      </w:r>
    </w:p>
    <w:p w14:paraId="0C6D9AB7" w14:textId="77777777" w:rsidR="00114F8D" w:rsidRDefault="00F05EA4" w:rsidP="00114F8D">
      <w:r w:rsidRPr="001308EB">
        <w:t xml:space="preserve"> “In meeting the 2°C objective, Parties agree on the need for global sectorial emission reduction targets for international aviation and maritime transport and on the need for all Parties to work through the International Civil FCCC/ADP/2015/1 19 Aviation Organization and the </w:t>
      </w:r>
      <w:r w:rsidRPr="007D5616">
        <w:rPr>
          <w:i/>
        </w:rPr>
        <w:t>International Maritime Organization</w:t>
      </w:r>
      <w:r w:rsidRPr="001308EB">
        <w:t xml:space="preserve"> to develop global policy frameworks to achieve these targets”. </w:t>
      </w:r>
    </w:p>
    <w:p w14:paraId="15DB210B" w14:textId="4CF820DC" w:rsidR="000238CA" w:rsidRDefault="00F05EA4" w:rsidP="00114F8D">
      <w:r w:rsidRPr="001308EB">
        <w:t xml:space="preserve">The </w:t>
      </w:r>
      <w:r w:rsidR="00263B7E" w:rsidRPr="007D5616">
        <w:rPr>
          <w:i/>
        </w:rPr>
        <w:t>Commission for the Protection of the Marine Environment</w:t>
      </w:r>
      <w:r w:rsidR="00263B7E" w:rsidRPr="001308EB" w:rsidDel="00263B7E">
        <w:t xml:space="preserve"> </w:t>
      </w:r>
      <w:r w:rsidRPr="001308EB">
        <w:t>(</w:t>
      </w:r>
      <w:r w:rsidR="00263B7E" w:rsidRPr="001308EB">
        <w:t>MEPC</w:t>
      </w:r>
      <w:r w:rsidRPr="001308EB">
        <w:t xml:space="preserve">) continues to work on the MEPC70 roadmap developing medium and long-term strategies. The seventy-first session of the MEPC, held on 3 to 7 July 2017, was preceded by meetings of the working group ISWG-GHG (Intersession Meeting of the Working Group on reduction of the Green House Gases emission from ships). At the end of these meetings, the regulatory principles to be developed and a list of short/medium/long-term prevention measures to be applied were set. These strategies will need to be approved by MEPC72 in April 2018. </w:t>
      </w:r>
      <w:r>
        <w:t>The following are the recent IMO decisions in this respect [8] [9]:</w:t>
      </w:r>
    </w:p>
    <w:p w14:paraId="128F4DC9" w14:textId="5A26D8E5" w:rsidR="000238CA" w:rsidRPr="00AA0815" w:rsidRDefault="00F05EA4" w:rsidP="00466B63">
      <w:pPr>
        <w:pStyle w:val="elencopuntatoNAV"/>
      </w:pPr>
      <w:r w:rsidRPr="00AA0815">
        <w:t xml:space="preserve">Amendment to Annex VI of MARPOL 73/78 at the MEPC66 (2014); the amendments make mandatory the </w:t>
      </w:r>
      <w:r w:rsidR="00263B7E" w:rsidRPr="007D5616">
        <w:rPr>
          <w:i/>
        </w:rPr>
        <w:t>Energy Efficiency Design Index</w:t>
      </w:r>
      <w:r w:rsidR="00263B7E" w:rsidRPr="00AA0815" w:rsidDel="00263B7E">
        <w:t xml:space="preserve"> </w:t>
      </w:r>
      <w:r w:rsidRPr="00AA0815">
        <w:t>(</w:t>
      </w:r>
      <w:r w:rsidR="00263B7E" w:rsidRPr="00AA0815">
        <w:t>EEDI</w:t>
      </w:r>
      <w:r w:rsidRPr="00AA0815">
        <w:t xml:space="preserve">) for new ships and the </w:t>
      </w:r>
      <w:r w:rsidR="00263B7E" w:rsidRPr="007D5616">
        <w:rPr>
          <w:i/>
        </w:rPr>
        <w:t>Ship Energy Efficiency Management Plan</w:t>
      </w:r>
      <w:r w:rsidR="00263B7E" w:rsidRPr="00AA0815" w:rsidDel="00263B7E">
        <w:t xml:space="preserve"> </w:t>
      </w:r>
      <w:r w:rsidRPr="00AA0815">
        <w:t>(</w:t>
      </w:r>
      <w:r w:rsidR="00263B7E" w:rsidRPr="00AA0815">
        <w:t>SEEMP</w:t>
      </w:r>
      <w:r w:rsidRPr="00AA0815">
        <w:t>) for all ships</w:t>
      </w:r>
    </w:p>
    <w:p w14:paraId="1EA7C0A2" w14:textId="3CDC90EF" w:rsidR="000238CA" w:rsidRPr="00AA0815" w:rsidRDefault="00F05EA4">
      <w:pPr>
        <w:pStyle w:val="elencopuntatoNAV"/>
      </w:pPr>
      <w:r w:rsidRPr="00AA0815">
        <w:t>Amendment to Annex VI of MARPOL 73/78 at the MEPC66 (2014);</w:t>
      </w:r>
      <w:r w:rsidR="00423F42" w:rsidRPr="00AA0815">
        <w:t xml:space="preserve"> </w:t>
      </w:r>
      <w:r w:rsidRPr="00AA0815">
        <w:t xml:space="preserve">the amendments were adopted to extend the application scope of the EEDI to other five types of ships (LNG, Ro-Ro passenger/cargo, cruise passenger having non-conventional propulsion and vehicle carriers) [10]. </w:t>
      </w:r>
    </w:p>
    <w:p w14:paraId="2495CB90" w14:textId="0CE73C9A" w:rsidR="000238CA" w:rsidRPr="00466B63" w:rsidRDefault="00F05EA4">
      <w:pPr>
        <w:pStyle w:val="elencopuntatoNAV"/>
      </w:pPr>
      <w:r w:rsidRPr="00AA0815">
        <w:t xml:space="preserve">The MPEC70 (2016) ended with the following results: was formally adopted a mandatory data collection system for fuel consumption of ships; was agreed that an initial but comprehensive IMO strategy on reduction of GHG emission from ships should be adopted in 2018. Fixed </w:t>
      </w:r>
      <w:r w:rsidR="00423F42" w:rsidRPr="00AA0815">
        <w:t>first</w:t>
      </w:r>
      <w:r w:rsidRPr="00AA0815">
        <w:t xml:space="preserve"> of January 2020 as entry-into-force date of the 0.5% sulphur in marine fuel as allowed limit</w:t>
      </w:r>
      <w:r w:rsidR="00AD4063">
        <w:t>.</w:t>
      </w:r>
      <w:r w:rsidR="00423F42" w:rsidRPr="00AA0815">
        <w:t xml:space="preserve"> </w:t>
      </w:r>
      <w:r w:rsidRPr="00AA0815">
        <w:t xml:space="preserve">Under global data collection scheme to ships of 5000 gross tonnage and above will be required to collect consumption data for each type of fuel use as well as data relevant to energy efficiency. The aggregated annual data will be reported to the flag state that subsequently transfer this data to an IMO ship fuel consumption database. IMO will be required to produce annual report where individual </w:t>
      </w:r>
      <w:r w:rsidRPr="00466B63">
        <w:t>ship data will not be recognizable.</w:t>
      </w:r>
    </w:p>
    <w:p w14:paraId="21AF1C72" w14:textId="2F1620BD" w:rsidR="000238CA" w:rsidRDefault="00D558F1" w:rsidP="00110FA8">
      <w:pPr>
        <w:pStyle w:val="Titolo1"/>
      </w:pPr>
      <w:r>
        <w:lastRenderedPageBreak/>
        <w:t xml:space="preserve">4. </w:t>
      </w:r>
      <w:r w:rsidR="00F05EA4">
        <w:t xml:space="preserve">Fifth </w:t>
      </w:r>
      <w:r w:rsidR="00AB1A09">
        <w:t xml:space="preserve">IPCC </w:t>
      </w:r>
      <w:r w:rsidR="00F05EA4">
        <w:t xml:space="preserve">Assessment Report </w:t>
      </w:r>
    </w:p>
    <w:p w14:paraId="4D72DE48" w14:textId="77777777" w:rsidR="00F647B1" w:rsidRDefault="00F05EA4" w:rsidP="00AA0815">
      <w:pPr>
        <w:ind w:firstLine="0"/>
      </w:pPr>
      <w:r>
        <w:t>Approximately 90% of</w:t>
      </w:r>
      <w:r w:rsidR="00CE0374">
        <w:t xml:space="preserve"> the goods </w:t>
      </w:r>
      <w:r>
        <w:t xml:space="preserve">traded in the world </w:t>
      </w:r>
      <w:r w:rsidR="00CE0374">
        <w:t>are</w:t>
      </w:r>
      <w:r>
        <w:t xml:space="preserve"> transported by sea and for many countries such as Brazil, Chile or Peru maritime transport is the main source of imports and exports. </w:t>
      </w:r>
      <w:r w:rsidR="00CE0374">
        <w:t xml:space="preserve">In </w:t>
      </w:r>
      <w:r>
        <w:t>latest years the economic growth of the countries of the far-east</w:t>
      </w:r>
      <w:r w:rsidR="00CE0374" w:rsidRPr="00CE0374">
        <w:t xml:space="preserve"> </w:t>
      </w:r>
      <w:r w:rsidR="00CE0374">
        <w:t>has favored the increase in the amount of maritime traffic</w:t>
      </w:r>
      <w:r>
        <w:t xml:space="preserve">. </w:t>
      </w:r>
      <w:r w:rsidR="00CE0374">
        <w:t xml:space="preserve">In </w:t>
      </w:r>
      <w:r>
        <w:t>the chapter on transport of the last IPCC repo</w:t>
      </w:r>
      <w:r w:rsidR="00CE0374">
        <w:t>r</w:t>
      </w:r>
      <w:r>
        <w:t>t (AR5</w:t>
      </w:r>
      <w:r w:rsidR="00CE0374">
        <w:t>:</w:t>
      </w:r>
      <w:r>
        <w:t xml:space="preserve"> [11]</w:t>
      </w:r>
      <w:r w:rsidR="00CE0374">
        <w:t xml:space="preserve">) </w:t>
      </w:r>
      <w:r>
        <w:t>base year is 2010</w:t>
      </w:r>
      <w:r w:rsidR="00CE0374">
        <w:t xml:space="preserve">. </w:t>
      </w:r>
    </w:p>
    <w:p w14:paraId="4C11F781" w14:textId="6829D22F" w:rsidR="009E0E96" w:rsidRDefault="00CE0374" w:rsidP="00AA0815">
      <w:r>
        <w:t>A</w:t>
      </w:r>
      <w:r w:rsidR="00F05EA4">
        <w:t xml:space="preserve">s shown in Table 1, the maritime sector is </w:t>
      </w:r>
      <w:r>
        <w:t xml:space="preserve">responsible for the </w:t>
      </w:r>
      <w:r w:rsidR="00F05EA4">
        <w:t>global emission of CO</w:t>
      </w:r>
      <w:r w:rsidR="00F05EA4">
        <w:rPr>
          <w:vertAlign w:val="subscript"/>
        </w:rPr>
        <w:t>2eq</w:t>
      </w:r>
      <w:r w:rsidR="00F05EA4">
        <w:t xml:space="preserve"> </w:t>
      </w:r>
      <w:r>
        <w:t>for</w:t>
      </w:r>
      <w:r w:rsidR="00F05EA4">
        <w:t xml:space="preserve"> relatively low percentages compared to the other transportation modes (72% of the</w:t>
      </w:r>
      <w:r>
        <w:t xml:space="preserve"> same emission is</w:t>
      </w:r>
      <w:r w:rsidR="00F05EA4">
        <w:t xml:space="preserve"> caused by traffic road). </w:t>
      </w:r>
      <w:r>
        <w:t xml:space="preserve">Of the total contribution from shipping the share between domestic and international is also available in the dedicated documents. </w:t>
      </w:r>
      <w:r w:rsidR="00F05EA4">
        <w:t xml:space="preserve">Domestic shipping has been defined by the IMO as “shipping between ports of the same country in opposed to international shipping” [12]. This is consistent with the 2006 IPCC Guidelines. </w:t>
      </w:r>
    </w:p>
    <w:p w14:paraId="03E02788" w14:textId="2BEFC451" w:rsidR="009E0E96" w:rsidRPr="001308EB" w:rsidRDefault="00F05EA4" w:rsidP="009556B6">
      <w:pPr>
        <w:pStyle w:val="CaptionLong"/>
      </w:pPr>
      <w:r w:rsidRPr="007D5616">
        <w:rPr>
          <w:b/>
        </w:rPr>
        <w:t>Table 1</w:t>
      </w:r>
      <w:r>
        <w:rPr>
          <w:szCs w:val="16"/>
        </w:rPr>
        <w:t xml:space="preserve">. </w:t>
      </w:r>
      <w:r w:rsidRPr="00401A26">
        <w:t>Emissions of CO</w:t>
      </w:r>
      <w:r w:rsidRPr="00401A26">
        <w:rPr>
          <w:vertAlign w:val="subscript"/>
        </w:rPr>
        <w:t>2eq</w:t>
      </w:r>
      <w:r w:rsidR="00BE1AD0" w:rsidRPr="00401A26">
        <w:t xml:space="preserve"> </w:t>
      </w:r>
      <w:r w:rsidRPr="00401A26">
        <w:t xml:space="preserve">due to maritime transport (subdivided </w:t>
      </w:r>
      <w:r w:rsidRPr="00621EBB">
        <w:t xml:space="preserve">into domestic waterborne and international shipping) referred to 2011 according to the latest </w:t>
      </w:r>
      <w:r w:rsidR="00F647B1" w:rsidRPr="00621EBB">
        <w:t xml:space="preserve">IPCC </w:t>
      </w:r>
      <w:r w:rsidRPr="00621EBB">
        <w:t>report (AR5)</w:t>
      </w:r>
      <w:r w:rsidR="00401A26" w:rsidRPr="00621EBB">
        <w:t>.</w:t>
      </w:r>
      <w:r w:rsidR="00401A26" w:rsidRPr="00621EBB">
        <w:rPr>
          <w:b/>
        </w:rPr>
        <w:fldChar w:fldCharType="begin"/>
      </w:r>
      <w:r w:rsidR="00401A26" w:rsidRPr="00621EBB">
        <w:instrText xml:space="preserve"> REF _Ref509838252 \r \h </w:instrText>
      </w:r>
      <w:r w:rsidR="00621EBB" w:rsidRPr="00621EBB">
        <w:instrText xml:space="preserve"> \* MERGEFORMAT </w:instrText>
      </w:r>
      <w:r w:rsidR="00401A26" w:rsidRPr="00621EBB">
        <w:rPr>
          <w:b/>
        </w:rPr>
      </w:r>
      <w:r w:rsidR="00401A26" w:rsidRPr="00621EBB">
        <w:rPr>
          <w:b/>
        </w:rPr>
        <w:fldChar w:fldCharType="separate"/>
      </w:r>
      <w:r w:rsidR="00D54C3A">
        <w:t>[11]</w:t>
      </w:r>
      <w:r w:rsidR="00401A26" w:rsidRPr="00621EBB">
        <w:rPr>
          <w:b/>
        </w:rPr>
        <w:fldChar w:fldCharType="end"/>
      </w:r>
    </w:p>
    <w:tbl>
      <w:tblPr>
        <w:tblStyle w:val="a8"/>
        <w:tblW w:w="7030" w:type="dxa"/>
        <w:jc w:val="center"/>
        <w:tblInd w:w="0" w:type="dxa"/>
        <w:tblLayout w:type="fixed"/>
        <w:tblLook w:val="0000" w:firstRow="0" w:lastRow="0" w:firstColumn="0" w:lastColumn="0" w:noHBand="0" w:noVBand="0"/>
      </w:tblPr>
      <w:tblGrid>
        <w:gridCol w:w="2339"/>
        <w:gridCol w:w="2339"/>
        <w:gridCol w:w="2352"/>
      </w:tblGrid>
      <w:tr w:rsidR="000238CA" w14:paraId="1E86CCCB" w14:textId="77777777">
        <w:trPr>
          <w:jc w:val="center"/>
        </w:trPr>
        <w:tc>
          <w:tcPr>
            <w:tcW w:w="2340" w:type="dxa"/>
            <w:tcBorders>
              <w:top w:val="single" w:sz="4" w:space="0" w:color="000000"/>
              <w:bottom w:val="single" w:sz="4" w:space="0" w:color="000000"/>
            </w:tcBorders>
          </w:tcPr>
          <w:p w14:paraId="058AB826" w14:textId="77777777" w:rsidR="000238CA" w:rsidRPr="007D5616" w:rsidRDefault="00F05EA4" w:rsidP="007D5616">
            <w:pPr>
              <w:rPr>
                <w:sz w:val="16"/>
              </w:rPr>
            </w:pPr>
            <w:r w:rsidRPr="007D5616">
              <w:rPr>
                <w:sz w:val="16"/>
              </w:rPr>
              <w:t>Type of transport</w:t>
            </w:r>
          </w:p>
        </w:tc>
        <w:tc>
          <w:tcPr>
            <w:tcW w:w="2339" w:type="dxa"/>
            <w:tcBorders>
              <w:top w:val="single" w:sz="4" w:space="0" w:color="000000"/>
              <w:bottom w:val="single" w:sz="4" w:space="0" w:color="000000"/>
            </w:tcBorders>
          </w:tcPr>
          <w:p w14:paraId="35C74141" w14:textId="77777777" w:rsidR="000238CA" w:rsidRPr="007D5616" w:rsidRDefault="00F05EA4" w:rsidP="007D5616">
            <w:pPr>
              <w:rPr>
                <w:sz w:val="16"/>
              </w:rPr>
            </w:pPr>
            <w:r w:rsidRPr="007D5616">
              <w:rPr>
                <w:sz w:val="16"/>
              </w:rPr>
              <w:t>% referring to global</w:t>
            </w:r>
          </w:p>
        </w:tc>
        <w:tc>
          <w:tcPr>
            <w:tcW w:w="2352" w:type="dxa"/>
            <w:tcBorders>
              <w:top w:val="single" w:sz="4" w:space="0" w:color="000000"/>
              <w:bottom w:val="single" w:sz="4" w:space="0" w:color="000000"/>
            </w:tcBorders>
          </w:tcPr>
          <w:p w14:paraId="381F2979" w14:textId="77777777" w:rsidR="000238CA" w:rsidRPr="004D52E4" w:rsidRDefault="00F05EA4" w:rsidP="007D5616">
            <w:pPr>
              <w:rPr>
                <w:sz w:val="16"/>
              </w:rPr>
            </w:pPr>
            <w:r w:rsidRPr="007D5616">
              <w:rPr>
                <w:sz w:val="16"/>
              </w:rPr>
              <w:t>Gt Co</w:t>
            </w:r>
            <w:r w:rsidRPr="009D7FF9">
              <w:rPr>
                <w:sz w:val="16"/>
                <w:vertAlign w:val="subscript"/>
              </w:rPr>
              <w:t>2eq</w:t>
            </w:r>
          </w:p>
        </w:tc>
      </w:tr>
      <w:tr w:rsidR="000238CA" w14:paraId="06A349BA" w14:textId="77777777">
        <w:trPr>
          <w:jc w:val="center"/>
        </w:trPr>
        <w:tc>
          <w:tcPr>
            <w:tcW w:w="2340" w:type="dxa"/>
            <w:tcBorders>
              <w:top w:val="single" w:sz="4" w:space="0" w:color="000000"/>
            </w:tcBorders>
          </w:tcPr>
          <w:p w14:paraId="346B4650" w14:textId="77777777" w:rsidR="000238CA" w:rsidRPr="004D52E4" w:rsidRDefault="00F05EA4" w:rsidP="004D52E4">
            <w:pPr>
              <w:rPr>
                <w:sz w:val="16"/>
              </w:rPr>
            </w:pPr>
            <w:r w:rsidRPr="004D52E4">
              <w:rPr>
                <w:sz w:val="16"/>
              </w:rPr>
              <w:t>Domestic Waterborne</w:t>
            </w:r>
          </w:p>
        </w:tc>
        <w:tc>
          <w:tcPr>
            <w:tcW w:w="2339" w:type="dxa"/>
            <w:tcBorders>
              <w:top w:val="single" w:sz="4" w:space="0" w:color="000000"/>
            </w:tcBorders>
          </w:tcPr>
          <w:p w14:paraId="1275383E" w14:textId="77777777" w:rsidR="000238CA" w:rsidRPr="004D52E4" w:rsidRDefault="00F05EA4" w:rsidP="004D52E4">
            <w:pPr>
              <w:rPr>
                <w:sz w:val="16"/>
              </w:rPr>
            </w:pPr>
            <w:r w:rsidRPr="004D52E4">
              <w:rPr>
                <w:sz w:val="16"/>
              </w:rPr>
              <w:t>1.91</w:t>
            </w:r>
          </w:p>
        </w:tc>
        <w:tc>
          <w:tcPr>
            <w:tcW w:w="2352" w:type="dxa"/>
            <w:tcBorders>
              <w:top w:val="single" w:sz="4" w:space="0" w:color="000000"/>
            </w:tcBorders>
          </w:tcPr>
          <w:p w14:paraId="35FB5972" w14:textId="77777777" w:rsidR="000238CA" w:rsidRPr="004D52E4" w:rsidRDefault="00F05EA4" w:rsidP="004D52E4">
            <w:pPr>
              <w:rPr>
                <w:sz w:val="16"/>
              </w:rPr>
            </w:pPr>
            <w:r w:rsidRPr="004D52E4">
              <w:rPr>
                <w:sz w:val="16"/>
              </w:rPr>
              <w:t>0.14</w:t>
            </w:r>
          </w:p>
        </w:tc>
      </w:tr>
      <w:tr w:rsidR="000238CA" w14:paraId="609298B3" w14:textId="77777777">
        <w:trPr>
          <w:jc w:val="center"/>
        </w:trPr>
        <w:tc>
          <w:tcPr>
            <w:tcW w:w="2340" w:type="dxa"/>
            <w:tcBorders>
              <w:bottom w:val="single" w:sz="4" w:space="0" w:color="000000"/>
            </w:tcBorders>
          </w:tcPr>
          <w:p w14:paraId="415019D8" w14:textId="77777777" w:rsidR="000238CA" w:rsidRPr="004D52E4" w:rsidRDefault="00F05EA4" w:rsidP="004D52E4">
            <w:pPr>
              <w:rPr>
                <w:sz w:val="16"/>
              </w:rPr>
            </w:pPr>
            <w:r w:rsidRPr="004D52E4">
              <w:rPr>
                <w:sz w:val="16"/>
              </w:rPr>
              <w:t>International Shipping</w:t>
            </w:r>
          </w:p>
        </w:tc>
        <w:tc>
          <w:tcPr>
            <w:tcW w:w="2339" w:type="dxa"/>
            <w:tcBorders>
              <w:bottom w:val="single" w:sz="4" w:space="0" w:color="000000"/>
            </w:tcBorders>
          </w:tcPr>
          <w:p w14:paraId="38FC52EE" w14:textId="77777777" w:rsidR="000238CA" w:rsidRPr="004D52E4" w:rsidRDefault="00F05EA4" w:rsidP="004D52E4">
            <w:pPr>
              <w:rPr>
                <w:sz w:val="16"/>
              </w:rPr>
            </w:pPr>
            <w:r w:rsidRPr="004D52E4">
              <w:rPr>
                <w:sz w:val="16"/>
              </w:rPr>
              <w:t>9.26</w:t>
            </w:r>
          </w:p>
        </w:tc>
        <w:tc>
          <w:tcPr>
            <w:tcW w:w="2352" w:type="dxa"/>
            <w:tcBorders>
              <w:bottom w:val="single" w:sz="4" w:space="0" w:color="000000"/>
            </w:tcBorders>
          </w:tcPr>
          <w:p w14:paraId="430637AC" w14:textId="77777777" w:rsidR="000238CA" w:rsidRPr="004D52E4" w:rsidRDefault="00F05EA4" w:rsidP="004D52E4">
            <w:pPr>
              <w:rPr>
                <w:sz w:val="16"/>
              </w:rPr>
            </w:pPr>
            <w:r w:rsidRPr="004D52E4">
              <w:rPr>
                <w:sz w:val="16"/>
              </w:rPr>
              <w:t>0.64</w:t>
            </w:r>
          </w:p>
        </w:tc>
      </w:tr>
    </w:tbl>
    <w:p w14:paraId="6850EEA5" w14:textId="77777777" w:rsidR="009E0E96" w:rsidRDefault="009E0E96" w:rsidP="004D52E4"/>
    <w:p w14:paraId="53E94DDE" w14:textId="4C93020B" w:rsidR="000238CA" w:rsidRDefault="00F05EA4" w:rsidP="00AA0815">
      <w:r>
        <w:t>The values in the table</w:t>
      </w:r>
      <w:r w:rsidR="00CE0374">
        <w:t>, referred to year 2011</w:t>
      </w:r>
      <w:r>
        <w:t xml:space="preserve"> </w:t>
      </w:r>
      <w:r w:rsidR="00CE0374">
        <w:t xml:space="preserve">can </w:t>
      </w:r>
      <w:r>
        <w:t>be compared with th</w:t>
      </w:r>
      <w:r w:rsidR="00CE0374">
        <w:t>o</w:t>
      </w:r>
      <w:r>
        <w:t>se of 1990</w:t>
      </w:r>
      <w:r w:rsidR="00CE0374">
        <w:t xml:space="preserve">, indicating </w:t>
      </w:r>
      <w:r>
        <w:t xml:space="preserve">a decrease of 0.18% for “Domestic Waterborne” and </w:t>
      </w:r>
      <w:r w:rsidR="00CE0374">
        <w:t xml:space="preserve">an </w:t>
      </w:r>
      <w:r>
        <w:t xml:space="preserve">increase of 1.6% for the “International Navigation”. </w:t>
      </w:r>
      <w:r w:rsidR="00CE0374">
        <w:t>In the</w:t>
      </w:r>
      <w:r>
        <w:t xml:space="preserve"> </w:t>
      </w:r>
      <w:r w:rsidR="00CE0374">
        <w:t>IPCC</w:t>
      </w:r>
      <w:r w:rsidR="00102BB0">
        <w:t xml:space="preserve"> </w:t>
      </w:r>
      <w:r w:rsidR="00CE0374">
        <w:t>AR5</w:t>
      </w:r>
      <w:r>
        <w:t xml:space="preserve"> </w:t>
      </w:r>
      <w:r w:rsidR="00CE0374">
        <w:t xml:space="preserve">ranges of emission values </w:t>
      </w:r>
      <w:r w:rsidR="00706AFD">
        <w:t>for each</w:t>
      </w:r>
      <w:r w:rsidR="00CE0374">
        <w:t xml:space="preserve"> category of ships are provided, see </w:t>
      </w:r>
      <w:r>
        <w:t xml:space="preserve">Table 2. </w:t>
      </w:r>
      <w:r w:rsidR="00CE0374">
        <w:t>F</w:t>
      </w:r>
      <w:r>
        <w:t xml:space="preserve">or passenger’s traffic </w:t>
      </w:r>
      <w:r w:rsidR="00CE0374">
        <w:t xml:space="preserve">values are expressed in </w:t>
      </w:r>
      <w:r>
        <w:t>grams of CO</w:t>
      </w:r>
      <w:r>
        <w:rPr>
          <w:vertAlign w:val="subscript"/>
        </w:rPr>
        <w:t>2</w:t>
      </w:r>
      <w:r>
        <w:t xml:space="preserve"> emitted per passenger per km, while for the freight’s traffic </w:t>
      </w:r>
      <w:r w:rsidR="00CE0374">
        <w:t xml:space="preserve">units are </w:t>
      </w:r>
      <w:r>
        <w:t>the grams of CO</w:t>
      </w:r>
      <w:r>
        <w:rPr>
          <w:vertAlign w:val="subscript"/>
        </w:rPr>
        <w:t>2</w:t>
      </w:r>
      <w:r w:rsidR="00423F42">
        <w:t xml:space="preserve"> emitted per ton</w:t>
      </w:r>
      <w:r w:rsidR="00BE1AD0">
        <w:t>s</w:t>
      </w:r>
      <w:r>
        <w:t xml:space="preserve"> of freight's per km. These ranges, when compared to air traffic (95 to 250 g CO</w:t>
      </w:r>
      <w:r>
        <w:rPr>
          <w:vertAlign w:val="subscript"/>
        </w:rPr>
        <w:t>2</w:t>
      </w:r>
      <w:r>
        <w:t xml:space="preserve">/p-km for passengers’ traffic) are very low. </w:t>
      </w:r>
    </w:p>
    <w:p w14:paraId="385D2546" w14:textId="40DA25DA" w:rsidR="000238CA" w:rsidRDefault="00F05EA4" w:rsidP="009556B6">
      <w:pPr>
        <w:pStyle w:val="CaptionLong"/>
      </w:pPr>
      <w:r w:rsidRPr="00AA0815">
        <w:rPr>
          <w:b/>
        </w:rPr>
        <w:t>Table 2.</w:t>
      </w:r>
      <w:r w:rsidRPr="00AA0815">
        <w:t xml:space="preserve"> Emission of CO</w:t>
      </w:r>
      <w:r w:rsidRPr="00AA0815">
        <w:rPr>
          <w:vertAlign w:val="subscript"/>
        </w:rPr>
        <w:t xml:space="preserve">2  </w:t>
      </w:r>
      <w:r w:rsidRPr="00AA0815">
        <w:t>due to the maritime sector divided by type of ship referred to 2011 according to the latest</w:t>
      </w:r>
      <w:r w:rsidR="00C86694">
        <w:t xml:space="preserve"> </w:t>
      </w:r>
      <w:r w:rsidR="00C86694" w:rsidRPr="00AA0815">
        <w:t xml:space="preserve">IPCC report </w:t>
      </w:r>
      <w:r w:rsidR="00C86694" w:rsidRPr="00C86694">
        <w:t>(AR5: [11])</w:t>
      </w:r>
      <w:r>
        <w:t>.</w:t>
      </w:r>
    </w:p>
    <w:tbl>
      <w:tblPr>
        <w:tblStyle w:val="a9"/>
        <w:tblW w:w="4679" w:type="dxa"/>
        <w:jc w:val="center"/>
        <w:tblInd w:w="0" w:type="dxa"/>
        <w:tblLayout w:type="fixed"/>
        <w:tblLook w:val="0000" w:firstRow="0" w:lastRow="0" w:firstColumn="0" w:lastColumn="0" w:noHBand="0" w:noVBand="0"/>
      </w:tblPr>
      <w:tblGrid>
        <w:gridCol w:w="2340"/>
        <w:gridCol w:w="2339"/>
      </w:tblGrid>
      <w:tr w:rsidR="000238CA" w:rsidRPr="00AA0815" w14:paraId="4138FE5A" w14:textId="77777777">
        <w:trPr>
          <w:jc w:val="center"/>
        </w:trPr>
        <w:tc>
          <w:tcPr>
            <w:tcW w:w="2340" w:type="dxa"/>
            <w:tcBorders>
              <w:top w:val="single" w:sz="4" w:space="0" w:color="000000"/>
              <w:bottom w:val="single" w:sz="4" w:space="0" w:color="000000"/>
            </w:tcBorders>
          </w:tcPr>
          <w:p w14:paraId="686BD049" w14:textId="77777777" w:rsidR="000238CA" w:rsidRPr="007D5616" w:rsidRDefault="00F05EA4" w:rsidP="007D5616">
            <w:pPr>
              <w:rPr>
                <w:sz w:val="16"/>
              </w:rPr>
            </w:pPr>
            <w:r w:rsidRPr="007D5616">
              <w:rPr>
                <w:sz w:val="16"/>
              </w:rPr>
              <w:t>Ship category</w:t>
            </w:r>
          </w:p>
        </w:tc>
        <w:tc>
          <w:tcPr>
            <w:tcW w:w="2339" w:type="dxa"/>
            <w:tcBorders>
              <w:top w:val="single" w:sz="4" w:space="0" w:color="000000"/>
              <w:bottom w:val="single" w:sz="4" w:space="0" w:color="000000"/>
            </w:tcBorders>
          </w:tcPr>
          <w:p w14:paraId="0B2262E7" w14:textId="06393A0A" w:rsidR="000238CA" w:rsidRPr="007D5616" w:rsidRDefault="00F05EA4" w:rsidP="007D5616">
            <w:pPr>
              <w:rPr>
                <w:sz w:val="16"/>
              </w:rPr>
            </w:pPr>
            <w:r w:rsidRPr="007D5616">
              <w:rPr>
                <w:sz w:val="16"/>
              </w:rPr>
              <w:t xml:space="preserve">Emission: </w:t>
            </w:r>
          </w:p>
        </w:tc>
      </w:tr>
      <w:tr w:rsidR="000238CA" w:rsidRPr="00AA0815" w14:paraId="16DAFFE0" w14:textId="77777777">
        <w:trPr>
          <w:jc w:val="center"/>
        </w:trPr>
        <w:tc>
          <w:tcPr>
            <w:tcW w:w="2340" w:type="dxa"/>
            <w:tcBorders>
              <w:top w:val="single" w:sz="4" w:space="0" w:color="000000"/>
            </w:tcBorders>
          </w:tcPr>
          <w:p w14:paraId="428292A5" w14:textId="77777777" w:rsidR="000238CA" w:rsidRPr="004D52E4" w:rsidRDefault="00F05EA4" w:rsidP="007D5616">
            <w:pPr>
              <w:rPr>
                <w:sz w:val="16"/>
              </w:rPr>
            </w:pPr>
            <w:r w:rsidRPr="004D52E4">
              <w:rPr>
                <w:sz w:val="16"/>
              </w:rPr>
              <w:t>Passenger ferry</w:t>
            </w:r>
          </w:p>
        </w:tc>
        <w:tc>
          <w:tcPr>
            <w:tcW w:w="2339" w:type="dxa"/>
            <w:tcBorders>
              <w:top w:val="single" w:sz="4" w:space="0" w:color="000000"/>
            </w:tcBorders>
          </w:tcPr>
          <w:p w14:paraId="26409684" w14:textId="025C468A" w:rsidR="000238CA" w:rsidRPr="004D52E4" w:rsidRDefault="00F05EA4" w:rsidP="007D5616">
            <w:pPr>
              <w:rPr>
                <w:sz w:val="16"/>
              </w:rPr>
            </w:pPr>
            <w:r w:rsidRPr="004D52E4">
              <w:rPr>
                <w:sz w:val="16"/>
              </w:rPr>
              <w:t>25-150</w:t>
            </w:r>
            <w:r w:rsidR="00CE0374" w:rsidRPr="004D52E4">
              <w:rPr>
                <w:sz w:val="16"/>
              </w:rPr>
              <w:t xml:space="preserve"> g CO</w:t>
            </w:r>
            <w:r w:rsidR="00CE0374" w:rsidRPr="004D52E4">
              <w:rPr>
                <w:sz w:val="16"/>
                <w:vertAlign w:val="subscript"/>
              </w:rPr>
              <w:t>2</w:t>
            </w:r>
            <w:r w:rsidR="00CE0374" w:rsidRPr="004D52E4">
              <w:rPr>
                <w:sz w:val="16"/>
              </w:rPr>
              <w:t>/p-km</w:t>
            </w:r>
          </w:p>
        </w:tc>
      </w:tr>
      <w:tr w:rsidR="000238CA" w:rsidRPr="00AA0815" w14:paraId="349EFC30" w14:textId="77777777">
        <w:trPr>
          <w:jc w:val="center"/>
        </w:trPr>
        <w:tc>
          <w:tcPr>
            <w:tcW w:w="2340" w:type="dxa"/>
          </w:tcPr>
          <w:p w14:paraId="6A96F782" w14:textId="77777777" w:rsidR="000238CA" w:rsidRPr="007D5616" w:rsidRDefault="00F05EA4" w:rsidP="007D5616">
            <w:pPr>
              <w:rPr>
                <w:sz w:val="16"/>
              </w:rPr>
            </w:pPr>
            <w:r w:rsidRPr="007D5616">
              <w:rPr>
                <w:sz w:val="16"/>
              </w:rPr>
              <w:t>Barge</w:t>
            </w:r>
          </w:p>
        </w:tc>
        <w:tc>
          <w:tcPr>
            <w:tcW w:w="2339" w:type="dxa"/>
          </w:tcPr>
          <w:p w14:paraId="3CA22CD7" w14:textId="46928984" w:rsidR="000238CA" w:rsidRPr="007D5616" w:rsidRDefault="00F05EA4" w:rsidP="007D5616">
            <w:pPr>
              <w:rPr>
                <w:sz w:val="16"/>
              </w:rPr>
            </w:pPr>
            <w:r w:rsidRPr="007D5616">
              <w:rPr>
                <w:sz w:val="16"/>
              </w:rPr>
              <w:t>28-55</w:t>
            </w:r>
            <w:r w:rsidR="00CE0374" w:rsidRPr="007D5616">
              <w:rPr>
                <w:sz w:val="16"/>
              </w:rPr>
              <w:t xml:space="preserve"> g CO</w:t>
            </w:r>
            <w:r w:rsidR="00CE0374" w:rsidRPr="007D5616">
              <w:rPr>
                <w:sz w:val="16"/>
                <w:vertAlign w:val="subscript"/>
              </w:rPr>
              <w:t>2</w:t>
            </w:r>
            <w:r w:rsidR="00CE0374" w:rsidRPr="007D5616">
              <w:rPr>
                <w:sz w:val="16"/>
              </w:rPr>
              <w:t>/t-km</w:t>
            </w:r>
          </w:p>
        </w:tc>
      </w:tr>
      <w:tr w:rsidR="000238CA" w:rsidRPr="00AA0815" w14:paraId="0E798752" w14:textId="77777777">
        <w:trPr>
          <w:jc w:val="center"/>
        </w:trPr>
        <w:tc>
          <w:tcPr>
            <w:tcW w:w="2340" w:type="dxa"/>
            <w:tcBorders>
              <w:bottom w:val="single" w:sz="4" w:space="0" w:color="000000"/>
            </w:tcBorders>
          </w:tcPr>
          <w:p w14:paraId="523D8D3C" w14:textId="77777777" w:rsidR="000238CA" w:rsidRPr="007D5616" w:rsidRDefault="00F05EA4" w:rsidP="007D5616">
            <w:pPr>
              <w:rPr>
                <w:sz w:val="16"/>
              </w:rPr>
            </w:pPr>
            <w:r w:rsidRPr="007D5616">
              <w:rPr>
                <w:sz w:val="16"/>
              </w:rPr>
              <w:t>Roll-on-off ferry</w:t>
            </w:r>
          </w:p>
          <w:p w14:paraId="1E6021CC" w14:textId="77777777" w:rsidR="000238CA" w:rsidRPr="007D5616" w:rsidRDefault="00F05EA4" w:rsidP="007D5616">
            <w:pPr>
              <w:rPr>
                <w:sz w:val="16"/>
              </w:rPr>
            </w:pPr>
            <w:r w:rsidRPr="007D5616">
              <w:rPr>
                <w:sz w:val="16"/>
              </w:rPr>
              <w:t>Container ship</w:t>
            </w:r>
          </w:p>
          <w:p w14:paraId="68FD5145" w14:textId="77777777" w:rsidR="000238CA" w:rsidRPr="007D5616" w:rsidRDefault="00F05EA4" w:rsidP="007D5616">
            <w:pPr>
              <w:rPr>
                <w:sz w:val="16"/>
              </w:rPr>
            </w:pPr>
            <w:r w:rsidRPr="007D5616">
              <w:rPr>
                <w:sz w:val="16"/>
              </w:rPr>
              <w:t>Bulk</w:t>
            </w:r>
          </w:p>
          <w:p w14:paraId="5923ACD1" w14:textId="77777777" w:rsidR="000238CA" w:rsidRPr="007D5616" w:rsidRDefault="00F05EA4" w:rsidP="007D5616">
            <w:pPr>
              <w:rPr>
                <w:sz w:val="16"/>
              </w:rPr>
            </w:pPr>
            <w:r w:rsidRPr="007D5616">
              <w:rPr>
                <w:sz w:val="16"/>
              </w:rPr>
              <w:t>Tanker</w:t>
            </w:r>
          </w:p>
        </w:tc>
        <w:tc>
          <w:tcPr>
            <w:tcW w:w="2339" w:type="dxa"/>
            <w:tcBorders>
              <w:bottom w:val="single" w:sz="4" w:space="0" w:color="000000"/>
            </w:tcBorders>
          </w:tcPr>
          <w:p w14:paraId="48A9A538" w14:textId="27DDE884" w:rsidR="000238CA" w:rsidRPr="007D5616" w:rsidRDefault="00F05EA4" w:rsidP="007D5616">
            <w:pPr>
              <w:rPr>
                <w:sz w:val="16"/>
              </w:rPr>
            </w:pPr>
            <w:r w:rsidRPr="007D5616">
              <w:rPr>
                <w:sz w:val="16"/>
              </w:rPr>
              <w:t>30-85</w:t>
            </w:r>
            <w:r w:rsidR="00CE0374" w:rsidRPr="007D5616">
              <w:rPr>
                <w:sz w:val="16"/>
              </w:rPr>
              <w:t xml:space="preserve"> g CO</w:t>
            </w:r>
            <w:r w:rsidR="00CE0374" w:rsidRPr="007D5616">
              <w:rPr>
                <w:sz w:val="16"/>
                <w:vertAlign w:val="subscript"/>
              </w:rPr>
              <w:t>2</w:t>
            </w:r>
            <w:r w:rsidR="00CE0374" w:rsidRPr="007D5616">
              <w:rPr>
                <w:sz w:val="16"/>
              </w:rPr>
              <w:t>/t-km</w:t>
            </w:r>
          </w:p>
          <w:p w14:paraId="2F342046" w14:textId="0563B9F6" w:rsidR="000238CA" w:rsidRPr="007D5616" w:rsidRDefault="00F05EA4" w:rsidP="007D5616">
            <w:pPr>
              <w:rPr>
                <w:sz w:val="16"/>
              </w:rPr>
            </w:pPr>
            <w:r w:rsidRPr="007D5616">
              <w:rPr>
                <w:sz w:val="16"/>
              </w:rPr>
              <w:t>10-47</w:t>
            </w:r>
            <w:r w:rsidR="00CE0374" w:rsidRPr="007D5616">
              <w:rPr>
                <w:sz w:val="16"/>
              </w:rPr>
              <w:t xml:space="preserve"> g CO</w:t>
            </w:r>
            <w:r w:rsidR="00CE0374" w:rsidRPr="007D5616">
              <w:rPr>
                <w:sz w:val="16"/>
                <w:vertAlign w:val="subscript"/>
              </w:rPr>
              <w:t>2</w:t>
            </w:r>
            <w:r w:rsidR="00CE0374" w:rsidRPr="007D5616">
              <w:rPr>
                <w:sz w:val="16"/>
              </w:rPr>
              <w:t>/t-km</w:t>
            </w:r>
          </w:p>
          <w:p w14:paraId="7DC6E97A" w14:textId="36C95FAA" w:rsidR="000238CA" w:rsidRPr="007D5616" w:rsidRDefault="00F05EA4" w:rsidP="007D5616">
            <w:pPr>
              <w:rPr>
                <w:sz w:val="16"/>
              </w:rPr>
            </w:pPr>
            <w:r w:rsidRPr="007D5616">
              <w:rPr>
                <w:sz w:val="16"/>
              </w:rPr>
              <w:t>1-13</w:t>
            </w:r>
            <w:r w:rsidR="00CE0374" w:rsidRPr="007D5616">
              <w:rPr>
                <w:sz w:val="16"/>
              </w:rPr>
              <w:t xml:space="preserve">   g CO</w:t>
            </w:r>
            <w:r w:rsidR="00CE0374" w:rsidRPr="007D5616">
              <w:rPr>
                <w:sz w:val="16"/>
                <w:vertAlign w:val="subscript"/>
              </w:rPr>
              <w:t>2</w:t>
            </w:r>
            <w:r w:rsidR="00CE0374" w:rsidRPr="007D5616">
              <w:rPr>
                <w:sz w:val="16"/>
              </w:rPr>
              <w:t>/t-km</w:t>
            </w:r>
          </w:p>
          <w:p w14:paraId="52F7FB89" w14:textId="66FA30F5" w:rsidR="000238CA" w:rsidRPr="007D5616" w:rsidRDefault="00F05EA4" w:rsidP="007D5616">
            <w:pPr>
              <w:rPr>
                <w:sz w:val="16"/>
              </w:rPr>
            </w:pPr>
            <w:r w:rsidRPr="007D5616">
              <w:rPr>
                <w:sz w:val="16"/>
              </w:rPr>
              <w:t>5-15</w:t>
            </w:r>
            <w:r w:rsidR="00CE0374" w:rsidRPr="007D5616">
              <w:rPr>
                <w:sz w:val="16"/>
              </w:rPr>
              <w:t xml:space="preserve">   g CO</w:t>
            </w:r>
            <w:r w:rsidR="00CE0374" w:rsidRPr="007D5616">
              <w:rPr>
                <w:sz w:val="16"/>
                <w:vertAlign w:val="subscript"/>
              </w:rPr>
              <w:t>2</w:t>
            </w:r>
            <w:r w:rsidR="00CE0374" w:rsidRPr="007D5616">
              <w:rPr>
                <w:sz w:val="16"/>
              </w:rPr>
              <w:t>/t-km</w:t>
            </w:r>
          </w:p>
        </w:tc>
      </w:tr>
    </w:tbl>
    <w:p w14:paraId="65737218" w14:textId="519661AB" w:rsidR="00CE0374" w:rsidRPr="004E1F63" w:rsidRDefault="00D558F1" w:rsidP="00110FA8">
      <w:pPr>
        <w:pStyle w:val="Titolo1"/>
      </w:pPr>
      <w:r>
        <w:t xml:space="preserve">5. </w:t>
      </w:r>
      <w:r w:rsidR="00CE0374">
        <w:t>Third IMO GHG Study</w:t>
      </w:r>
      <w:r w:rsidR="00C86694">
        <w:t xml:space="preserve"> [9]</w:t>
      </w:r>
    </w:p>
    <w:p w14:paraId="7952F8EA" w14:textId="62866ABC" w:rsidR="000238CA" w:rsidRDefault="00F05EA4" w:rsidP="005D24CB">
      <w:pPr>
        <w:ind w:firstLine="0"/>
      </w:pPr>
      <w:r>
        <w:t xml:space="preserve">Another study </w:t>
      </w:r>
      <w:r w:rsidR="00CE0374">
        <w:t>providing</w:t>
      </w:r>
      <w:r>
        <w:t xml:space="preserve"> </w:t>
      </w:r>
      <w:r w:rsidR="00CE0374">
        <w:t xml:space="preserve">quite </w:t>
      </w:r>
      <w:r>
        <w:t xml:space="preserve">an updated </w:t>
      </w:r>
      <w:r w:rsidR="00CE0374">
        <w:t xml:space="preserve">picture </w:t>
      </w:r>
      <w:r>
        <w:t>of the emission</w:t>
      </w:r>
      <w:r w:rsidR="009C7A0F">
        <w:t>s</w:t>
      </w:r>
      <w:r>
        <w:t xml:space="preserve"> </w:t>
      </w:r>
      <w:r w:rsidR="00CE0374">
        <w:t xml:space="preserve">from shipping </w:t>
      </w:r>
      <w:r>
        <w:t xml:space="preserve">was the </w:t>
      </w:r>
      <w:r w:rsidR="00102BB0">
        <w:t>3</w:t>
      </w:r>
      <w:r w:rsidR="00102BB0" w:rsidRPr="00102BB0">
        <w:rPr>
          <w:vertAlign w:val="superscript"/>
        </w:rPr>
        <w:t>O</w:t>
      </w:r>
      <w:r w:rsidR="00102BB0">
        <w:t xml:space="preserve"> IMO-GHG’s </w:t>
      </w:r>
      <w:r w:rsidR="00735FD6">
        <w:fldChar w:fldCharType="begin"/>
      </w:r>
      <w:r w:rsidR="00735FD6">
        <w:instrText xml:space="preserve"> REF _Ref510108220 \r \h </w:instrText>
      </w:r>
      <w:r w:rsidR="00735FD6">
        <w:fldChar w:fldCharType="separate"/>
      </w:r>
      <w:r w:rsidR="00D54C3A">
        <w:t>[12]</w:t>
      </w:r>
      <w:r w:rsidR="00735FD6">
        <w:fldChar w:fldCharType="end"/>
      </w:r>
      <w:r w:rsidR="00F54744">
        <w:t xml:space="preserve"> </w:t>
      </w:r>
      <w:r w:rsidR="00CE0374">
        <w:t xml:space="preserve">containing </w:t>
      </w:r>
      <w:r>
        <w:t xml:space="preserve">data up to 2012. According to this report, in 2012, the maritime transport </w:t>
      </w:r>
      <w:r w:rsidR="00423F42">
        <w:t>produced about 938 million ton</w:t>
      </w:r>
      <w:r>
        <w:t>s of CO</w:t>
      </w:r>
      <w:r>
        <w:rPr>
          <w:vertAlign w:val="subscript"/>
        </w:rPr>
        <w:t>2</w:t>
      </w:r>
      <w:r>
        <w:t xml:space="preserve"> (0.938 Gt CO</w:t>
      </w:r>
      <w:r>
        <w:rPr>
          <w:vertAlign w:val="subscript"/>
        </w:rPr>
        <w:t>2</w:t>
      </w:r>
      <w:r w:rsidR="00423F42">
        <w:t>) and 961 million ton</w:t>
      </w:r>
      <w:r>
        <w:t>s of CO</w:t>
      </w:r>
      <w:r>
        <w:rPr>
          <w:vertAlign w:val="subscript"/>
        </w:rPr>
        <w:t>2eq</w:t>
      </w:r>
      <w:r>
        <w:t xml:space="preserve"> (0.961 Gt CO</w:t>
      </w:r>
      <w:r>
        <w:rPr>
          <w:vertAlign w:val="subscript"/>
        </w:rPr>
        <w:t>2eq</w:t>
      </w:r>
      <w:r>
        <w:t xml:space="preserve">). If these </w:t>
      </w:r>
      <w:r w:rsidR="00CE0374">
        <w:t xml:space="preserve">quotas </w:t>
      </w:r>
      <w:r>
        <w:t xml:space="preserve">are compared with the global </w:t>
      </w:r>
      <w:r w:rsidR="00CE0374">
        <w:t xml:space="preserve">emissions </w:t>
      </w:r>
      <w:r>
        <w:t>of CO</w:t>
      </w:r>
      <w:r>
        <w:rPr>
          <w:vertAlign w:val="subscript"/>
        </w:rPr>
        <w:t>2</w:t>
      </w:r>
      <w:r>
        <w:t xml:space="preserve"> and CO</w:t>
      </w:r>
      <w:r>
        <w:rPr>
          <w:vertAlign w:val="subscript"/>
        </w:rPr>
        <w:t>2eq</w:t>
      </w:r>
      <w:r>
        <w:t xml:space="preserve">, </w:t>
      </w:r>
      <w:r w:rsidR="00CE0374">
        <w:t>they amount to</w:t>
      </w:r>
      <w:r>
        <w:t xml:space="preserve"> 2.2</w:t>
      </w:r>
      <w:r w:rsidR="00CE0374">
        <w:t>%</w:t>
      </w:r>
      <w:r>
        <w:t xml:space="preserve"> and 2.1</w:t>
      </w:r>
      <w:r w:rsidR="00CE0374">
        <w:t>%</w:t>
      </w:r>
      <w:r>
        <w:t xml:space="preserve"> respectively. Figure 1 show</w:t>
      </w:r>
      <w:r w:rsidR="00CE0374">
        <w:t>s</w:t>
      </w:r>
      <w:r>
        <w:t xml:space="preserve"> the emissions related to the maritime traffic for the period running from 2007 to 2012.</w:t>
      </w:r>
    </w:p>
    <w:p w14:paraId="7F241580" w14:textId="77777777" w:rsidR="000238CA" w:rsidRDefault="00F05EA4" w:rsidP="007D5616">
      <w:pPr>
        <w:jc w:val="center"/>
      </w:pPr>
      <w:r>
        <w:rPr>
          <w:noProof/>
          <w:lang w:val="it-IT" w:eastAsia="it-IT"/>
        </w:rPr>
        <w:lastRenderedPageBreak/>
        <w:drawing>
          <wp:inline distT="0" distB="0" distL="0" distR="0" wp14:anchorId="5B4AF558" wp14:editId="7D23A3DC">
            <wp:extent cx="3715966" cy="1520190"/>
            <wp:effectExtent l="0" t="0" r="0" b="3810"/>
            <wp:docPr id="28" name="Gra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59D04E" w14:textId="3F5A84DC" w:rsidR="000238CA" w:rsidRPr="00AA0815" w:rsidRDefault="00F05EA4" w:rsidP="009556B6">
      <w:pPr>
        <w:pStyle w:val="CaptionLong"/>
      </w:pPr>
      <w:bookmarkStart w:id="0" w:name="_gjdgxs" w:colFirst="0" w:colLast="0"/>
      <w:bookmarkEnd w:id="0"/>
      <w:r w:rsidRPr="009556B6">
        <w:rPr>
          <w:b/>
        </w:rPr>
        <w:t>Figure 1.</w:t>
      </w:r>
      <w:r w:rsidRPr="00AA0815">
        <w:t xml:space="preserve"> Emission of CO</w:t>
      </w:r>
      <w:r w:rsidRPr="007D5616">
        <w:t xml:space="preserve">2eq </w:t>
      </w:r>
      <w:r w:rsidRPr="00AA0815">
        <w:t xml:space="preserve">for total </w:t>
      </w:r>
      <w:r w:rsidR="00CE0374" w:rsidRPr="00AA0815">
        <w:t xml:space="preserve">shipping (left) </w:t>
      </w:r>
      <w:r w:rsidRPr="00AA0815">
        <w:t>and international shipping</w:t>
      </w:r>
      <w:r w:rsidR="00CE0374" w:rsidRPr="00AA0815">
        <w:t xml:space="preserve"> (right) </w:t>
      </w:r>
      <w:r w:rsidR="00102BB0">
        <w:t>(3</w:t>
      </w:r>
      <w:r w:rsidR="00102BB0" w:rsidRPr="00102BB0">
        <w:rPr>
          <w:vertAlign w:val="superscript"/>
        </w:rPr>
        <w:t>O</w:t>
      </w:r>
      <w:r w:rsidR="00102BB0">
        <w:t xml:space="preserve"> IMO-GHG’s) </w:t>
      </w:r>
      <w:r w:rsidR="00735FD6">
        <w:fldChar w:fldCharType="begin"/>
      </w:r>
      <w:r w:rsidR="00735FD6">
        <w:instrText xml:space="preserve"> REF _Ref510108220 \r \h </w:instrText>
      </w:r>
      <w:r w:rsidR="00735FD6">
        <w:fldChar w:fldCharType="separate"/>
      </w:r>
      <w:r w:rsidR="00D54C3A">
        <w:t>[12]</w:t>
      </w:r>
      <w:r w:rsidR="00735FD6">
        <w:fldChar w:fldCharType="end"/>
      </w:r>
    </w:p>
    <w:p w14:paraId="2E32B433" w14:textId="5B5B0D67" w:rsidR="000238CA" w:rsidRDefault="00F05EA4" w:rsidP="009556B6">
      <w:r>
        <w:t xml:space="preserve">Turning to the details of the various types of ships, the study provides </w:t>
      </w:r>
      <w:r w:rsidR="00CE0374">
        <w:t xml:space="preserve">a breakdown of </w:t>
      </w:r>
      <w:r>
        <w:t>the emissions referred to 2012 obtained through a “bottom-up</w:t>
      </w:r>
      <w:r w:rsidR="00F54744">
        <w:t>”</w:t>
      </w:r>
      <w:r>
        <w:t xml:space="preserve"> methodology. In Figure 2 the results</w:t>
      </w:r>
      <w:r w:rsidR="00CE0374">
        <w:t xml:space="preserve"> are presented</w:t>
      </w:r>
      <w:r>
        <w:t>, appropriately converted to be compared with the results of the IPCC report.</w:t>
      </w:r>
    </w:p>
    <w:p w14:paraId="7B0B57CD" w14:textId="4AE17862" w:rsidR="000238CA" w:rsidRDefault="00F05EA4" w:rsidP="009556B6">
      <w:pPr>
        <w:jc w:val="center"/>
      </w:pPr>
      <w:r>
        <w:rPr>
          <w:noProof/>
          <w:lang w:val="it-IT" w:eastAsia="it-IT"/>
        </w:rPr>
        <w:drawing>
          <wp:inline distT="0" distB="0" distL="0" distR="0" wp14:anchorId="21703056" wp14:editId="6BD41703">
            <wp:extent cx="3579779" cy="1635017"/>
            <wp:effectExtent l="0" t="0" r="1905" b="3810"/>
            <wp:docPr id="27" name="Gra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345D43" w14:textId="54048AE7" w:rsidR="000238CA" w:rsidRDefault="00F05EA4" w:rsidP="009556B6">
      <w:pPr>
        <w:pStyle w:val="CaptionShort"/>
      </w:pPr>
      <w:r>
        <w:rPr>
          <w:b/>
        </w:rPr>
        <w:t>Figure 2.</w:t>
      </w:r>
      <w:r>
        <w:t xml:space="preserve"> CO</w:t>
      </w:r>
      <w:r>
        <w:rPr>
          <w:vertAlign w:val="subscript"/>
        </w:rPr>
        <w:t>2</w:t>
      </w:r>
      <w:r>
        <w:t xml:space="preserve"> emission</w:t>
      </w:r>
      <w:r w:rsidR="00CE0374">
        <w:t>s</w:t>
      </w:r>
      <w:r>
        <w:t xml:space="preserve"> from international shipping (</w:t>
      </w:r>
      <w:r w:rsidR="00CE0374">
        <w:t xml:space="preserve">year </w:t>
      </w:r>
      <w:r>
        <w:t>2012)</w:t>
      </w:r>
      <w:r w:rsidR="00C86694">
        <w:t>-</w:t>
      </w:r>
      <w:r w:rsidR="00102BB0">
        <w:t>3</w:t>
      </w:r>
      <w:r w:rsidR="00102BB0" w:rsidRPr="00102BB0">
        <w:rPr>
          <w:vertAlign w:val="superscript"/>
        </w:rPr>
        <w:t>O</w:t>
      </w:r>
      <w:r w:rsidR="00102BB0">
        <w:t xml:space="preserve"> IMO-GHG’s </w:t>
      </w:r>
      <w:r w:rsidR="00735FD6">
        <w:fldChar w:fldCharType="begin"/>
      </w:r>
      <w:r w:rsidR="00735FD6">
        <w:instrText xml:space="preserve"> REF _Ref510108220 \r \h </w:instrText>
      </w:r>
      <w:r w:rsidR="00735FD6">
        <w:fldChar w:fldCharType="separate"/>
      </w:r>
      <w:r w:rsidR="00D54C3A">
        <w:t>[12]</w:t>
      </w:r>
      <w:r w:rsidR="00735FD6">
        <w:fldChar w:fldCharType="end"/>
      </w:r>
      <w:r w:rsidR="00735FD6">
        <w:t>.</w:t>
      </w:r>
    </w:p>
    <w:p w14:paraId="2FDB7F88" w14:textId="65B09837" w:rsidR="00C86694" w:rsidRDefault="00F05EA4" w:rsidP="009556B6">
      <w:r>
        <w:t xml:space="preserve">By comparing the two reports, </w:t>
      </w:r>
      <w:r w:rsidR="00CE0374">
        <w:t>the emissions values indicated in the two reports are different because of</w:t>
      </w:r>
      <w:r>
        <w:t xml:space="preserve"> the different procedures </w:t>
      </w:r>
      <w:r w:rsidR="00CE0374">
        <w:t xml:space="preserve">adopted for the </w:t>
      </w:r>
      <w:r>
        <w:t>estimat</w:t>
      </w:r>
      <w:r w:rsidR="00CE0374">
        <w:t xml:space="preserve">ion of the </w:t>
      </w:r>
      <w:r>
        <w:t xml:space="preserve">annual global </w:t>
      </w:r>
      <w:r w:rsidR="00423F42">
        <w:t>emissions;</w:t>
      </w:r>
      <w:r>
        <w:t xml:space="preserve"> however, an increase in annual emission</w:t>
      </w:r>
      <w:r w:rsidR="00CE0374">
        <w:t>s seems</w:t>
      </w:r>
      <w:r>
        <w:t xml:space="preserve"> confirmed. In Table 3 and in Figure 4 the possible comparisons.</w:t>
      </w:r>
    </w:p>
    <w:p w14:paraId="31E15E1E" w14:textId="69EA24AA" w:rsidR="00CE0374" w:rsidRPr="00AA0815" w:rsidRDefault="00F05EA4" w:rsidP="009556B6">
      <w:pPr>
        <w:pStyle w:val="CaptionLong"/>
      </w:pPr>
      <w:r w:rsidRPr="007D5616">
        <w:rPr>
          <w:b/>
        </w:rPr>
        <w:t>Table</w:t>
      </w:r>
      <w:r w:rsidR="00AD16D8" w:rsidRPr="007D5616">
        <w:rPr>
          <w:b/>
        </w:rPr>
        <w:t xml:space="preserve"> </w:t>
      </w:r>
      <w:r w:rsidRPr="007D5616">
        <w:rPr>
          <w:b/>
        </w:rPr>
        <w:t>3.</w:t>
      </w:r>
      <w:r w:rsidR="00AD16D8" w:rsidRPr="00AA0815">
        <w:t xml:space="preserve"> </w:t>
      </w:r>
      <w:r w:rsidRPr="00AA0815">
        <w:t xml:space="preserve">Comparison between the IMO </w:t>
      </w:r>
      <w:r w:rsidR="00102BB0">
        <w:t>(3</w:t>
      </w:r>
      <w:r w:rsidR="00102BB0" w:rsidRPr="00102BB0">
        <w:rPr>
          <w:vertAlign w:val="superscript"/>
        </w:rPr>
        <w:t>O</w:t>
      </w:r>
      <w:r w:rsidR="00102BB0">
        <w:t xml:space="preserve"> IMO-GHG’s) </w:t>
      </w:r>
      <w:r w:rsidR="00735FD6">
        <w:fldChar w:fldCharType="begin"/>
      </w:r>
      <w:r w:rsidR="00735FD6">
        <w:instrText xml:space="preserve"> REF _Ref510108220 \r \h </w:instrText>
      </w:r>
      <w:r w:rsidR="00735FD6">
        <w:fldChar w:fldCharType="separate"/>
      </w:r>
      <w:r w:rsidR="00D54C3A">
        <w:t>[12]</w:t>
      </w:r>
      <w:r w:rsidR="00735FD6">
        <w:fldChar w:fldCharType="end"/>
      </w:r>
      <w:r w:rsidR="00F54744">
        <w:t xml:space="preserve"> </w:t>
      </w:r>
      <w:r w:rsidRPr="00AA0815">
        <w:t>and IPPC (AR5)</w:t>
      </w:r>
      <w:r w:rsidR="00621EBB" w:rsidRPr="00AA0815">
        <w:t xml:space="preserve"> </w:t>
      </w:r>
      <w:r w:rsidR="00401A26" w:rsidRPr="00263B7E">
        <w:fldChar w:fldCharType="begin"/>
      </w:r>
      <w:r w:rsidR="00401A26" w:rsidRPr="00AA0815">
        <w:instrText xml:space="preserve"> REF _Ref509838252 \r \h </w:instrText>
      </w:r>
      <w:r w:rsidR="00621EBB" w:rsidRPr="00AA0815">
        <w:instrText xml:space="preserve"> \* MERGEFORMAT </w:instrText>
      </w:r>
      <w:r w:rsidR="00401A26" w:rsidRPr="00263B7E">
        <w:fldChar w:fldCharType="separate"/>
      </w:r>
      <w:r w:rsidR="00D54C3A">
        <w:t>[11]</w:t>
      </w:r>
      <w:r w:rsidR="00401A26" w:rsidRPr="00263B7E">
        <w:fldChar w:fldCharType="end"/>
      </w:r>
      <w:r w:rsidRPr="00AA0815">
        <w:t xml:space="preserve"> inventory.</w:t>
      </w:r>
      <w:r w:rsidR="00F647B1" w:rsidRPr="00AA0815">
        <w:t xml:space="preserve">                            </w:t>
      </w:r>
      <w:r w:rsidRPr="00AA0815">
        <w:t xml:space="preserve">The percentages refer to the comparison between the two </w:t>
      </w:r>
      <w:r w:rsidR="00F647B1" w:rsidRPr="00AA0815">
        <w:t xml:space="preserve">IMO </w:t>
      </w:r>
      <w:r w:rsidRPr="00AA0815">
        <w:t>studies</w:t>
      </w:r>
      <w:r w:rsidR="00F82058">
        <w:t>. [Gt CO</w:t>
      </w:r>
      <w:r w:rsidR="00F82058" w:rsidRPr="00F82058">
        <w:rPr>
          <w:vertAlign w:val="subscript"/>
        </w:rPr>
        <w:t>2eq</w:t>
      </w:r>
      <w:r w:rsidR="00F82058">
        <w:t>]</w:t>
      </w:r>
    </w:p>
    <w:tbl>
      <w:tblPr>
        <w:tblStyle w:val="aa"/>
        <w:tblW w:w="6625" w:type="dxa"/>
        <w:jc w:val="center"/>
        <w:tblInd w:w="0" w:type="dxa"/>
        <w:tblLayout w:type="fixed"/>
        <w:tblLook w:val="0000" w:firstRow="0" w:lastRow="0" w:firstColumn="0" w:lastColumn="0" w:noHBand="0" w:noVBand="0"/>
      </w:tblPr>
      <w:tblGrid>
        <w:gridCol w:w="1660"/>
        <w:gridCol w:w="1134"/>
        <w:gridCol w:w="1178"/>
        <w:gridCol w:w="1095"/>
        <w:gridCol w:w="1558"/>
      </w:tblGrid>
      <w:tr w:rsidR="004E1F63" w:rsidRPr="00AA0815" w14:paraId="5C99D712" w14:textId="77777777" w:rsidTr="00102BB0">
        <w:trPr>
          <w:jc w:val="center"/>
        </w:trPr>
        <w:tc>
          <w:tcPr>
            <w:tcW w:w="1660" w:type="dxa"/>
            <w:tcBorders>
              <w:top w:val="single" w:sz="4" w:space="0" w:color="000000"/>
              <w:bottom w:val="single" w:sz="4" w:space="0" w:color="000000"/>
            </w:tcBorders>
            <w:vAlign w:val="center"/>
          </w:tcPr>
          <w:p w14:paraId="1833F230" w14:textId="77777777" w:rsidR="004E1F63" w:rsidRPr="007D5616" w:rsidRDefault="004E1F63" w:rsidP="00735FD6">
            <w:pPr>
              <w:jc w:val="center"/>
              <w:rPr>
                <w:sz w:val="16"/>
              </w:rPr>
            </w:pPr>
            <w:r w:rsidRPr="007D5616">
              <w:rPr>
                <w:sz w:val="16"/>
              </w:rPr>
              <w:t>Report</w:t>
            </w:r>
          </w:p>
        </w:tc>
        <w:tc>
          <w:tcPr>
            <w:tcW w:w="1134" w:type="dxa"/>
            <w:tcBorders>
              <w:top w:val="single" w:sz="4" w:space="0" w:color="000000"/>
              <w:bottom w:val="single" w:sz="4" w:space="0" w:color="000000"/>
            </w:tcBorders>
            <w:vAlign w:val="center"/>
          </w:tcPr>
          <w:p w14:paraId="491C75FE" w14:textId="61794A1E" w:rsidR="004E1F63" w:rsidRPr="007D5616" w:rsidRDefault="004E1F63" w:rsidP="00735FD6">
            <w:pPr>
              <w:ind w:firstLine="2"/>
              <w:jc w:val="center"/>
              <w:rPr>
                <w:sz w:val="16"/>
              </w:rPr>
            </w:pPr>
            <w:r w:rsidRPr="007D5616">
              <w:rPr>
                <w:sz w:val="16"/>
              </w:rPr>
              <w:t>AR5 (2010)</w:t>
            </w:r>
          </w:p>
        </w:tc>
        <w:tc>
          <w:tcPr>
            <w:tcW w:w="1178" w:type="dxa"/>
            <w:tcBorders>
              <w:top w:val="single" w:sz="4" w:space="0" w:color="000000"/>
              <w:bottom w:val="single" w:sz="4" w:space="0" w:color="000000"/>
            </w:tcBorders>
            <w:vAlign w:val="center"/>
          </w:tcPr>
          <w:p w14:paraId="5149AF6D" w14:textId="051D47DB" w:rsidR="004E1F63" w:rsidRPr="007D5616" w:rsidRDefault="004E1F63" w:rsidP="00735FD6">
            <w:pPr>
              <w:ind w:firstLine="0"/>
              <w:jc w:val="center"/>
              <w:rPr>
                <w:sz w:val="16"/>
              </w:rPr>
            </w:pPr>
            <w:r w:rsidRPr="007D5616">
              <w:rPr>
                <w:sz w:val="16"/>
              </w:rPr>
              <w:t>IMO (2010)</w:t>
            </w:r>
          </w:p>
        </w:tc>
        <w:tc>
          <w:tcPr>
            <w:tcW w:w="1095" w:type="dxa"/>
            <w:tcBorders>
              <w:top w:val="single" w:sz="4" w:space="0" w:color="000000"/>
              <w:bottom w:val="single" w:sz="4" w:space="0" w:color="000000"/>
            </w:tcBorders>
            <w:vAlign w:val="center"/>
          </w:tcPr>
          <w:p w14:paraId="0F0EBACC" w14:textId="71217F55" w:rsidR="004E1F63" w:rsidRPr="007D5616" w:rsidRDefault="004E1F63" w:rsidP="00735FD6">
            <w:pPr>
              <w:ind w:firstLine="0"/>
              <w:jc w:val="center"/>
              <w:rPr>
                <w:sz w:val="16"/>
              </w:rPr>
            </w:pPr>
            <w:r w:rsidRPr="007D5616">
              <w:rPr>
                <w:sz w:val="16"/>
              </w:rPr>
              <w:t>IMO (2012)</w:t>
            </w:r>
          </w:p>
        </w:tc>
        <w:tc>
          <w:tcPr>
            <w:tcW w:w="1558" w:type="dxa"/>
            <w:tcBorders>
              <w:top w:val="single" w:sz="4" w:space="0" w:color="000000"/>
              <w:bottom w:val="single" w:sz="4" w:space="0" w:color="000000"/>
            </w:tcBorders>
            <w:vAlign w:val="center"/>
          </w:tcPr>
          <w:p w14:paraId="4320CE5E" w14:textId="05E68794" w:rsidR="004E1F63" w:rsidRPr="007D5616" w:rsidRDefault="00C86694" w:rsidP="00735FD6">
            <w:pPr>
              <w:ind w:firstLine="15"/>
              <w:jc w:val="center"/>
              <w:rPr>
                <w:sz w:val="16"/>
              </w:rPr>
            </w:pPr>
            <w:r w:rsidRPr="007D5616">
              <w:rPr>
                <w:sz w:val="16"/>
              </w:rPr>
              <w:t>Increase [%]</w:t>
            </w:r>
            <w:r>
              <w:rPr>
                <w:sz w:val="16"/>
              </w:rPr>
              <w:t xml:space="preserve">             </w:t>
            </w:r>
            <w:r w:rsidR="00F647B1" w:rsidRPr="007D5616">
              <w:rPr>
                <w:sz w:val="16"/>
              </w:rPr>
              <w:t>IMO 2012 vs 2010</w:t>
            </w:r>
          </w:p>
        </w:tc>
      </w:tr>
      <w:tr w:rsidR="004E1F63" w:rsidRPr="00AA0815" w14:paraId="3EA11152" w14:textId="77777777" w:rsidTr="00401A26">
        <w:trPr>
          <w:jc w:val="center"/>
        </w:trPr>
        <w:tc>
          <w:tcPr>
            <w:tcW w:w="1660" w:type="dxa"/>
            <w:tcBorders>
              <w:top w:val="single" w:sz="4" w:space="0" w:color="000000"/>
            </w:tcBorders>
          </w:tcPr>
          <w:p w14:paraId="14DCAF19" w14:textId="77777777" w:rsidR="004E1F63" w:rsidRPr="007D5616" w:rsidRDefault="004E1F63" w:rsidP="007D5616">
            <w:pPr>
              <w:rPr>
                <w:sz w:val="16"/>
              </w:rPr>
            </w:pPr>
            <w:r w:rsidRPr="007D5616">
              <w:rPr>
                <w:sz w:val="16"/>
              </w:rPr>
              <w:t>Total shipping</w:t>
            </w:r>
          </w:p>
        </w:tc>
        <w:tc>
          <w:tcPr>
            <w:tcW w:w="1134" w:type="dxa"/>
            <w:tcBorders>
              <w:top w:val="single" w:sz="4" w:space="0" w:color="000000"/>
            </w:tcBorders>
          </w:tcPr>
          <w:p w14:paraId="3EF1159F" w14:textId="713B5A49" w:rsidR="004E1F63" w:rsidRPr="007D5616" w:rsidRDefault="004E1F63" w:rsidP="007D5616">
            <w:pPr>
              <w:rPr>
                <w:sz w:val="16"/>
              </w:rPr>
            </w:pPr>
            <w:r w:rsidRPr="007D5616">
              <w:rPr>
                <w:sz w:val="16"/>
              </w:rPr>
              <w:t>0.785</w:t>
            </w:r>
          </w:p>
        </w:tc>
        <w:tc>
          <w:tcPr>
            <w:tcW w:w="1178" w:type="dxa"/>
            <w:tcBorders>
              <w:top w:val="single" w:sz="4" w:space="0" w:color="000000"/>
            </w:tcBorders>
          </w:tcPr>
          <w:p w14:paraId="71361896" w14:textId="63E763EB" w:rsidR="004E1F63" w:rsidRPr="007D5616" w:rsidRDefault="004E1F63" w:rsidP="007D5616">
            <w:pPr>
              <w:rPr>
                <w:sz w:val="16"/>
              </w:rPr>
            </w:pPr>
            <w:r w:rsidRPr="007D5616">
              <w:rPr>
                <w:sz w:val="16"/>
              </w:rPr>
              <w:t>0.935</w:t>
            </w:r>
          </w:p>
        </w:tc>
        <w:tc>
          <w:tcPr>
            <w:tcW w:w="1095" w:type="dxa"/>
            <w:tcBorders>
              <w:top w:val="single" w:sz="4" w:space="0" w:color="000000"/>
            </w:tcBorders>
          </w:tcPr>
          <w:p w14:paraId="75E78D60" w14:textId="77777777" w:rsidR="004E1F63" w:rsidRPr="007D5616" w:rsidRDefault="004E1F63" w:rsidP="007D5616">
            <w:pPr>
              <w:rPr>
                <w:sz w:val="16"/>
              </w:rPr>
            </w:pPr>
            <w:r w:rsidRPr="007D5616">
              <w:rPr>
                <w:sz w:val="16"/>
              </w:rPr>
              <w:t>0.938</w:t>
            </w:r>
          </w:p>
        </w:tc>
        <w:tc>
          <w:tcPr>
            <w:tcW w:w="1558" w:type="dxa"/>
            <w:tcBorders>
              <w:top w:val="single" w:sz="4" w:space="0" w:color="000000"/>
            </w:tcBorders>
          </w:tcPr>
          <w:p w14:paraId="4F27A2E5" w14:textId="17B5E5F0" w:rsidR="004E1F63" w:rsidRPr="007D5616" w:rsidRDefault="004E1F63" w:rsidP="007D5616">
            <w:pPr>
              <w:rPr>
                <w:sz w:val="16"/>
              </w:rPr>
            </w:pPr>
            <w:r w:rsidRPr="007D5616">
              <w:rPr>
                <w:sz w:val="16"/>
              </w:rPr>
              <w:t>0.30</w:t>
            </w:r>
          </w:p>
        </w:tc>
      </w:tr>
      <w:tr w:rsidR="004E1F63" w:rsidRPr="00AA0815" w14:paraId="7418FF3A" w14:textId="77777777" w:rsidTr="00401A26">
        <w:trPr>
          <w:jc w:val="center"/>
        </w:trPr>
        <w:tc>
          <w:tcPr>
            <w:tcW w:w="1660" w:type="dxa"/>
            <w:tcBorders>
              <w:bottom w:val="single" w:sz="4" w:space="0" w:color="000000"/>
            </w:tcBorders>
          </w:tcPr>
          <w:p w14:paraId="4422405E" w14:textId="77777777" w:rsidR="004E1F63" w:rsidRPr="007D5616" w:rsidRDefault="004E1F63" w:rsidP="00735FD6">
            <w:pPr>
              <w:ind w:firstLine="0"/>
              <w:rPr>
                <w:sz w:val="16"/>
              </w:rPr>
            </w:pPr>
            <w:r w:rsidRPr="007D5616">
              <w:rPr>
                <w:sz w:val="16"/>
              </w:rPr>
              <w:t>International shipping</w:t>
            </w:r>
          </w:p>
        </w:tc>
        <w:tc>
          <w:tcPr>
            <w:tcW w:w="1134" w:type="dxa"/>
            <w:tcBorders>
              <w:bottom w:val="single" w:sz="4" w:space="0" w:color="000000"/>
            </w:tcBorders>
          </w:tcPr>
          <w:p w14:paraId="7DA9E7B3" w14:textId="0D03940A" w:rsidR="004E1F63" w:rsidRPr="007D5616" w:rsidRDefault="004E1F63" w:rsidP="007D5616">
            <w:pPr>
              <w:rPr>
                <w:sz w:val="16"/>
              </w:rPr>
            </w:pPr>
            <w:r w:rsidRPr="007D5616">
              <w:rPr>
                <w:sz w:val="16"/>
              </w:rPr>
              <w:t>0.648</w:t>
            </w:r>
          </w:p>
        </w:tc>
        <w:tc>
          <w:tcPr>
            <w:tcW w:w="1178" w:type="dxa"/>
            <w:tcBorders>
              <w:bottom w:val="single" w:sz="4" w:space="0" w:color="000000"/>
            </w:tcBorders>
          </w:tcPr>
          <w:p w14:paraId="710C3E39" w14:textId="41D75A24" w:rsidR="004E1F63" w:rsidRPr="007D5616" w:rsidRDefault="004E1F63" w:rsidP="007D5616">
            <w:pPr>
              <w:rPr>
                <w:sz w:val="16"/>
              </w:rPr>
            </w:pPr>
            <w:r w:rsidRPr="007D5616">
              <w:rPr>
                <w:sz w:val="16"/>
              </w:rPr>
              <w:t>0.790</w:t>
            </w:r>
          </w:p>
        </w:tc>
        <w:tc>
          <w:tcPr>
            <w:tcW w:w="1095" w:type="dxa"/>
            <w:tcBorders>
              <w:bottom w:val="single" w:sz="4" w:space="0" w:color="000000"/>
            </w:tcBorders>
          </w:tcPr>
          <w:p w14:paraId="2ED99ABF" w14:textId="77777777" w:rsidR="004E1F63" w:rsidRPr="007D5616" w:rsidRDefault="004E1F63" w:rsidP="007D5616">
            <w:pPr>
              <w:rPr>
                <w:sz w:val="16"/>
              </w:rPr>
            </w:pPr>
            <w:r w:rsidRPr="007D5616">
              <w:rPr>
                <w:sz w:val="16"/>
              </w:rPr>
              <w:t>0.796</w:t>
            </w:r>
          </w:p>
        </w:tc>
        <w:tc>
          <w:tcPr>
            <w:tcW w:w="1558" w:type="dxa"/>
            <w:tcBorders>
              <w:bottom w:val="single" w:sz="4" w:space="0" w:color="000000"/>
            </w:tcBorders>
          </w:tcPr>
          <w:p w14:paraId="6D125A24" w14:textId="5B0C3B37" w:rsidR="004E1F63" w:rsidRPr="007D5616" w:rsidRDefault="004E1F63" w:rsidP="007D5616">
            <w:pPr>
              <w:rPr>
                <w:sz w:val="16"/>
              </w:rPr>
            </w:pPr>
            <w:r w:rsidRPr="007D5616">
              <w:rPr>
                <w:sz w:val="16"/>
              </w:rPr>
              <w:t>0.8</w:t>
            </w:r>
          </w:p>
        </w:tc>
      </w:tr>
    </w:tbl>
    <w:p w14:paraId="7F1212A4" w14:textId="77777777" w:rsidR="000238CA" w:rsidRDefault="00F05EA4" w:rsidP="009556B6">
      <w:pPr>
        <w:jc w:val="center"/>
      </w:pPr>
      <w:r>
        <w:rPr>
          <w:noProof/>
          <w:lang w:val="it-IT" w:eastAsia="it-IT"/>
        </w:rPr>
        <w:drawing>
          <wp:inline distT="0" distB="0" distL="0" distR="0" wp14:anchorId="2967D707" wp14:editId="09AA6E65">
            <wp:extent cx="3895725" cy="1320792"/>
            <wp:effectExtent l="0" t="0" r="0" b="0"/>
            <wp:docPr id="29" name="Gra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622532" w14:textId="04EAA052" w:rsidR="000238CA" w:rsidRDefault="00F05EA4" w:rsidP="009556B6">
      <w:pPr>
        <w:pStyle w:val="CaptionLong"/>
      </w:pPr>
      <w:r>
        <w:rPr>
          <w:b/>
        </w:rPr>
        <w:t xml:space="preserve">Figure 4. </w:t>
      </w:r>
      <w:r>
        <w:t xml:space="preserve">Emission linked to maritime transport </w:t>
      </w:r>
      <w:r w:rsidRPr="003116D3">
        <w:t>(International</w:t>
      </w:r>
      <w:r w:rsidR="00EA002F">
        <w:t>:</w:t>
      </w:r>
      <w:r w:rsidR="00EA002F" w:rsidRPr="00EA002F">
        <w:t xml:space="preserve"> </w:t>
      </w:r>
      <w:r w:rsidR="00EA002F" w:rsidRPr="003116D3">
        <w:t>full</w:t>
      </w:r>
      <w:r w:rsidR="009C7A0F">
        <w:t xml:space="preserve"> </w:t>
      </w:r>
      <w:r w:rsidR="00F71C23" w:rsidRPr="003116D3">
        <w:t>bar</w:t>
      </w:r>
      <w:r w:rsidR="009C7A0F">
        <w:t xml:space="preserve">; </w:t>
      </w:r>
      <w:r w:rsidRPr="003116D3">
        <w:t>total shipping</w:t>
      </w:r>
      <w:r w:rsidR="009C7A0F">
        <w:t xml:space="preserve">: </w:t>
      </w:r>
      <w:r w:rsidR="00EA002F" w:rsidRPr="003116D3">
        <w:t xml:space="preserve">dotted </w:t>
      </w:r>
      <w:r w:rsidR="00F71C23" w:rsidRPr="003116D3">
        <w:t>bar</w:t>
      </w:r>
      <w:r w:rsidRPr="003116D3">
        <w:t>).</w:t>
      </w:r>
      <w:r>
        <w:t xml:space="preserve"> (</w:t>
      </w:r>
      <w:r w:rsidR="001308EB">
        <w:t>From</w:t>
      </w:r>
      <w:r>
        <w:t xml:space="preserve"> </w:t>
      </w:r>
      <w:r w:rsidR="00102BB0">
        <w:t>3</w:t>
      </w:r>
      <w:r w:rsidR="00102BB0" w:rsidRPr="00102BB0">
        <w:rPr>
          <w:vertAlign w:val="superscript"/>
        </w:rPr>
        <w:t>O</w:t>
      </w:r>
      <w:r w:rsidR="00102BB0">
        <w:t xml:space="preserve"> IMO-GHG’s </w:t>
      </w:r>
      <w:r w:rsidR="00735FD6">
        <w:fldChar w:fldCharType="begin"/>
      </w:r>
      <w:r w:rsidR="00735FD6">
        <w:instrText xml:space="preserve"> REF _Ref510108220 \r \h </w:instrText>
      </w:r>
      <w:r w:rsidR="00735FD6">
        <w:fldChar w:fldCharType="separate"/>
      </w:r>
      <w:r w:rsidR="00D54C3A">
        <w:t>[12]</w:t>
      </w:r>
      <w:r w:rsidR="00735FD6">
        <w:fldChar w:fldCharType="end"/>
      </w:r>
      <w:r w:rsidR="00735FD6">
        <w:t xml:space="preserve"> </w:t>
      </w:r>
      <w:r>
        <w:t>and IPPC 2014 inventory</w:t>
      </w:r>
      <w:r w:rsidR="00735FD6">
        <w:t xml:space="preserve"> </w:t>
      </w:r>
      <w:r w:rsidR="00735FD6">
        <w:fldChar w:fldCharType="begin"/>
      </w:r>
      <w:r w:rsidR="00735FD6">
        <w:instrText xml:space="preserve"> REF _Ref509838252 \r \h </w:instrText>
      </w:r>
      <w:r w:rsidR="00735FD6">
        <w:fldChar w:fldCharType="separate"/>
      </w:r>
      <w:r w:rsidR="00D54C3A">
        <w:t>[11]</w:t>
      </w:r>
      <w:r w:rsidR="00735FD6">
        <w:fldChar w:fldCharType="end"/>
      </w:r>
      <w:r>
        <w:t>)</w:t>
      </w:r>
      <w:r w:rsidR="00BE1AD0">
        <w:t>.</w:t>
      </w:r>
      <w:r w:rsidR="00CE0374">
        <w:t xml:space="preserve">  </w:t>
      </w:r>
    </w:p>
    <w:p w14:paraId="3CE3D566" w14:textId="0EFCE64D" w:rsidR="000602AA" w:rsidRDefault="00F05EA4" w:rsidP="00AA0815">
      <w:r>
        <w:lastRenderedPageBreak/>
        <w:t>The CO</w:t>
      </w:r>
      <w:r>
        <w:rPr>
          <w:vertAlign w:val="subscript"/>
        </w:rPr>
        <w:t>2</w:t>
      </w:r>
      <w:r>
        <w:t xml:space="preserve"> is not the only GHG emitted by ships. In 2012, the emissions of CH</w:t>
      </w:r>
      <w:r>
        <w:rPr>
          <w:vertAlign w:val="subscript"/>
        </w:rPr>
        <w:t>4</w:t>
      </w:r>
      <w:r>
        <w:t xml:space="preserve"> and N</w:t>
      </w:r>
      <w:r>
        <w:rPr>
          <w:vertAlign w:val="subscript"/>
        </w:rPr>
        <w:t>2</w:t>
      </w:r>
      <w:r>
        <w:t xml:space="preserve">O were respectively: 9.8 and 12.71 </w:t>
      </w:r>
      <w:r w:rsidR="00CE0374">
        <w:t>k</w:t>
      </w:r>
      <w:r w:rsidR="00423F42">
        <w:t>ton</w:t>
      </w:r>
      <w:r>
        <w:t>s. These pollutants</w:t>
      </w:r>
      <w:r w:rsidR="00CE0374">
        <w:t>,</w:t>
      </w:r>
      <w:r>
        <w:t xml:space="preserve"> </w:t>
      </w:r>
      <w:r w:rsidR="00CE0374">
        <w:t>together with</w:t>
      </w:r>
      <w:r>
        <w:t xml:space="preserve"> CO</w:t>
      </w:r>
      <w:r>
        <w:rPr>
          <w:vertAlign w:val="subscript"/>
        </w:rPr>
        <w:t>2</w:t>
      </w:r>
      <w:r w:rsidR="009C7A0F">
        <w:t xml:space="preserve">, </w:t>
      </w:r>
      <w:r>
        <w:t xml:space="preserve">contribute to the </w:t>
      </w:r>
      <w:r w:rsidR="00CE0374">
        <w:t xml:space="preserve">total </w:t>
      </w:r>
      <w:r>
        <w:t xml:space="preserve">of GHG </w:t>
      </w:r>
      <w:r w:rsidR="00CE0374">
        <w:t xml:space="preserve">emissions </w:t>
      </w:r>
      <w:r>
        <w:t>[12].</w:t>
      </w:r>
    </w:p>
    <w:p w14:paraId="0CEA39DE" w14:textId="1DA324C8" w:rsidR="00F24B16" w:rsidRDefault="000602AA" w:rsidP="000602AA">
      <w:r>
        <w:t xml:space="preserve">Data </w:t>
      </w:r>
      <w:r w:rsidR="00F24B16">
        <w:t xml:space="preserve">updated </w:t>
      </w:r>
      <w:r>
        <w:t>to</w:t>
      </w:r>
      <w:r w:rsidR="00F24B16">
        <w:t xml:space="preserve"> 2012 can be compared with </w:t>
      </w:r>
      <w:r>
        <w:t>a</w:t>
      </w:r>
      <w:r w:rsidR="00F24B16">
        <w:t xml:space="preserve"> </w:t>
      </w:r>
      <w:r>
        <w:t>prediction of the</w:t>
      </w:r>
      <w:r w:rsidR="00F24B16">
        <w:t xml:space="preserve"> annual emission </w:t>
      </w:r>
      <w:r>
        <w:t>of the</w:t>
      </w:r>
      <w:r w:rsidR="00F24B16">
        <w:t xml:space="preserve"> maritime sector realized</w:t>
      </w:r>
      <w:r>
        <w:t xml:space="preserve"> for 2015 </w:t>
      </w:r>
      <w:r w:rsidR="00F24B16">
        <w:t xml:space="preserve">through AIS data and the STEAM3 model </w:t>
      </w:r>
      <w:r w:rsidR="00F24B16">
        <w:fldChar w:fldCharType="begin"/>
      </w:r>
      <w:r w:rsidR="00F24B16">
        <w:instrText xml:space="preserve"> REF _Ref511643601 \r \h </w:instrText>
      </w:r>
      <w:r w:rsidR="00F24B16">
        <w:fldChar w:fldCharType="separate"/>
      </w:r>
      <w:r w:rsidR="00D54C3A">
        <w:t>[13]</w:t>
      </w:r>
      <w:r w:rsidR="00F24B16">
        <w:fldChar w:fldCharType="end"/>
      </w:r>
      <w:r w:rsidR="00382C0E">
        <w:t>.</w:t>
      </w:r>
    </w:p>
    <w:p w14:paraId="4F1E0C39" w14:textId="75716B83" w:rsidR="00F54744" w:rsidRDefault="00F24B16" w:rsidP="00AA0815">
      <w:r>
        <w:t>A</w:t>
      </w:r>
      <w:r w:rsidRPr="00F24B16">
        <w:t>ccording to this study</w:t>
      </w:r>
      <w:r>
        <w:t>,</w:t>
      </w:r>
      <w:r w:rsidR="000602AA">
        <w:t xml:space="preserve"> </w:t>
      </w:r>
      <w:r>
        <w:t xml:space="preserve">about </w:t>
      </w:r>
      <w:r w:rsidRPr="00F24B16">
        <w:t>8.3 Gt CO</w:t>
      </w:r>
      <w:r w:rsidRPr="00382C0E">
        <w:rPr>
          <w:vertAlign w:val="subscript"/>
        </w:rPr>
        <w:t xml:space="preserve">2 </w:t>
      </w:r>
      <w:r w:rsidRPr="00F24B16">
        <w:t xml:space="preserve">were produced </w:t>
      </w:r>
      <w:r w:rsidR="000602AA">
        <w:t xml:space="preserve">in that year </w:t>
      </w:r>
      <w:r w:rsidRPr="00F24B16">
        <w:t>by ships</w:t>
      </w:r>
      <w:r w:rsidR="000602AA">
        <w:t>,</w:t>
      </w:r>
      <w:r w:rsidRPr="00F24B16">
        <w:t xml:space="preserve"> of which</w:t>
      </w:r>
      <w:r>
        <w:t xml:space="preserve"> 7.5 from</w:t>
      </w:r>
      <w:r w:rsidRPr="00F24B16">
        <w:t xml:space="preserve"> IMO-registered ships</w:t>
      </w:r>
      <w:r w:rsidR="000602AA">
        <w:t>,</w:t>
      </w:r>
      <w:r w:rsidR="009114C8" w:rsidRPr="009114C8">
        <w:t xml:space="preserve"> </w:t>
      </w:r>
      <w:r w:rsidR="009114C8">
        <w:t>with the most significant contributions coming from container ships, carriers and taker</w:t>
      </w:r>
      <w:r w:rsidR="000602AA">
        <w:t>s. Follow</w:t>
      </w:r>
      <w:r w:rsidR="009114C8">
        <w:t>ing t</w:t>
      </w:r>
      <w:r w:rsidR="000602AA">
        <w:t>he same</w:t>
      </w:r>
      <w:r w:rsidR="009114C8">
        <w:t xml:space="preserve"> study, </w:t>
      </w:r>
      <w:r w:rsidRPr="00F24B16">
        <w:t>the four largest fleets (Panama, China, Liberia and Marshall Islands) were responsible for almost 50% of these emissions</w:t>
      </w:r>
      <w:r w:rsidR="009114C8">
        <w:t>.</w:t>
      </w:r>
    </w:p>
    <w:p w14:paraId="4D46C83B" w14:textId="7D382C4C" w:rsidR="000238CA" w:rsidRDefault="00F05EA4" w:rsidP="00AA0815">
      <w:pPr>
        <w:pStyle w:val="Titolo2"/>
        <w:numPr>
          <w:ilvl w:val="1"/>
          <w:numId w:val="9"/>
        </w:numPr>
      </w:pPr>
      <w:r>
        <w:t xml:space="preserve">Future scenarios </w:t>
      </w:r>
    </w:p>
    <w:p w14:paraId="531A45D7" w14:textId="64B3E844" w:rsidR="000238CA" w:rsidRDefault="00CE0374" w:rsidP="007D5616">
      <w:pPr>
        <w:ind w:firstLine="0"/>
      </w:pPr>
      <w:r>
        <w:t xml:space="preserve">Dealing with predictions about future </w:t>
      </w:r>
      <w:r w:rsidR="00F05EA4">
        <w:t>emission</w:t>
      </w:r>
      <w:r>
        <w:t>s</w:t>
      </w:r>
      <w:r w:rsidR="00F05EA4">
        <w:t xml:space="preserve"> of GHG in the </w:t>
      </w:r>
      <w:r w:rsidR="00F647B1">
        <w:t xml:space="preserve">shipping </w:t>
      </w:r>
      <w:r w:rsidR="00F05EA4">
        <w:t>field</w:t>
      </w:r>
      <w:r>
        <w:t xml:space="preserve">, development </w:t>
      </w:r>
      <w:r w:rsidR="00F05EA4">
        <w:t>scenarios</w:t>
      </w:r>
      <w:r>
        <w:t xml:space="preserve"> are to be hypothesized</w:t>
      </w:r>
      <w:r w:rsidR="00F05EA4">
        <w:t xml:space="preserve">. In the </w:t>
      </w:r>
      <w:r>
        <w:t xml:space="preserve">second last </w:t>
      </w:r>
      <w:r w:rsidR="00F05EA4">
        <w:t xml:space="preserve">IPCC report </w:t>
      </w:r>
      <w:r w:rsidR="00A73765">
        <w:fldChar w:fldCharType="begin"/>
      </w:r>
      <w:r w:rsidR="00A73765">
        <w:instrText xml:space="preserve"> REF _Ref511644109 \r \h </w:instrText>
      </w:r>
      <w:r w:rsidR="00A73765">
        <w:fldChar w:fldCharType="separate"/>
      </w:r>
      <w:r w:rsidR="00D54C3A">
        <w:t>[14]</w:t>
      </w:r>
      <w:r w:rsidR="00A73765">
        <w:fldChar w:fldCharType="end"/>
      </w:r>
      <w:r w:rsidR="00F05EA4">
        <w:t xml:space="preserve"> </w:t>
      </w:r>
      <w:r>
        <w:t xml:space="preserve">quite </w:t>
      </w:r>
      <w:r w:rsidR="00F05EA4">
        <w:t xml:space="preserve">worrying increases </w:t>
      </w:r>
      <w:r>
        <w:t xml:space="preserve">in emissions </w:t>
      </w:r>
      <w:r w:rsidR="00F05EA4">
        <w:t>were expected</w:t>
      </w:r>
      <w:r>
        <w:t>:</w:t>
      </w:r>
      <w:r w:rsidR="00F05EA4">
        <w:t xml:space="preserve"> assum</w:t>
      </w:r>
      <w:r>
        <w:t>ing</w:t>
      </w:r>
      <w:r w:rsidR="00F05EA4">
        <w:t xml:space="preserve"> a “</w:t>
      </w:r>
      <w:r w:rsidR="00F05EA4" w:rsidRPr="00401A26">
        <w:rPr>
          <w:i/>
        </w:rPr>
        <w:t>business as usual</w:t>
      </w:r>
      <w:r w:rsidR="00F05EA4">
        <w:t xml:space="preserve">” (BAU) </w:t>
      </w:r>
      <w:r>
        <w:t xml:space="preserve">economic </w:t>
      </w:r>
      <w:r w:rsidR="00F05EA4">
        <w:t xml:space="preserve">growth and the absence of strong precautionary measures, from 2002 to 2030 </w:t>
      </w:r>
      <w:r w:rsidR="004E1F63">
        <w:t xml:space="preserve">a </w:t>
      </w:r>
      <w:r w:rsidR="00F05EA4">
        <w:t>increase</w:t>
      </w:r>
      <w:r>
        <w:t xml:space="preserve"> in emissions</w:t>
      </w:r>
      <w:r w:rsidR="00F05EA4">
        <w:t xml:space="preserve"> </w:t>
      </w:r>
      <w:r w:rsidR="000602AA">
        <w:t xml:space="preserve">of </w:t>
      </w:r>
      <w:r w:rsidR="00F05EA4">
        <w:t>about 80%</w:t>
      </w:r>
      <w:r w:rsidR="004E1F63" w:rsidRPr="004E1F63">
        <w:t xml:space="preserve"> </w:t>
      </w:r>
      <w:r w:rsidR="004E1F63">
        <w:t>was expected</w:t>
      </w:r>
      <w:r w:rsidR="00F05EA4">
        <w:t xml:space="preserve"> [1] [12]. This increase, according to the study, could occur, </w:t>
      </w:r>
      <w:r>
        <w:t>in the absence</w:t>
      </w:r>
      <w:r w:rsidR="00F05EA4">
        <w:t xml:space="preserve"> of precautionary measures, with a</w:t>
      </w:r>
      <w:r>
        <w:t xml:space="preserve">n average increase </w:t>
      </w:r>
      <w:r w:rsidR="00BE1AD0">
        <w:t>of 2.1</w:t>
      </w:r>
      <w:r w:rsidR="00F05EA4">
        <w:t xml:space="preserve">% per year </w:t>
      </w:r>
      <w:r w:rsidR="000602AA">
        <w:t>(</w:t>
      </w:r>
      <w:r w:rsidR="00F05EA4">
        <w:t>with peaks of 3.65%</w:t>
      </w:r>
      <w:r>
        <w:t xml:space="preserve"> per year</w:t>
      </w:r>
      <w:r w:rsidR="00F05EA4">
        <w:t xml:space="preserve"> for developing countries</w:t>
      </w:r>
      <w:r w:rsidR="000602AA">
        <w:t>)</w:t>
      </w:r>
      <w:r w:rsidR="00F05EA4">
        <w:t xml:space="preserve">. </w:t>
      </w:r>
      <w:r w:rsidR="00F05EA4">
        <w:rPr>
          <w:szCs w:val="20"/>
        </w:rPr>
        <w:t xml:space="preserve">At the same time, the potential </w:t>
      </w:r>
      <w:r>
        <w:rPr>
          <w:szCs w:val="20"/>
        </w:rPr>
        <w:t xml:space="preserve">impact of possible countermeasures </w:t>
      </w:r>
      <w:r w:rsidR="00F05EA4">
        <w:rPr>
          <w:szCs w:val="20"/>
        </w:rPr>
        <w:t>w</w:t>
      </w:r>
      <w:r w:rsidR="004E1F63">
        <w:rPr>
          <w:szCs w:val="20"/>
        </w:rPr>
        <w:t>as</w:t>
      </w:r>
      <w:r w:rsidR="00F05EA4">
        <w:rPr>
          <w:szCs w:val="20"/>
        </w:rPr>
        <w:t xml:space="preserve"> estimated</w:t>
      </w:r>
      <w:r>
        <w:rPr>
          <w:szCs w:val="20"/>
        </w:rPr>
        <w:t xml:space="preserve">. These </w:t>
      </w:r>
      <w:r w:rsidR="00F05EA4">
        <w:rPr>
          <w:szCs w:val="20"/>
        </w:rPr>
        <w:t xml:space="preserve"> potential </w:t>
      </w:r>
      <w:r>
        <w:rPr>
          <w:szCs w:val="20"/>
        </w:rPr>
        <w:t xml:space="preserve">effects </w:t>
      </w:r>
      <w:r w:rsidR="00F05EA4">
        <w:rPr>
          <w:szCs w:val="20"/>
        </w:rPr>
        <w:t>were roughly confirmed by the last available IPCC report. Below are the possible reduction scenarios:</w:t>
      </w:r>
    </w:p>
    <w:p w14:paraId="31F61D40" w14:textId="5EFD512F" w:rsidR="000238CA" w:rsidRPr="007D5616" w:rsidRDefault="00F05EA4" w:rsidP="007D5616">
      <w:pPr>
        <w:pStyle w:val="elencopuntatoNAV"/>
      </w:pPr>
      <w:r w:rsidRPr="00466B63">
        <w:t xml:space="preserve">From 5% to 30% </w:t>
      </w:r>
      <w:r w:rsidR="00CE0374" w:rsidRPr="00466B63">
        <w:t xml:space="preserve">of emission reduction </w:t>
      </w:r>
      <w:r w:rsidRPr="00466B63">
        <w:t xml:space="preserve">on new ships with the optimization of engines, transmissions,  hull forms, </w:t>
      </w:r>
      <w:r w:rsidR="00CE0374" w:rsidRPr="00466B63">
        <w:t xml:space="preserve">the use of </w:t>
      </w:r>
      <w:r w:rsidRPr="00466B63">
        <w:t>alternative fuels (LNG, biofuels),</w:t>
      </w:r>
      <w:r w:rsidR="00CE0374" w:rsidRPr="00263B7E">
        <w:t xml:space="preserve"> </w:t>
      </w:r>
      <w:r w:rsidRPr="00263B7E">
        <w:t>reduc</w:t>
      </w:r>
      <w:r w:rsidR="00CE0374" w:rsidRPr="00263B7E">
        <w:t xml:space="preserve">tion of </w:t>
      </w:r>
      <w:r w:rsidRPr="00263B7E">
        <w:t xml:space="preserve">weight, </w:t>
      </w:r>
      <w:r w:rsidR="00CE0374" w:rsidRPr="00263B7E">
        <w:t xml:space="preserve">use of renewable </w:t>
      </w:r>
      <w:r w:rsidRPr="000B3D49">
        <w:t xml:space="preserve">energy </w:t>
      </w:r>
      <w:r w:rsidR="00CE0374" w:rsidRPr="00110FA8">
        <w:t>from the</w:t>
      </w:r>
      <w:r w:rsidRPr="00110FA8">
        <w:t xml:space="preserve"> wind or </w:t>
      </w:r>
      <w:r w:rsidR="00CE0374" w:rsidRPr="00110FA8">
        <w:t xml:space="preserve">the </w:t>
      </w:r>
      <w:r w:rsidRPr="007D5616">
        <w:t>sun, and optimiz</w:t>
      </w:r>
      <w:r w:rsidR="00CE0374" w:rsidRPr="007D5616">
        <w:t xml:space="preserve">ation of the </w:t>
      </w:r>
      <w:r w:rsidRPr="007D5616">
        <w:t>speed</w:t>
      </w:r>
      <w:r w:rsidR="00CE0374" w:rsidRPr="007D5616">
        <w:t xml:space="preserve"> of ships</w:t>
      </w:r>
      <w:r w:rsidRPr="007D5616">
        <w:t xml:space="preserve"> </w:t>
      </w:r>
      <w:r w:rsidR="00A73765">
        <w:fldChar w:fldCharType="begin"/>
      </w:r>
      <w:r w:rsidR="00A73765">
        <w:instrText xml:space="preserve"> REF _Ref511644149 \r \h </w:instrText>
      </w:r>
      <w:r w:rsidR="00A73765">
        <w:fldChar w:fldCharType="separate"/>
      </w:r>
      <w:r w:rsidR="00D54C3A">
        <w:t>[15]</w:t>
      </w:r>
      <w:r w:rsidR="00A73765">
        <w:fldChar w:fldCharType="end"/>
      </w:r>
    </w:p>
    <w:p w14:paraId="49CCF96A" w14:textId="2D88DF53" w:rsidR="000238CA" w:rsidRPr="007D5616" w:rsidRDefault="00F05EA4" w:rsidP="007D5616">
      <w:pPr>
        <w:pStyle w:val="elencopuntatoNAV"/>
      </w:pPr>
      <w:r w:rsidRPr="007D5616">
        <w:t xml:space="preserve">4% to 20% </w:t>
      </w:r>
      <w:r w:rsidR="00CE0374" w:rsidRPr="007D5616">
        <w:t xml:space="preserve">of improvement </w:t>
      </w:r>
      <w:r w:rsidRPr="007D5616">
        <w:t xml:space="preserve">with retrofit actions capable </w:t>
      </w:r>
      <w:r w:rsidR="00CE0374" w:rsidRPr="007D5616">
        <w:t>of</w:t>
      </w:r>
      <w:r w:rsidRPr="007D5616">
        <w:t xml:space="preserve"> providing additional efficiency</w:t>
      </w:r>
    </w:p>
    <w:p w14:paraId="585E4A8F" w14:textId="7BF23345" w:rsidR="00CE0374" w:rsidRPr="007D5616" w:rsidRDefault="00F05EA4" w:rsidP="007D5616">
      <w:pPr>
        <w:pStyle w:val="elencopuntatoNAV"/>
      </w:pPr>
      <w:r w:rsidRPr="007D5616">
        <w:t>Peak</w:t>
      </w:r>
      <w:r w:rsidR="00CE0374" w:rsidRPr="007D5616">
        <w:t xml:space="preserve"> emission reduction</w:t>
      </w:r>
      <w:r w:rsidRPr="007D5616">
        <w:t xml:space="preserve">s </w:t>
      </w:r>
      <w:r w:rsidR="00CE0374" w:rsidRPr="007D5616">
        <w:t xml:space="preserve">are reported to be possibly </w:t>
      </w:r>
      <w:r w:rsidRPr="007D5616">
        <w:t>achieved for all types of ocean-going ship</w:t>
      </w:r>
      <w:r w:rsidR="00CE0374" w:rsidRPr="007D5616">
        <w:t>s,</w:t>
      </w:r>
      <w:r w:rsidRPr="007D5616">
        <w:t xml:space="preserve"> for which </w:t>
      </w:r>
      <w:r w:rsidR="00CE0374" w:rsidRPr="007D5616">
        <w:t>a</w:t>
      </w:r>
      <w:r w:rsidRPr="007D5616">
        <w:t xml:space="preserve"> wide</w:t>
      </w:r>
      <w:r w:rsidR="00CE0374" w:rsidRPr="007D5616">
        <w:t>r</w:t>
      </w:r>
      <w:r w:rsidRPr="007D5616">
        <w:t xml:space="preserve"> range of technological solutions would allow reduction</w:t>
      </w:r>
      <w:r w:rsidR="00CE0374" w:rsidRPr="007D5616">
        <w:t>s</w:t>
      </w:r>
      <w:r w:rsidRPr="007D5616">
        <w:t xml:space="preserve"> up to 50%. </w:t>
      </w:r>
    </w:p>
    <w:p w14:paraId="57893731" w14:textId="42E8E893" w:rsidR="000238CA" w:rsidRDefault="00A74E21" w:rsidP="00AA0815">
      <w:r>
        <w:t>D</w:t>
      </w:r>
      <w:r w:rsidR="00F05EA4">
        <w:t>ata update</w:t>
      </w:r>
      <w:r>
        <w:t>d</w:t>
      </w:r>
      <w:r w:rsidR="00F05EA4">
        <w:t xml:space="preserve"> to 2010 </w:t>
      </w:r>
      <w:r>
        <w:t>report</w:t>
      </w:r>
      <w:r w:rsidR="00F05EA4">
        <w:t xml:space="preserve"> emission</w:t>
      </w:r>
      <w:r>
        <w:t>s</w:t>
      </w:r>
      <w:r w:rsidR="00F05EA4">
        <w:t xml:space="preserve"> ranging from</w:t>
      </w:r>
      <w:r w:rsidR="00AA0815">
        <w:t xml:space="preserve"> </w:t>
      </w:r>
      <w:r w:rsidR="00F05EA4">
        <w:t>10 to 40 g CO</w:t>
      </w:r>
      <w:r w:rsidR="00F05EA4">
        <w:rPr>
          <w:vertAlign w:val="subscript"/>
        </w:rPr>
        <w:t>2</w:t>
      </w:r>
      <w:r w:rsidR="00F05EA4">
        <w:t>/t-km; these values could potentially decrease by 43% in 2020 and by 63% in 2050.</w:t>
      </w:r>
    </w:p>
    <w:p w14:paraId="01D6443B" w14:textId="71D3030F" w:rsidR="000238CA" w:rsidRDefault="004E1F63" w:rsidP="00114F8D">
      <w:r>
        <w:t xml:space="preserve">The </w:t>
      </w:r>
      <w:r w:rsidR="00263B7E" w:rsidRPr="00401A26">
        <w:rPr>
          <w:i/>
        </w:rPr>
        <w:t>United Nations Conference on Trade and Development</w:t>
      </w:r>
      <w:r w:rsidR="00263B7E">
        <w:t xml:space="preserve"> (</w:t>
      </w:r>
      <w:r w:rsidR="00F05EA4">
        <w:t xml:space="preserve">UNCTAD) </w:t>
      </w:r>
      <w:r w:rsidR="00A73765">
        <w:fldChar w:fldCharType="begin"/>
      </w:r>
      <w:r w:rsidR="00A73765">
        <w:instrText xml:space="preserve"> REF _Ref511644007 \r \h </w:instrText>
      </w:r>
      <w:r w:rsidR="00A73765">
        <w:fldChar w:fldCharType="separate"/>
      </w:r>
      <w:r w:rsidR="00D54C3A">
        <w:t>[16]</w:t>
      </w:r>
      <w:r w:rsidR="00A73765">
        <w:fldChar w:fldCharType="end"/>
      </w:r>
      <w:r w:rsidR="00F05EA4">
        <w:t>, on the other hand, state</w:t>
      </w:r>
      <w:r>
        <w:t>d</w:t>
      </w:r>
      <w:r w:rsidR="00F05EA4">
        <w:t xml:space="preserve"> </w:t>
      </w:r>
      <w:r>
        <w:t xml:space="preserve">in 2017 </w:t>
      </w:r>
      <w:r w:rsidR="00F05EA4">
        <w:t xml:space="preserve">that there is </w:t>
      </w:r>
      <w:r w:rsidR="00A74E21">
        <w:t xml:space="preserve">a </w:t>
      </w:r>
      <w:r w:rsidR="00F05EA4">
        <w:t xml:space="preserve">possibility of reducing emissions by up to 75% by implementing appropriate technical and operational measures in the maritime sector. Also the IMO hypothesized scenarios of </w:t>
      </w:r>
      <w:r w:rsidR="00CE0374">
        <w:t xml:space="preserve">development </w:t>
      </w:r>
      <w:r w:rsidR="00F05EA4">
        <w:t>cover</w:t>
      </w:r>
      <w:r w:rsidR="00CE0374">
        <w:t>ing</w:t>
      </w:r>
      <w:r w:rsidR="00F05EA4">
        <w:t xml:space="preserve"> the period from 2012 to 2050. These IMO scenario</w:t>
      </w:r>
      <w:r w:rsidR="00CE0374">
        <w:t>s</w:t>
      </w:r>
      <w:r w:rsidR="00F05EA4">
        <w:t xml:space="preserve"> [12] </w:t>
      </w:r>
      <w:r w:rsidR="00CE0374">
        <w:t>are composed by</w:t>
      </w:r>
      <w:r w:rsidR="00F05EA4">
        <w:t xml:space="preserve"> the combination of two different paths:</w:t>
      </w:r>
    </w:p>
    <w:p w14:paraId="14042A28" w14:textId="77777777" w:rsidR="000238CA" w:rsidRPr="00263B7E" w:rsidRDefault="00F05EA4" w:rsidP="007D5616">
      <w:pPr>
        <w:pStyle w:val="elencopuntatoNAV"/>
      </w:pPr>
      <w:r w:rsidRPr="00466B63">
        <w:t>RCPs “Representative Concentration Pathways” for future demand of coal and oil in transport</w:t>
      </w:r>
    </w:p>
    <w:p w14:paraId="7ED20623" w14:textId="77777777" w:rsidR="000238CA" w:rsidRPr="00263B7E" w:rsidRDefault="00F05EA4" w:rsidP="007D5616">
      <w:pPr>
        <w:pStyle w:val="elencopuntatoNAV"/>
      </w:pPr>
      <w:r w:rsidRPr="00263B7E">
        <w:t>SSPs “Shared Socioeconomic Pathways” for future economic growth.</w:t>
      </w:r>
    </w:p>
    <w:p w14:paraId="7AFF81C4" w14:textId="491CD539" w:rsidR="000238CA" w:rsidRDefault="00F05EA4" w:rsidP="00F97365">
      <w:r>
        <w:t xml:space="preserve">Both scenarios assume that the </w:t>
      </w:r>
      <w:r w:rsidR="000602AA">
        <w:t xml:space="preserve">present </w:t>
      </w:r>
      <w:r>
        <w:t xml:space="preserve">policies on energy efficiency and emission of ships remain in force and that no </w:t>
      </w:r>
      <w:r w:rsidR="00A74E21">
        <w:t xml:space="preserve">restrictions </w:t>
      </w:r>
      <w:r>
        <w:t>or additional policies will be introduced (BAU scenarios). In addition, for each of the BAU scenarios, the IMO developed three policy scenarios hav</w:t>
      </w:r>
      <w:r w:rsidR="000602AA">
        <w:t>ing an</w:t>
      </w:r>
      <w:r>
        <w:t xml:space="preserve"> increased action on either energy efficiency or emission or both.  In total, </w:t>
      </w:r>
      <w:r w:rsidR="00A74E21">
        <w:t xml:space="preserve">projections of </w:t>
      </w:r>
      <w:r>
        <w:t>emission</w:t>
      </w:r>
      <w:r w:rsidR="00A74E21">
        <w:t>s</w:t>
      </w:r>
      <w:r>
        <w:t xml:space="preserve"> are </w:t>
      </w:r>
      <w:r w:rsidR="00A74E21">
        <w:t>made</w:t>
      </w:r>
      <w:r>
        <w:t xml:space="preserve"> for 16 scenarios. There are four main </w:t>
      </w:r>
      <w:r>
        <w:lastRenderedPageBreak/>
        <w:t>R</w:t>
      </w:r>
      <w:r w:rsidR="00CE0374">
        <w:t>CP</w:t>
      </w:r>
      <w:r>
        <w:t>s in use: RCP</w:t>
      </w:r>
      <w:r w:rsidR="00CE0374">
        <w:t xml:space="preserve"> </w:t>
      </w:r>
      <w:r>
        <w:t xml:space="preserve">2.6/4.5/6.0/8.5; the number associated with the RCP refer </w:t>
      </w:r>
      <w:r w:rsidRPr="00F71C23">
        <w:t>to resultant, in W/m</w:t>
      </w:r>
      <w:r w:rsidRPr="00FF55EE">
        <w:rPr>
          <w:vertAlign w:val="superscript"/>
        </w:rPr>
        <w:t>2</w:t>
      </w:r>
      <w:r w:rsidRPr="00F71C23">
        <w:t>, of radiative forcing by 2100</w:t>
      </w:r>
      <w:r w:rsidR="00F71C23" w:rsidRPr="00401A26">
        <w:t>. The envisaged scenarios foresee increases in the average global temperature ranging from 1.5 to 4.9 degrees.</w:t>
      </w:r>
      <w:r w:rsidR="00114F8D">
        <w:t xml:space="preserve"> </w:t>
      </w:r>
      <w:r w:rsidRPr="00401A26">
        <w:t>For SSPs there are five different possible scenarios ranging from sustainability to conventional development (1-5).</w:t>
      </w:r>
      <w:r w:rsidR="003461F3" w:rsidRPr="00401A26">
        <w:t xml:space="preserve"> The possible combinations are shown in the table 4; those</w:t>
      </w:r>
      <w:r w:rsidRPr="00401A26">
        <w:t xml:space="preserve"> considered by the IMO </w:t>
      </w:r>
      <w:r w:rsidR="003461F3" w:rsidRPr="00401A26">
        <w:t>were</w:t>
      </w:r>
      <w:r w:rsidRPr="00401A26">
        <w:t xml:space="preserve"> RCP8.5-SSP5; RCP6-SSP1; RCP4.5-SSP3; RCP2.6-SSP4.</w:t>
      </w:r>
      <w:r w:rsidR="00F97365" w:rsidRPr="00F97365">
        <w:t xml:space="preserve"> </w:t>
      </w:r>
      <w:r w:rsidR="00F97365">
        <w:t>In this paper, as example of all the possible scenarios projected, the extreme ones (3 [continuous line] and 13 [dashed lines]) are reported in Figure 5.</w:t>
      </w:r>
    </w:p>
    <w:p w14:paraId="00DB82C3" w14:textId="1783BB47" w:rsidR="003461F3" w:rsidRPr="00401A26" w:rsidRDefault="003461F3" w:rsidP="009556B6">
      <w:pPr>
        <w:pStyle w:val="CaptionShort"/>
        <w:rPr>
          <w:b/>
        </w:rPr>
      </w:pPr>
      <w:r w:rsidRPr="007D5616">
        <w:rPr>
          <w:b/>
          <w:color w:val="auto"/>
        </w:rPr>
        <w:t>Table 4.</w:t>
      </w:r>
      <w:r w:rsidRPr="00401A26">
        <w:t xml:space="preserve"> Overview of assumptions per scenarios</w:t>
      </w:r>
      <w:r w:rsidR="001308EB" w:rsidRPr="00401A26">
        <w:t xml:space="preserve"> </w:t>
      </w:r>
      <w:r w:rsidR="001308EB" w:rsidRPr="00401A26">
        <w:rPr>
          <w:szCs w:val="16"/>
        </w:rPr>
        <w:t xml:space="preserve">(From </w:t>
      </w:r>
      <w:r w:rsidR="00102BB0">
        <w:t>3</w:t>
      </w:r>
      <w:r w:rsidR="00102BB0" w:rsidRPr="00102BB0">
        <w:rPr>
          <w:vertAlign w:val="superscript"/>
        </w:rPr>
        <w:t>O</w:t>
      </w:r>
      <w:r w:rsidR="00102BB0">
        <w:t xml:space="preserve"> IMO-GHG’s)</w:t>
      </w:r>
      <w:r w:rsidR="00F54744">
        <w:t xml:space="preserve"> </w:t>
      </w:r>
      <w:r w:rsidR="00735FD6">
        <w:fldChar w:fldCharType="begin"/>
      </w:r>
      <w:r w:rsidR="00735FD6">
        <w:instrText xml:space="preserve"> REF _Ref510108220 \r \h </w:instrText>
      </w:r>
      <w:r w:rsidR="00735FD6">
        <w:fldChar w:fldCharType="separate"/>
      </w:r>
      <w:r w:rsidR="00D54C3A">
        <w:t>[12]</w:t>
      </w:r>
      <w:r w:rsidR="00735FD6">
        <w:fldChar w:fldCharType="end"/>
      </w:r>
      <w:r w:rsidR="00102BB0">
        <w:t>.</w:t>
      </w:r>
    </w:p>
    <w:tbl>
      <w:tblPr>
        <w:tblW w:w="7264" w:type="dxa"/>
        <w:jc w:val="center"/>
        <w:tblLayout w:type="fixed"/>
        <w:tblLook w:val="0000" w:firstRow="0" w:lastRow="0" w:firstColumn="0" w:lastColumn="0" w:noHBand="0" w:noVBand="0"/>
      </w:tblPr>
      <w:tblGrid>
        <w:gridCol w:w="1486"/>
        <w:gridCol w:w="1615"/>
        <w:gridCol w:w="1615"/>
        <w:gridCol w:w="1274"/>
        <w:gridCol w:w="1274"/>
      </w:tblGrid>
      <w:tr w:rsidR="00166780" w:rsidRPr="00466B63" w14:paraId="0F80BC33" w14:textId="0FDD350F" w:rsidTr="00FF55EE">
        <w:trPr>
          <w:jc w:val="center"/>
        </w:trPr>
        <w:tc>
          <w:tcPr>
            <w:tcW w:w="1486" w:type="dxa"/>
            <w:tcBorders>
              <w:top w:val="single" w:sz="4" w:space="0" w:color="000000"/>
              <w:bottom w:val="single" w:sz="4" w:space="0" w:color="000000"/>
            </w:tcBorders>
          </w:tcPr>
          <w:p w14:paraId="042AA20A" w14:textId="19335789" w:rsidR="00166780" w:rsidRPr="007D5616" w:rsidRDefault="00166780" w:rsidP="007D5616">
            <w:pPr>
              <w:rPr>
                <w:sz w:val="16"/>
                <w:szCs w:val="16"/>
              </w:rPr>
            </w:pPr>
            <w:r w:rsidRPr="007D5616">
              <w:rPr>
                <w:sz w:val="16"/>
                <w:szCs w:val="16"/>
              </w:rPr>
              <w:t>Scenario</w:t>
            </w:r>
          </w:p>
        </w:tc>
        <w:tc>
          <w:tcPr>
            <w:tcW w:w="1615" w:type="dxa"/>
            <w:tcBorders>
              <w:top w:val="single" w:sz="4" w:space="0" w:color="000000"/>
              <w:bottom w:val="single" w:sz="4" w:space="0" w:color="000000"/>
            </w:tcBorders>
          </w:tcPr>
          <w:p w14:paraId="28999470" w14:textId="131577EF" w:rsidR="00166780" w:rsidRPr="007D5616" w:rsidRDefault="00166780" w:rsidP="007D5616">
            <w:pPr>
              <w:rPr>
                <w:sz w:val="16"/>
                <w:szCs w:val="16"/>
              </w:rPr>
            </w:pPr>
            <w:r w:rsidRPr="007D5616">
              <w:rPr>
                <w:sz w:val="16"/>
                <w:szCs w:val="16"/>
              </w:rPr>
              <w:t xml:space="preserve">RCP scenario </w:t>
            </w:r>
          </w:p>
        </w:tc>
        <w:tc>
          <w:tcPr>
            <w:tcW w:w="1615" w:type="dxa"/>
            <w:tcBorders>
              <w:top w:val="single" w:sz="4" w:space="0" w:color="000000"/>
              <w:bottom w:val="single" w:sz="4" w:space="0" w:color="000000"/>
            </w:tcBorders>
          </w:tcPr>
          <w:p w14:paraId="09D59A33" w14:textId="050FF66F" w:rsidR="00166780" w:rsidRPr="007D5616" w:rsidRDefault="00166780" w:rsidP="007D5616">
            <w:pPr>
              <w:rPr>
                <w:sz w:val="16"/>
                <w:szCs w:val="16"/>
              </w:rPr>
            </w:pPr>
            <w:r w:rsidRPr="007D5616">
              <w:rPr>
                <w:sz w:val="16"/>
                <w:szCs w:val="16"/>
              </w:rPr>
              <w:t>SSP</w:t>
            </w:r>
          </w:p>
        </w:tc>
        <w:tc>
          <w:tcPr>
            <w:tcW w:w="1274" w:type="dxa"/>
            <w:tcBorders>
              <w:top w:val="single" w:sz="4" w:space="0" w:color="000000"/>
              <w:bottom w:val="single" w:sz="4" w:space="0" w:color="000000"/>
            </w:tcBorders>
          </w:tcPr>
          <w:p w14:paraId="3EC10F9C" w14:textId="638267ED" w:rsidR="00166780" w:rsidRPr="007D5616" w:rsidRDefault="00166780" w:rsidP="00102BB0">
            <w:pPr>
              <w:ind w:firstLine="0"/>
              <w:rPr>
                <w:sz w:val="16"/>
                <w:szCs w:val="16"/>
              </w:rPr>
            </w:pPr>
            <w:r w:rsidRPr="007D5616">
              <w:rPr>
                <w:sz w:val="16"/>
                <w:szCs w:val="16"/>
              </w:rPr>
              <w:t>Efficiency improvement 2050</w:t>
            </w:r>
          </w:p>
        </w:tc>
        <w:tc>
          <w:tcPr>
            <w:tcW w:w="1274" w:type="dxa"/>
            <w:tcBorders>
              <w:top w:val="single" w:sz="4" w:space="0" w:color="000000"/>
              <w:bottom w:val="single" w:sz="4" w:space="0" w:color="000000"/>
            </w:tcBorders>
          </w:tcPr>
          <w:p w14:paraId="7E802B59" w14:textId="77777777" w:rsidR="00166780" w:rsidRPr="007D5616" w:rsidRDefault="00166780" w:rsidP="00102BB0">
            <w:pPr>
              <w:ind w:firstLine="0"/>
              <w:rPr>
                <w:sz w:val="16"/>
                <w:szCs w:val="16"/>
              </w:rPr>
            </w:pPr>
            <w:r w:rsidRPr="007D5616">
              <w:rPr>
                <w:sz w:val="16"/>
                <w:szCs w:val="16"/>
              </w:rPr>
              <w:t xml:space="preserve">Fuel mix                </w:t>
            </w:r>
          </w:p>
          <w:p w14:paraId="34494084" w14:textId="575DE2DC" w:rsidR="00166780" w:rsidRPr="007D5616" w:rsidRDefault="00166780" w:rsidP="00102BB0">
            <w:pPr>
              <w:ind w:firstLine="0"/>
              <w:rPr>
                <w:sz w:val="16"/>
                <w:szCs w:val="16"/>
              </w:rPr>
            </w:pPr>
            <w:r w:rsidRPr="007D5616">
              <w:rPr>
                <w:sz w:val="16"/>
                <w:szCs w:val="16"/>
              </w:rPr>
              <w:t>(LNG, ECA)</w:t>
            </w:r>
          </w:p>
        </w:tc>
      </w:tr>
      <w:tr w:rsidR="00166780" w:rsidRPr="00466B63" w14:paraId="01508851" w14:textId="793CC70A" w:rsidTr="00177426">
        <w:trPr>
          <w:jc w:val="center"/>
        </w:trPr>
        <w:tc>
          <w:tcPr>
            <w:tcW w:w="1486" w:type="dxa"/>
            <w:tcBorders>
              <w:top w:val="single" w:sz="4" w:space="0" w:color="000000"/>
            </w:tcBorders>
          </w:tcPr>
          <w:p w14:paraId="58C0B2EA" w14:textId="160C0426" w:rsidR="00166780" w:rsidRPr="007D5616" w:rsidRDefault="00166780" w:rsidP="007D5616">
            <w:pPr>
              <w:rPr>
                <w:sz w:val="16"/>
                <w:szCs w:val="16"/>
              </w:rPr>
            </w:pPr>
            <w:r w:rsidRPr="007D5616">
              <w:rPr>
                <w:sz w:val="16"/>
                <w:szCs w:val="16"/>
              </w:rPr>
              <w:t>1</w:t>
            </w:r>
          </w:p>
        </w:tc>
        <w:tc>
          <w:tcPr>
            <w:tcW w:w="1615" w:type="dxa"/>
            <w:tcBorders>
              <w:top w:val="single" w:sz="4" w:space="0" w:color="000000"/>
            </w:tcBorders>
          </w:tcPr>
          <w:p w14:paraId="739C924C" w14:textId="1CD9D18E" w:rsidR="00166780" w:rsidRPr="007D5616" w:rsidRDefault="00166780" w:rsidP="007D5616">
            <w:pPr>
              <w:rPr>
                <w:sz w:val="16"/>
                <w:szCs w:val="16"/>
              </w:rPr>
            </w:pPr>
            <w:r w:rsidRPr="007D5616">
              <w:rPr>
                <w:sz w:val="16"/>
                <w:szCs w:val="16"/>
              </w:rPr>
              <w:t>RCP8.5</w:t>
            </w:r>
          </w:p>
        </w:tc>
        <w:tc>
          <w:tcPr>
            <w:tcW w:w="1615" w:type="dxa"/>
            <w:tcBorders>
              <w:top w:val="single" w:sz="4" w:space="0" w:color="000000"/>
            </w:tcBorders>
          </w:tcPr>
          <w:p w14:paraId="58A55EE6" w14:textId="6B4901FC" w:rsidR="00166780" w:rsidRPr="007D5616" w:rsidRDefault="00166780" w:rsidP="007D5616">
            <w:pPr>
              <w:rPr>
                <w:sz w:val="16"/>
                <w:szCs w:val="16"/>
              </w:rPr>
            </w:pPr>
            <w:r w:rsidRPr="007D5616">
              <w:rPr>
                <w:sz w:val="16"/>
                <w:szCs w:val="16"/>
              </w:rPr>
              <w:t>SSP5</w:t>
            </w:r>
          </w:p>
        </w:tc>
        <w:tc>
          <w:tcPr>
            <w:tcW w:w="1274" w:type="dxa"/>
            <w:tcBorders>
              <w:top w:val="single" w:sz="4" w:space="0" w:color="000000"/>
            </w:tcBorders>
          </w:tcPr>
          <w:p w14:paraId="573E04F1" w14:textId="6481AF9B" w:rsidR="00166780" w:rsidRPr="007D5616" w:rsidRDefault="00166780" w:rsidP="007D5616">
            <w:pPr>
              <w:rPr>
                <w:sz w:val="16"/>
                <w:szCs w:val="16"/>
              </w:rPr>
            </w:pPr>
            <w:r w:rsidRPr="007D5616">
              <w:rPr>
                <w:sz w:val="16"/>
                <w:szCs w:val="16"/>
              </w:rPr>
              <w:t>High</w:t>
            </w:r>
          </w:p>
        </w:tc>
        <w:tc>
          <w:tcPr>
            <w:tcW w:w="1274" w:type="dxa"/>
            <w:vMerge w:val="restart"/>
            <w:tcBorders>
              <w:top w:val="single" w:sz="4" w:space="0" w:color="000000"/>
            </w:tcBorders>
          </w:tcPr>
          <w:p w14:paraId="7B46B4A3" w14:textId="77777777" w:rsidR="00166780" w:rsidRPr="007D5616" w:rsidRDefault="00166780" w:rsidP="00102BB0">
            <w:pPr>
              <w:ind w:firstLine="0"/>
              <w:rPr>
                <w:sz w:val="16"/>
                <w:szCs w:val="16"/>
              </w:rPr>
            </w:pPr>
            <w:r w:rsidRPr="007D5616">
              <w:rPr>
                <w:sz w:val="16"/>
                <w:szCs w:val="16"/>
              </w:rPr>
              <w:t>High LNG – extra ECA</w:t>
            </w:r>
          </w:p>
          <w:p w14:paraId="4D95DB46" w14:textId="09639F59" w:rsidR="00166780" w:rsidRPr="007D5616" w:rsidRDefault="00166780" w:rsidP="00102BB0">
            <w:pPr>
              <w:ind w:firstLine="0"/>
              <w:rPr>
                <w:sz w:val="16"/>
                <w:szCs w:val="16"/>
              </w:rPr>
            </w:pPr>
            <w:r w:rsidRPr="007D5616">
              <w:rPr>
                <w:sz w:val="16"/>
                <w:szCs w:val="16"/>
              </w:rPr>
              <w:t xml:space="preserve">           -</w:t>
            </w:r>
          </w:p>
          <w:p w14:paraId="70B486D0" w14:textId="189EDC65" w:rsidR="00166780" w:rsidRPr="007D5616" w:rsidRDefault="00166780" w:rsidP="00102BB0">
            <w:pPr>
              <w:ind w:firstLine="0"/>
              <w:rPr>
                <w:sz w:val="16"/>
                <w:szCs w:val="16"/>
              </w:rPr>
            </w:pPr>
            <w:r w:rsidRPr="007D5616">
              <w:rPr>
                <w:sz w:val="16"/>
                <w:szCs w:val="16"/>
              </w:rPr>
              <w:t xml:space="preserve">           -</w:t>
            </w:r>
          </w:p>
          <w:p w14:paraId="46B62A99" w14:textId="77777777" w:rsidR="00166780" w:rsidRPr="007D5616" w:rsidRDefault="00166780" w:rsidP="00102BB0">
            <w:pPr>
              <w:ind w:firstLine="0"/>
              <w:rPr>
                <w:sz w:val="16"/>
                <w:szCs w:val="16"/>
              </w:rPr>
            </w:pPr>
            <w:r w:rsidRPr="007D5616">
              <w:rPr>
                <w:sz w:val="16"/>
                <w:szCs w:val="16"/>
              </w:rPr>
              <w:t xml:space="preserve">           -</w:t>
            </w:r>
          </w:p>
          <w:p w14:paraId="017F3A3F" w14:textId="77777777" w:rsidR="00166780" w:rsidRPr="007D5616" w:rsidRDefault="00166780" w:rsidP="00102BB0">
            <w:pPr>
              <w:ind w:firstLine="0"/>
              <w:rPr>
                <w:sz w:val="16"/>
                <w:szCs w:val="16"/>
              </w:rPr>
            </w:pPr>
            <w:r w:rsidRPr="007D5616">
              <w:rPr>
                <w:sz w:val="16"/>
                <w:szCs w:val="16"/>
              </w:rPr>
              <w:t xml:space="preserve">           -</w:t>
            </w:r>
          </w:p>
          <w:p w14:paraId="5400ED5B" w14:textId="77777777" w:rsidR="00166780" w:rsidRPr="007D5616" w:rsidRDefault="00166780" w:rsidP="00102BB0">
            <w:pPr>
              <w:ind w:firstLine="0"/>
              <w:rPr>
                <w:sz w:val="16"/>
                <w:szCs w:val="16"/>
              </w:rPr>
            </w:pPr>
            <w:r w:rsidRPr="007D5616">
              <w:rPr>
                <w:sz w:val="16"/>
                <w:szCs w:val="16"/>
              </w:rPr>
              <w:t xml:space="preserve">           -</w:t>
            </w:r>
          </w:p>
          <w:p w14:paraId="2BE6CE66" w14:textId="77777777" w:rsidR="00166780" w:rsidRPr="007D5616" w:rsidRDefault="00166780" w:rsidP="00102BB0">
            <w:pPr>
              <w:ind w:firstLine="0"/>
              <w:rPr>
                <w:sz w:val="16"/>
                <w:szCs w:val="16"/>
              </w:rPr>
            </w:pPr>
            <w:r w:rsidRPr="007D5616">
              <w:rPr>
                <w:sz w:val="16"/>
                <w:szCs w:val="16"/>
              </w:rPr>
              <w:t xml:space="preserve">           -</w:t>
            </w:r>
          </w:p>
          <w:p w14:paraId="6CBFA437" w14:textId="61584122" w:rsidR="00166780" w:rsidRPr="007D5616" w:rsidRDefault="00166780" w:rsidP="00102BB0">
            <w:pPr>
              <w:ind w:right="19" w:firstLine="0"/>
              <w:rPr>
                <w:sz w:val="16"/>
                <w:szCs w:val="16"/>
              </w:rPr>
            </w:pPr>
            <w:r w:rsidRPr="007D5616">
              <w:rPr>
                <w:sz w:val="16"/>
                <w:szCs w:val="16"/>
              </w:rPr>
              <w:t>Low LNG – no ECA</w:t>
            </w:r>
          </w:p>
          <w:p w14:paraId="20C9C6F3" w14:textId="77777777" w:rsidR="00166780" w:rsidRPr="007D5616" w:rsidRDefault="00166780" w:rsidP="00102BB0">
            <w:pPr>
              <w:ind w:firstLine="0"/>
              <w:rPr>
                <w:sz w:val="16"/>
                <w:szCs w:val="16"/>
              </w:rPr>
            </w:pPr>
            <w:r w:rsidRPr="007D5616">
              <w:rPr>
                <w:sz w:val="16"/>
                <w:szCs w:val="16"/>
              </w:rPr>
              <w:t xml:space="preserve">           -</w:t>
            </w:r>
          </w:p>
          <w:p w14:paraId="037764A8" w14:textId="77777777" w:rsidR="00166780" w:rsidRPr="007D5616" w:rsidRDefault="00166780" w:rsidP="00102BB0">
            <w:pPr>
              <w:ind w:firstLine="0"/>
              <w:rPr>
                <w:sz w:val="16"/>
                <w:szCs w:val="16"/>
              </w:rPr>
            </w:pPr>
            <w:r w:rsidRPr="007D5616">
              <w:rPr>
                <w:sz w:val="16"/>
                <w:szCs w:val="16"/>
              </w:rPr>
              <w:t xml:space="preserve">           -</w:t>
            </w:r>
          </w:p>
          <w:p w14:paraId="5D8D9F02" w14:textId="77777777" w:rsidR="00166780" w:rsidRPr="007D5616" w:rsidRDefault="00166780" w:rsidP="00102BB0">
            <w:pPr>
              <w:ind w:firstLine="0"/>
              <w:rPr>
                <w:sz w:val="16"/>
                <w:szCs w:val="16"/>
              </w:rPr>
            </w:pPr>
            <w:r w:rsidRPr="007D5616">
              <w:rPr>
                <w:sz w:val="16"/>
                <w:szCs w:val="16"/>
              </w:rPr>
              <w:t xml:space="preserve">           -</w:t>
            </w:r>
          </w:p>
          <w:p w14:paraId="4CF91EAE" w14:textId="77777777" w:rsidR="00166780" w:rsidRPr="007D5616" w:rsidRDefault="00166780" w:rsidP="00102BB0">
            <w:pPr>
              <w:ind w:firstLine="0"/>
              <w:rPr>
                <w:sz w:val="16"/>
                <w:szCs w:val="16"/>
              </w:rPr>
            </w:pPr>
            <w:r w:rsidRPr="007D5616">
              <w:rPr>
                <w:sz w:val="16"/>
                <w:szCs w:val="16"/>
              </w:rPr>
              <w:t xml:space="preserve">           -</w:t>
            </w:r>
          </w:p>
          <w:p w14:paraId="5E495431" w14:textId="77777777" w:rsidR="00166780" w:rsidRPr="007D5616" w:rsidRDefault="00166780" w:rsidP="00102BB0">
            <w:pPr>
              <w:ind w:firstLine="0"/>
              <w:rPr>
                <w:sz w:val="16"/>
                <w:szCs w:val="16"/>
              </w:rPr>
            </w:pPr>
            <w:r w:rsidRPr="007D5616">
              <w:rPr>
                <w:sz w:val="16"/>
                <w:szCs w:val="16"/>
              </w:rPr>
              <w:t xml:space="preserve">           -</w:t>
            </w:r>
          </w:p>
          <w:p w14:paraId="2BACC897" w14:textId="1754AF8D" w:rsidR="00166780" w:rsidRPr="007D5616" w:rsidRDefault="00166780" w:rsidP="00102BB0">
            <w:pPr>
              <w:ind w:firstLine="0"/>
              <w:rPr>
                <w:sz w:val="16"/>
                <w:szCs w:val="16"/>
              </w:rPr>
            </w:pPr>
            <w:r w:rsidRPr="007D5616">
              <w:rPr>
                <w:sz w:val="16"/>
                <w:szCs w:val="16"/>
              </w:rPr>
              <w:t xml:space="preserve">           -</w:t>
            </w:r>
          </w:p>
        </w:tc>
      </w:tr>
      <w:tr w:rsidR="00166780" w:rsidRPr="00466B63" w14:paraId="6E7007B0" w14:textId="1E98095F" w:rsidTr="00177426">
        <w:trPr>
          <w:jc w:val="center"/>
        </w:trPr>
        <w:tc>
          <w:tcPr>
            <w:tcW w:w="1486" w:type="dxa"/>
            <w:tcBorders>
              <w:bottom w:val="single" w:sz="4" w:space="0" w:color="000000"/>
            </w:tcBorders>
          </w:tcPr>
          <w:p w14:paraId="4D188B88" w14:textId="3EE9613F" w:rsidR="00166780" w:rsidRPr="007D5616" w:rsidRDefault="00166780" w:rsidP="007D5616">
            <w:pPr>
              <w:rPr>
                <w:sz w:val="16"/>
                <w:szCs w:val="16"/>
              </w:rPr>
            </w:pPr>
            <w:r w:rsidRPr="007D5616">
              <w:rPr>
                <w:sz w:val="16"/>
                <w:szCs w:val="16"/>
              </w:rPr>
              <w:t>2</w:t>
            </w:r>
          </w:p>
          <w:p w14:paraId="41ADCCD4" w14:textId="77777777" w:rsidR="00166780" w:rsidRPr="007D5616" w:rsidRDefault="00166780" w:rsidP="007D5616">
            <w:pPr>
              <w:rPr>
                <w:sz w:val="16"/>
                <w:szCs w:val="16"/>
              </w:rPr>
            </w:pPr>
            <w:r w:rsidRPr="007D5616">
              <w:rPr>
                <w:sz w:val="16"/>
                <w:szCs w:val="16"/>
              </w:rPr>
              <w:t>3</w:t>
            </w:r>
          </w:p>
          <w:p w14:paraId="2DF3E039" w14:textId="77777777" w:rsidR="00166780" w:rsidRPr="007D5616" w:rsidRDefault="00166780" w:rsidP="007D5616">
            <w:pPr>
              <w:rPr>
                <w:sz w:val="16"/>
                <w:szCs w:val="16"/>
              </w:rPr>
            </w:pPr>
            <w:r w:rsidRPr="007D5616">
              <w:rPr>
                <w:sz w:val="16"/>
                <w:szCs w:val="16"/>
              </w:rPr>
              <w:t>4</w:t>
            </w:r>
          </w:p>
          <w:p w14:paraId="604958A4" w14:textId="77777777" w:rsidR="00166780" w:rsidRPr="007D5616" w:rsidRDefault="00166780" w:rsidP="007D5616">
            <w:pPr>
              <w:rPr>
                <w:sz w:val="16"/>
                <w:szCs w:val="16"/>
              </w:rPr>
            </w:pPr>
            <w:r w:rsidRPr="007D5616">
              <w:rPr>
                <w:sz w:val="16"/>
                <w:szCs w:val="16"/>
              </w:rPr>
              <w:t>5</w:t>
            </w:r>
          </w:p>
          <w:p w14:paraId="6FF56E92" w14:textId="77777777" w:rsidR="00166780" w:rsidRPr="007D5616" w:rsidRDefault="00166780" w:rsidP="007D5616">
            <w:pPr>
              <w:rPr>
                <w:sz w:val="16"/>
                <w:szCs w:val="16"/>
              </w:rPr>
            </w:pPr>
            <w:r w:rsidRPr="007D5616">
              <w:rPr>
                <w:sz w:val="16"/>
                <w:szCs w:val="16"/>
              </w:rPr>
              <w:t>6</w:t>
            </w:r>
          </w:p>
          <w:p w14:paraId="4FA9BBED" w14:textId="77777777" w:rsidR="00166780" w:rsidRPr="007D5616" w:rsidRDefault="00166780" w:rsidP="007D5616">
            <w:pPr>
              <w:rPr>
                <w:sz w:val="16"/>
                <w:szCs w:val="16"/>
              </w:rPr>
            </w:pPr>
            <w:r w:rsidRPr="007D5616">
              <w:rPr>
                <w:sz w:val="16"/>
                <w:szCs w:val="16"/>
              </w:rPr>
              <w:t>7</w:t>
            </w:r>
          </w:p>
          <w:p w14:paraId="0A1A0268" w14:textId="77777777" w:rsidR="00166780" w:rsidRPr="007D5616" w:rsidRDefault="00166780" w:rsidP="007D5616">
            <w:pPr>
              <w:rPr>
                <w:sz w:val="16"/>
                <w:szCs w:val="16"/>
              </w:rPr>
            </w:pPr>
            <w:r w:rsidRPr="007D5616">
              <w:rPr>
                <w:sz w:val="16"/>
                <w:szCs w:val="16"/>
              </w:rPr>
              <w:t>8</w:t>
            </w:r>
          </w:p>
          <w:p w14:paraId="46CB3024" w14:textId="77777777" w:rsidR="00166780" w:rsidRPr="007D5616" w:rsidRDefault="00166780" w:rsidP="007D5616">
            <w:pPr>
              <w:rPr>
                <w:sz w:val="16"/>
                <w:szCs w:val="16"/>
              </w:rPr>
            </w:pPr>
            <w:r w:rsidRPr="007D5616">
              <w:rPr>
                <w:sz w:val="16"/>
                <w:szCs w:val="16"/>
              </w:rPr>
              <w:t>9</w:t>
            </w:r>
          </w:p>
          <w:p w14:paraId="4E984281" w14:textId="77777777" w:rsidR="00166780" w:rsidRPr="007D5616" w:rsidRDefault="00166780" w:rsidP="007D5616">
            <w:pPr>
              <w:rPr>
                <w:sz w:val="16"/>
                <w:szCs w:val="16"/>
              </w:rPr>
            </w:pPr>
            <w:r w:rsidRPr="007D5616">
              <w:rPr>
                <w:sz w:val="16"/>
                <w:szCs w:val="16"/>
              </w:rPr>
              <w:t>10</w:t>
            </w:r>
          </w:p>
          <w:p w14:paraId="423C1F69" w14:textId="77777777" w:rsidR="00166780" w:rsidRPr="007D5616" w:rsidRDefault="00166780" w:rsidP="007D5616">
            <w:pPr>
              <w:rPr>
                <w:sz w:val="16"/>
                <w:szCs w:val="16"/>
              </w:rPr>
            </w:pPr>
            <w:r w:rsidRPr="007D5616">
              <w:rPr>
                <w:sz w:val="16"/>
                <w:szCs w:val="16"/>
              </w:rPr>
              <w:t>11</w:t>
            </w:r>
          </w:p>
          <w:p w14:paraId="394E1BC3" w14:textId="77777777" w:rsidR="00166780" w:rsidRPr="007D5616" w:rsidRDefault="00166780" w:rsidP="007D5616">
            <w:pPr>
              <w:rPr>
                <w:sz w:val="16"/>
                <w:szCs w:val="16"/>
              </w:rPr>
            </w:pPr>
            <w:r w:rsidRPr="007D5616">
              <w:rPr>
                <w:sz w:val="16"/>
                <w:szCs w:val="16"/>
              </w:rPr>
              <w:t>12</w:t>
            </w:r>
          </w:p>
          <w:p w14:paraId="2BD764B6" w14:textId="77777777" w:rsidR="00166780" w:rsidRPr="007D5616" w:rsidRDefault="00166780" w:rsidP="007D5616">
            <w:pPr>
              <w:rPr>
                <w:sz w:val="16"/>
                <w:szCs w:val="16"/>
              </w:rPr>
            </w:pPr>
            <w:r w:rsidRPr="007D5616">
              <w:rPr>
                <w:sz w:val="16"/>
                <w:szCs w:val="16"/>
              </w:rPr>
              <w:t>13 (BAU)</w:t>
            </w:r>
          </w:p>
          <w:p w14:paraId="5EBE540B" w14:textId="77777777" w:rsidR="00166780" w:rsidRPr="007D5616" w:rsidRDefault="00166780" w:rsidP="007D5616">
            <w:pPr>
              <w:rPr>
                <w:sz w:val="16"/>
                <w:szCs w:val="16"/>
              </w:rPr>
            </w:pPr>
            <w:r w:rsidRPr="007D5616">
              <w:rPr>
                <w:sz w:val="16"/>
                <w:szCs w:val="16"/>
              </w:rPr>
              <w:t>14 (BAU)</w:t>
            </w:r>
          </w:p>
          <w:p w14:paraId="43B563F7" w14:textId="77777777" w:rsidR="00166780" w:rsidRPr="007D5616" w:rsidRDefault="00166780" w:rsidP="007D5616">
            <w:pPr>
              <w:rPr>
                <w:sz w:val="16"/>
                <w:szCs w:val="16"/>
              </w:rPr>
            </w:pPr>
            <w:r w:rsidRPr="007D5616">
              <w:rPr>
                <w:sz w:val="16"/>
                <w:szCs w:val="16"/>
              </w:rPr>
              <w:t>15 (BAU)</w:t>
            </w:r>
          </w:p>
          <w:p w14:paraId="098A3B15" w14:textId="554782EC" w:rsidR="00166780" w:rsidRPr="007D5616" w:rsidRDefault="00166780" w:rsidP="007D5616">
            <w:pPr>
              <w:rPr>
                <w:sz w:val="16"/>
                <w:szCs w:val="16"/>
              </w:rPr>
            </w:pPr>
            <w:r w:rsidRPr="007D5616">
              <w:rPr>
                <w:sz w:val="16"/>
                <w:szCs w:val="16"/>
              </w:rPr>
              <w:t>16 (BAU)</w:t>
            </w:r>
          </w:p>
        </w:tc>
        <w:tc>
          <w:tcPr>
            <w:tcW w:w="1615" w:type="dxa"/>
            <w:tcBorders>
              <w:bottom w:val="single" w:sz="4" w:space="0" w:color="000000"/>
            </w:tcBorders>
          </w:tcPr>
          <w:p w14:paraId="64ED906A" w14:textId="77777777" w:rsidR="00166780" w:rsidRPr="007D5616" w:rsidRDefault="00166780" w:rsidP="007D5616">
            <w:pPr>
              <w:rPr>
                <w:sz w:val="16"/>
                <w:szCs w:val="16"/>
              </w:rPr>
            </w:pPr>
            <w:r w:rsidRPr="007D5616">
              <w:rPr>
                <w:sz w:val="16"/>
                <w:szCs w:val="16"/>
              </w:rPr>
              <w:t>RCP6.0</w:t>
            </w:r>
          </w:p>
          <w:p w14:paraId="4B6DB6D0" w14:textId="77777777" w:rsidR="00166780" w:rsidRPr="007D5616" w:rsidRDefault="00166780" w:rsidP="007D5616">
            <w:pPr>
              <w:rPr>
                <w:sz w:val="16"/>
                <w:szCs w:val="16"/>
              </w:rPr>
            </w:pPr>
            <w:r w:rsidRPr="007D5616">
              <w:rPr>
                <w:sz w:val="16"/>
                <w:szCs w:val="16"/>
              </w:rPr>
              <w:t>RCP4.5</w:t>
            </w:r>
          </w:p>
          <w:p w14:paraId="4BF601FF" w14:textId="77777777" w:rsidR="00166780" w:rsidRPr="007D5616" w:rsidRDefault="00166780" w:rsidP="007D5616">
            <w:pPr>
              <w:rPr>
                <w:sz w:val="16"/>
                <w:szCs w:val="16"/>
              </w:rPr>
            </w:pPr>
            <w:r w:rsidRPr="007D5616">
              <w:rPr>
                <w:sz w:val="16"/>
                <w:szCs w:val="16"/>
              </w:rPr>
              <w:t>RCP2.6</w:t>
            </w:r>
          </w:p>
          <w:p w14:paraId="140B23E2" w14:textId="77777777" w:rsidR="00166780" w:rsidRPr="007D5616" w:rsidRDefault="00166780" w:rsidP="007D5616">
            <w:pPr>
              <w:rPr>
                <w:sz w:val="16"/>
                <w:szCs w:val="16"/>
              </w:rPr>
            </w:pPr>
            <w:r w:rsidRPr="007D5616">
              <w:rPr>
                <w:sz w:val="16"/>
                <w:szCs w:val="16"/>
              </w:rPr>
              <w:t>RCP8.5</w:t>
            </w:r>
          </w:p>
          <w:p w14:paraId="0A6C5E89" w14:textId="77777777" w:rsidR="00166780" w:rsidRPr="007D5616" w:rsidRDefault="00166780" w:rsidP="007D5616">
            <w:pPr>
              <w:rPr>
                <w:sz w:val="16"/>
                <w:szCs w:val="16"/>
              </w:rPr>
            </w:pPr>
            <w:r w:rsidRPr="007D5616">
              <w:rPr>
                <w:sz w:val="16"/>
                <w:szCs w:val="16"/>
              </w:rPr>
              <w:t>RCP6.0</w:t>
            </w:r>
          </w:p>
          <w:p w14:paraId="7A73618B" w14:textId="77777777" w:rsidR="00166780" w:rsidRPr="007D5616" w:rsidRDefault="00166780" w:rsidP="007D5616">
            <w:pPr>
              <w:rPr>
                <w:sz w:val="16"/>
                <w:szCs w:val="16"/>
              </w:rPr>
            </w:pPr>
            <w:r w:rsidRPr="007D5616">
              <w:rPr>
                <w:sz w:val="16"/>
                <w:szCs w:val="16"/>
              </w:rPr>
              <w:t>RCP4.5</w:t>
            </w:r>
          </w:p>
          <w:p w14:paraId="3771FF0B" w14:textId="77777777" w:rsidR="00166780" w:rsidRPr="007D5616" w:rsidRDefault="00166780" w:rsidP="007D5616">
            <w:pPr>
              <w:rPr>
                <w:sz w:val="16"/>
                <w:szCs w:val="16"/>
              </w:rPr>
            </w:pPr>
            <w:r w:rsidRPr="007D5616">
              <w:rPr>
                <w:sz w:val="16"/>
                <w:szCs w:val="16"/>
              </w:rPr>
              <w:t>RCP2.6</w:t>
            </w:r>
          </w:p>
          <w:p w14:paraId="603968A8" w14:textId="77777777" w:rsidR="00166780" w:rsidRPr="007D5616" w:rsidRDefault="00166780" w:rsidP="007D5616">
            <w:pPr>
              <w:rPr>
                <w:sz w:val="16"/>
                <w:szCs w:val="16"/>
              </w:rPr>
            </w:pPr>
            <w:r w:rsidRPr="007D5616">
              <w:rPr>
                <w:sz w:val="16"/>
                <w:szCs w:val="16"/>
              </w:rPr>
              <w:t>RCP8.5</w:t>
            </w:r>
          </w:p>
          <w:p w14:paraId="1570E640" w14:textId="77777777" w:rsidR="00166780" w:rsidRPr="007D5616" w:rsidRDefault="00166780" w:rsidP="007D5616">
            <w:pPr>
              <w:rPr>
                <w:sz w:val="16"/>
                <w:szCs w:val="16"/>
              </w:rPr>
            </w:pPr>
            <w:r w:rsidRPr="007D5616">
              <w:rPr>
                <w:sz w:val="16"/>
                <w:szCs w:val="16"/>
              </w:rPr>
              <w:t>RCP6.0</w:t>
            </w:r>
          </w:p>
          <w:p w14:paraId="273DEA56" w14:textId="77777777" w:rsidR="00166780" w:rsidRPr="007D5616" w:rsidRDefault="00166780" w:rsidP="007D5616">
            <w:pPr>
              <w:rPr>
                <w:sz w:val="16"/>
                <w:szCs w:val="16"/>
              </w:rPr>
            </w:pPr>
            <w:r w:rsidRPr="007D5616">
              <w:rPr>
                <w:sz w:val="16"/>
                <w:szCs w:val="16"/>
              </w:rPr>
              <w:t>RCP4.5</w:t>
            </w:r>
          </w:p>
          <w:p w14:paraId="0D53AADB" w14:textId="77777777" w:rsidR="00166780" w:rsidRPr="007D5616" w:rsidRDefault="00166780" w:rsidP="007D5616">
            <w:pPr>
              <w:rPr>
                <w:sz w:val="16"/>
                <w:szCs w:val="16"/>
              </w:rPr>
            </w:pPr>
            <w:r w:rsidRPr="007D5616">
              <w:rPr>
                <w:sz w:val="16"/>
                <w:szCs w:val="16"/>
              </w:rPr>
              <w:t>RCP2.6</w:t>
            </w:r>
          </w:p>
          <w:p w14:paraId="6E00D63D" w14:textId="77777777" w:rsidR="00166780" w:rsidRPr="007D5616" w:rsidRDefault="00166780" w:rsidP="007D5616">
            <w:pPr>
              <w:rPr>
                <w:sz w:val="16"/>
                <w:szCs w:val="16"/>
              </w:rPr>
            </w:pPr>
            <w:r w:rsidRPr="007D5616">
              <w:rPr>
                <w:sz w:val="16"/>
                <w:szCs w:val="16"/>
              </w:rPr>
              <w:t>RCP8.5</w:t>
            </w:r>
          </w:p>
          <w:p w14:paraId="3127C49E" w14:textId="77777777" w:rsidR="00166780" w:rsidRPr="007D5616" w:rsidRDefault="00166780" w:rsidP="007D5616">
            <w:pPr>
              <w:rPr>
                <w:sz w:val="16"/>
                <w:szCs w:val="16"/>
              </w:rPr>
            </w:pPr>
            <w:r w:rsidRPr="007D5616">
              <w:rPr>
                <w:sz w:val="16"/>
                <w:szCs w:val="16"/>
              </w:rPr>
              <w:t>RCP6.0</w:t>
            </w:r>
          </w:p>
          <w:p w14:paraId="5DAEAEF3" w14:textId="77777777" w:rsidR="00166780" w:rsidRPr="007D5616" w:rsidRDefault="00166780" w:rsidP="007D5616">
            <w:pPr>
              <w:rPr>
                <w:sz w:val="16"/>
                <w:szCs w:val="16"/>
              </w:rPr>
            </w:pPr>
            <w:r w:rsidRPr="007D5616">
              <w:rPr>
                <w:sz w:val="16"/>
                <w:szCs w:val="16"/>
              </w:rPr>
              <w:t>RCP4.5</w:t>
            </w:r>
          </w:p>
          <w:p w14:paraId="17095C30" w14:textId="11C7A273" w:rsidR="00166780" w:rsidRPr="007D5616" w:rsidRDefault="00166780" w:rsidP="007D5616">
            <w:pPr>
              <w:rPr>
                <w:sz w:val="16"/>
                <w:szCs w:val="16"/>
              </w:rPr>
            </w:pPr>
            <w:r w:rsidRPr="007D5616">
              <w:rPr>
                <w:sz w:val="16"/>
                <w:szCs w:val="16"/>
              </w:rPr>
              <w:t>RCP2.6</w:t>
            </w:r>
          </w:p>
        </w:tc>
        <w:tc>
          <w:tcPr>
            <w:tcW w:w="1615" w:type="dxa"/>
            <w:tcBorders>
              <w:bottom w:val="single" w:sz="4" w:space="0" w:color="000000"/>
            </w:tcBorders>
          </w:tcPr>
          <w:p w14:paraId="3866684C" w14:textId="77777777" w:rsidR="00166780" w:rsidRPr="007D5616" w:rsidRDefault="00166780" w:rsidP="007D5616">
            <w:pPr>
              <w:rPr>
                <w:sz w:val="16"/>
                <w:szCs w:val="16"/>
              </w:rPr>
            </w:pPr>
            <w:r w:rsidRPr="007D5616">
              <w:rPr>
                <w:sz w:val="16"/>
                <w:szCs w:val="16"/>
              </w:rPr>
              <w:t>SSP1</w:t>
            </w:r>
          </w:p>
          <w:p w14:paraId="3B845280" w14:textId="77777777" w:rsidR="00166780" w:rsidRPr="007D5616" w:rsidRDefault="00166780" w:rsidP="007D5616">
            <w:pPr>
              <w:rPr>
                <w:sz w:val="16"/>
                <w:szCs w:val="16"/>
              </w:rPr>
            </w:pPr>
            <w:r w:rsidRPr="007D5616">
              <w:rPr>
                <w:sz w:val="16"/>
                <w:szCs w:val="16"/>
              </w:rPr>
              <w:t>SSP3</w:t>
            </w:r>
          </w:p>
          <w:p w14:paraId="51D3B456" w14:textId="77777777" w:rsidR="00166780" w:rsidRPr="007D5616" w:rsidRDefault="00166780" w:rsidP="007D5616">
            <w:pPr>
              <w:rPr>
                <w:sz w:val="16"/>
                <w:szCs w:val="16"/>
              </w:rPr>
            </w:pPr>
            <w:r w:rsidRPr="007D5616">
              <w:rPr>
                <w:sz w:val="16"/>
                <w:szCs w:val="16"/>
              </w:rPr>
              <w:t>SSP4</w:t>
            </w:r>
          </w:p>
          <w:p w14:paraId="0F7AFD03" w14:textId="77777777" w:rsidR="00166780" w:rsidRPr="007D5616" w:rsidRDefault="00166780" w:rsidP="007D5616">
            <w:pPr>
              <w:rPr>
                <w:sz w:val="16"/>
                <w:szCs w:val="16"/>
              </w:rPr>
            </w:pPr>
            <w:r w:rsidRPr="007D5616">
              <w:rPr>
                <w:sz w:val="16"/>
                <w:szCs w:val="16"/>
              </w:rPr>
              <w:t>SSP5</w:t>
            </w:r>
          </w:p>
          <w:p w14:paraId="7C4924B1" w14:textId="77777777" w:rsidR="00166780" w:rsidRPr="007D5616" w:rsidRDefault="00166780" w:rsidP="007D5616">
            <w:pPr>
              <w:rPr>
                <w:sz w:val="16"/>
                <w:szCs w:val="16"/>
              </w:rPr>
            </w:pPr>
            <w:r w:rsidRPr="007D5616">
              <w:rPr>
                <w:sz w:val="16"/>
                <w:szCs w:val="16"/>
              </w:rPr>
              <w:t>SSP1</w:t>
            </w:r>
          </w:p>
          <w:p w14:paraId="1D119AE1" w14:textId="77777777" w:rsidR="00166780" w:rsidRPr="007D5616" w:rsidRDefault="00166780" w:rsidP="007D5616">
            <w:pPr>
              <w:rPr>
                <w:sz w:val="16"/>
                <w:szCs w:val="16"/>
              </w:rPr>
            </w:pPr>
            <w:r w:rsidRPr="007D5616">
              <w:rPr>
                <w:sz w:val="16"/>
                <w:szCs w:val="16"/>
              </w:rPr>
              <w:t>SSP3</w:t>
            </w:r>
          </w:p>
          <w:p w14:paraId="476F77E3" w14:textId="77777777" w:rsidR="00166780" w:rsidRPr="007D5616" w:rsidRDefault="00166780" w:rsidP="007D5616">
            <w:pPr>
              <w:rPr>
                <w:sz w:val="16"/>
                <w:szCs w:val="16"/>
              </w:rPr>
            </w:pPr>
            <w:r w:rsidRPr="007D5616">
              <w:rPr>
                <w:sz w:val="16"/>
                <w:szCs w:val="16"/>
              </w:rPr>
              <w:t>SSP4</w:t>
            </w:r>
          </w:p>
          <w:p w14:paraId="4B8785EA" w14:textId="77777777" w:rsidR="00166780" w:rsidRPr="007D5616" w:rsidRDefault="00166780" w:rsidP="007D5616">
            <w:pPr>
              <w:rPr>
                <w:sz w:val="16"/>
                <w:szCs w:val="16"/>
              </w:rPr>
            </w:pPr>
            <w:r w:rsidRPr="007D5616">
              <w:rPr>
                <w:sz w:val="16"/>
                <w:szCs w:val="16"/>
              </w:rPr>
              <w:t>SSP5</w:t>
            </w:r>
          </w:p>
          <w:p w14:paraId="2929328F" w14:textId="77777777" w:rsidR="00166780" w:rsidRPr="007D5616" w:rsidRDefault="00166780" w:rsidP="007D5616">
            <w:pPr>
              <w:rPr>
                <w:sz w:val="16"/>
                <w:szCs w:val="16"/>
              </w:rPr>
            </w:pPr>
            <w:r w:rsidRPr="007D5616">
              <w:rPr>
                <w:sz w:val="16"/>
                <w:szCs w:val="16"/>
              </w:rPr>
              <w:t>SSP1</w:t>
            </w:r>
          </w:p>
          <w:p w14:paraId="2C85558B" w14:textId="77777777" w:rsidR="00166780" w:rsidRPr="007D5616" w:rsidRDefault="00166780" w:rsidP="007D5616">
            <w:pPr>
              <w:rPr>
                <w:sz w:val="16"/>
                <w:szCs w:val="16"/>
              </w:rPr>
            </w:pPr>
            <w:r w:rsidRPr="007D5616">
              <w:rPr>
                <w:sz w:val="16"/>
                <w:szCs w:val="16"/>
              </w:rPr>
              <w:t>SSP3</w:t>
            </w:r>
          </w:p>
          <w:p w14:paraId="122F74D0" w14:textId="77777777" w:rsidR="00166780" w:rsidRPr="007D5616" w:rsidRDefault="00166780" w:rsidP="007D5616">
            <w:pPr>
              <w:rPr>
                <w:sz w:val="16"/>
                <w:szCs w:val="16"/>
              </w:rPr>
            </w:pPr>
            <w:r w:rsidRPr="007D5616">
              <w:rPr>
                <w:sz w:val="16"/>
                <w:szCs w:val="16"/>
              </w:rPr>
              <w:t>SSP4</w:t>
            </w:r>
          </w:p>
          <w:p w14:paraId="164F66B9" w14:textId="77777777" w:rsidR="00166780" w:rsidRPr="007D5616" w:rsidRDefault="00166780" w:rsidP="007D5616">
            <w:pPr>
              <w:rPr>
                <w:sz w:val="16"/>
                <w:szCs w:val="16"/>
              </w:rPr>
            </w:pPr>
            <w:r w:rsidRPr="007D5616">
              <w:rPr>
                <w:sz w:val="16"/>
                <w:szCs w:val="16"/>
              </w:rPr>
              <w:t>SSP5</w:t>
            </w:r>
          </w:p>
          <w:p w14:paraId="7F247C54" w14:textId="77777777" w:rsidR="00166780" w:rsidRPr="007D5616" w:rsidRDefault="00166780" w:rsidP="007D5616">
            <w:pPr>
              <w:rPr>
                <w:sz w:val="16"/>
                <w:szCs w:val="16"/>
              </w:rPr>
            </w:pPr>
            <w:r w:rsidRPr="007D5616">
              <w:rPr>
                <w:sz w:val="16"/>
                <w:szCs w:val="16"/>
              </w:rPr>
              <w:t>SSP1</w:t>
            </w:r>
          </w:p>
          <w:p w14:paraId="35C29A67" w14:textId="77777777" w:rsidR="00166780" w:rsidRPr="007D5616" w:rsidRDefault="00166780" w:rsidP="007D5616">
            <w:pPr>
              <w:rPr>
                <w:sz w:val="16"/>
                <w:szCs w:val="16"/>
              </w:rPr>
            </w:pPr>
            <w:r w:rsidRPr="007D5616">
              <w:rPr>
                <w:sz w:val="16"/>
                <w:szCs w:val="16"/>
              </w:rPr>
              <w:t>SSP3</w:t>
            </w:r>
          </w:p>
          <w:p w14:paraId="5D226E52" w14:textId="37F0D3AB" w:rsidR="00166780" w:rsidRPr="007D5616" w:rsidRDefault="00166780" w:rsidP="007D5616">
            <w:pPr>
              <w:rPr>
                <w:sz w:val="16"/>
                <w:szCs w:val="16"/>
              </w:rPr>
            </w:pPr>
            <w:r w:rsidRPr="007D5616">
              <w:rPr>
                <w:sz w:val="16"/>
                <w:szCs w:val="16"/>
              </w:rPr>
              <w:t>SSP4</w:t>
            </w:r>
          </w:p>
        </w:tc>
        <w:tc>
          <w:tcPr>
            <w:tcW w:w="1274" w:type="dxa"/>
            <w:tcBorders>
              <w:bottom w:val="single" w:sz="4" w:space="0" w:color="000000"/>
            </w:tcBorders>
          </w:tcPr>
          <w:p w14:paraId="09B3FD44" w14:textId="2CF52289"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2277DFC9" w14:textId="77777777"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3C1A78DA" w14:textId="77777777"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7DC18A71" w14:textId="77777777" w:rsidR="00166780" w:rsidRPr="007D5616" w:rsidRDefault="00166780" w:rsidP="007D5616">
            <w:pPr>
              <w:rPr>
                <w:sz w:val="16"/>
                <w:szCs w:val="16"/>
              </w:rPr>
            </w:pPr>
            <w:r w:rsidRPr="007D5616">
              <w:rPr>
                <w:sz w:val="16"/>
                <w:szCs w:val="16"/>
              </w:rPr>
              <w:t>Low</w:t>
            </w:r>
          </w:p>
          <w:p w14:paraId="1A2B62A9" w14:textId="77777777" w:rsidR="00166780" w:rsidRPr="007D5616" w:rsidRDefault="00166780" w:rsidP="007D5616">
            <w:pPr>
              <w:rPr>
                <w:sz w:val="16"/>
                <w:szCs w:val="16"/>
              </w:rPr>
            </w:pPr>
            <w:r w:rsidRPr="007D5616">
              <w:rPr>
                <w:sz w:val="16"/>
                <w:szCs w:val="16"/>
              </w:rPr>
              <w:t>Low</w:t>
            </w:r>
          </w:p>
          <w:p w14:paraId="0D74A332" w14:textId="77777777" w:rsidR="00166780" w:rsidRPr="007D5616" w:rsidRDefault="00166780" w:rsidP="007D5616">
            <w:pPr>
              <w:rPr>
                <w:sz w:val="16"/>
                <w:szCs w:val="16"/>
              </w:rPr>
            </w:pPr>
            <w:r w:rsidRPr="007D5616">
              <w:rPr>
                <w:sz w:val="16"/>
                <w:szCs w:val="16"/>
              </w:rPr>
              <w:t>Low</w:t>
            </w:r>
          </w:p>
          <w:p w14:paraId="4EA578AD" w14:textId="77777777" w:rsidR="00166780" w:rsidRPr="007D5616" w:rsidRDefault="00166780" w:rsidP="007D5616">
            <w:pPr>
              <w:rPr>
                <w:sz w:val="16"/>
                <w:szCs w:val="16"/>
              </w:rPr>
            </w:pPr>
            <w:r w:rsidRPr="007D5616">
              <w:rPr>
                <w:sz w:val="16"/>
                <w:szCs w:val="16"/>
              </w:rPr>
              <w:t>Low</w:t>
            </w:r>
          </w:p>
          <w:p w14:paraId="336CC18E" w14:textId="77777777"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50B37F2C" w14:textId="77777777"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0E6FF07B" w14:textId="77777777" w:rsidR="00166780" w:rsidRPr="007D5616" w:rsidRDefault="00166780" w:rsidP="007D5616">
            <w:pPr>
              <w:rPr>
                <w:sz w:val="16"/>
                <w:szCs w:val="16"/>
              </w:rPr>
            </w:pPr>
            <w:r w:rsidRPr="007D5616">
              <w:rPr>
                <w:sz w:val="16"/>
                <w:szCs w:val="16"/>
              </w:rPr>
              <w:t>High</w:t>
            </w:r>
          </w:p>
          <w:p w14:paraId="1867A14D" w14:textId="77777777" w:rsidR="00166780" w:rsidRPr="007D5616" w:rsidRDefault="00166780" w:rsidP="007D5616">
            <w:pPr>
              <w:rPr>
                <w:sz w:val="16"/>
                <w:szCs w:val="16"/>
              </w:rPr>
            </w:pPr>
            <w:r w:rsidRPr="007D5616">
              <w:rPr>
                <w:sz w:val="16"/>
                <w:szCs w:val="16"/>
              </w:rPr>
              <w:t>High</w:t>
            </w:r>
            <w:r w:rsidRPr="007D5616" w:rsidDel="004E1120">
              <w:rPr>
                <w:sz w:val="16"/>
                <w:szCs w:val="16"/>
              </w:rPr>
              <w:t xml:space="preserve"> </w:t>
            </w:r>
          </w:p>
          <w:p w14:paraId="5984994C" w14:textId="77777777" w:rsidR="00166780" w:rsidRPr="007D5616" w:rsidRDefault="00166780" w:rsidP="007D5616">
            <w:pPr>
              <w:rPr>
                <w:sz w:val="16"/>
                <w:szCs w:val="16"/>
              </w:rPr>
            </w:pPr>
            <w:r w:rsidRPr="007D5616">
              <w:rPr>
                <w:sz w:val="16"/>
                <w:szCs w:val="16"/>
              </w:rPr>
              <w:t>Low</w:t>
            </w:r>
          </w:p>
          <w:p w14:paraId="4EF9DDE9" w14:textId="77777777" w:rsidR="00166780" w:rsidRPr="007D5616" w:rsidRDefault="00166780" w:rsidP="007D5616">
            <w:pPr>
              <w:rPr>
                <w:sz w:val="16"/>
                <w:szCs w:val="16"/>
              </w:rPr>
            </w:pPr>
            <w:r w:rsidRPr="007D5616">
              <w:rPr>
                <w:sz w:val="16"/>
                <w:szCs w:val="16"/>
              </w:rPr>
              <w:t>Low</w:t>
            </w:r>
          </w:p>
          <w:p w14:paraId="62C323A9" w14:textId="77777777" w:rsidR="00166780" w:rsidRPr="007D5616" w:rsidRDefault="00166780" w:rsidP="007D5616">
            <w:pPr>
              <w:rPr>
                <w:sz w:val="16"/>
                <w:szCs w:val="16"/>
              </w:rPr>
            </w:pPr>
            <w:r w:rsidRPr="007D5616">
              <w:rPr>
                <w:sz w:val="16"/>
                <w:szCs w:val="16"/>
              </w:rPr>
              <w:t>Low</w:t>
            </w:r>
          </w:p>
          <w:p w14:paraId="4F0E30B9" w14:textId="533AAC53" w:rsidR="00166780" w:rsidRPr="007D5616" w:rsidRDefault="00166780" w:rsidP="007D5616">
            <w:pPr>
              <w:rPr>
                <w:sz w:val="16"/>
                <w:szCs w:val="16"/>
              </w:rPr>
            </w:pPr>
            <w:r w:rsidRPr="007D5616">
              <w:rPr>
                <w:sz w:val="16"/>
                <w:szCs w:val="16"/>
              </w:rPr>
              <w:t>Low</w:t>
            </w:r>
          </w:p>
        </w:tc>
        <w:tc>
          <w:tcPr>
            <w:tcW w:w="1274" w:type="dxa"/>
            <w:vMerge/>
            <w:tcBorders>
              <w:bottom w:val="single" w:sz="4" w:space="0" w:color="000000"/>
            </w:tcBorders>
          </w:tcPr>
          <w:p w14:paraId="49AC440C" w14:textId="77777777" w:rsidR="00166780" w:rsidRPr="007D5616" w:rsidDel="00166780" w:rsidRDefault="00166780" w:rsidP="007D5616">
            <w:pPr>
              <w:rPr>
                <w:sz w:val="16"/>
                <w:szCs w:val="16"/>
              </w:rPr>
            </w:pPr>
          </w:p>
        </w:tc>
      </w:tr>
    </w:tbl>
    <w:p w14:paraId="2A747B12" w14:textId="77777777" w:rsidR="00A04AE2" w:rsidRDefault="00A04AE2" w:rsidP="007D5616"/>
    <w:p w14:paraId="358FF949" w14:textId="77777777" w:rsidR="000238CA" w:rsidRDefault="00F05EA4" w:rsidP="007D5616">
      <w:pPr>
        <w:jc w:val="center"/>
      </w:pPr>
      <w:r>
        <w:rPr>
          <w:noProof/>
          <w:lang w:val="it-IT" w:eastAsia="it-IT"/>
        </w:rPr>
        <w:drawing>
          <wp:inline distT="0" distB="0" distL="0" distR="0" wp14:anchorId="121C3A78" wp14:editId="1E306518">
            <wp:extent cx="3706238" cy="1391055"/>
            <wp:effectExtent l="0" t="0" r="0" b="0"/>
            <wp:docPr id="26" name="Gra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520DE7" w14:textId="27D8A125" w:rsidR="004E1F63" w:rsidRDefault="00F05EA4" w:rsidP="009556B6">
      <w:pPr>
        <w:pStyle w:val="CaptionShort"/>
      </w:pPr>
      <w:r>
        <w:rPr>
          <w:b/>
        </w:rPr>
        <w:t>Figure 5.</w:t>
      </w:r>
      <w:r w:rsidR="00AD16D8">
        <w:rPr>
          <w:b/>
        </w:rPr>
        <w:t xml:space="preserve"> </w:t>
      </w:r>
      <w:r>
        <w:t>CO</w:t>
      </w:r>
      <w:r>
        <w:rPr>
          <w:vertAlign w:val="subscript"/>
        </w:rPr>
        <w:t xml:space="preserve">2 </w:t>
      </w:r>
      <w:r>
        <w:t>emission</w:t>
      </w:r>
      <w:r w:rsidR="003461F3">
        <w:t xml:space="preserve"> </w:t>
      </w:r>
      <w:r w:rsidR="00735FD6">
        <w:t>(f</w:t>
      </w:r>
      <w:r>
        <w:t xml:space="preserve">rom </w:t>
      </w:r>
      <w:r w:rsidR="00102BB0">
        <w:t>3</w:t>
      </w:r>
      <w:r w:rsidR="00102BB0" w:rsidRPr="00102BB0">
        <w:rPr>
          <w:vertAlign w:val="superscript"/>
        </w:rPr>
        <w:t>O</w:t>
      </w:r>
      <w:r w:rsidR="00102BB0">
        <w:t xml:space="preserve"> IMO-GHG’s</w:t>
      </w:r>
      <w:r w:rsidR="00735FD6">
        <w:t xml:space="preserve">) </w:t>
      </w:r>
      <w:r w:rsidR="00735FD6">
        <w:fldChar w:fldCharType="begin"/>
      </w:r>
      <w:r w:rsidR="00735FD6">
        <w:instrText xml:space="preserve"> REF _Ref510108220 \r \h </w:instrText>
      </w:r>
      <w:r w:rsidR="00735FD6">
        <w:fldChar w:fldCharType="separate"/>
      </w:r>
      <w:r w:rsidR="00D54C3A">
        <w:t>[12]</w:t>
      </w:r>
      <w:r w:rsidR="00735FD6">
        <w:fldChar w:fldCharType="end"/>
      </w:r>
      <w:r w:rsidR="00102BB0">
        <w:t>.</w:t>
      </w:r>
    </w:p>
    <w:p w14:paraId="72B5988B" w14:textId="57EFB96B" w:rsidR="004E1F63" w:rsidRDefault="00D558F1" w:rsidP="00110FA8">
      <w:pPr>
        <w:pStyle w:val="Titolo1"/>
      </w:pPr>
      <w:r>
        <w:t xml:space="preserve">6. </w:t>
      </w:r>
      <w:r w:rsidR="00F05EA4" w:rsidRPr="004E1F63">
        <w:t>Overview of effects on human</w:t>
      </w:r>
      <w:r w:rsidR="004E1F63">
        <w:t>s</w:t>
      </w:r>
      <w:r w:rsidR="00F05EA4" w:rsidRPr="004E1F63">
        <w:t xml:space="preserve"> and</w:t>
      </w:r>
      <w:bookmarkStart w:id="1" w:name="_GoBack"/>
      <w:bookmarkEnd w:id="1"/>
      <w:r w:rsidR="00F05EA4" w:rsidRPr="004E1F63">
        <w:t xml:space="preserve"> </w:t>
      </w:r>
      <w:r w:rsidR="004E1F63">
        <w:t xml:space="preserve">on </w:t>
      </w:r>
      <w:r w:rsidR="00F05EA4" w:rsidRPr="004E1F63">
        <w:t xml:space="preserve">the environment </w:t>
      </w:r>
    </w:p>
    <w:p w14:paraId="479BE6BF" w14:textId="7D3FD4CE" w:rsidR="007D5616" w:rsidRDefault="00D73F5B" w:rsidP="00A23B8E">
      <w:pPr>
        <w:ind w:firstLine="0"/>
      </w:pPr>
      <w:r>
        <w:t xml:space="preserve">Anthropogenic emissions </w:t>
      </w:r>
      <w:r w:rsidR="000602AA">
        <w:t xml:space="preserve">produce </w:t>
      </w:r>
      <w:r>
        <w:t xml:space="preserve">local effects in terms of pollution of air, water, soil and consequently of </w:t>
      </w:r>
      <w:r w:rsidR="002A1B2D">
        <w:t>the food chain</w:t>
      </w:r>
      <w:r w:rsidR="000602AA">
        <w:t>,</w:t>
      </w:r>
      <w:r w:rsidR="009C7A0F">
        <w:t xml:space="preserve"> in the areas of the globe directly affected by the emissions</w:t>
      </w:r>
      <w:r w:rsidR="002A1B2D">
        <w:t xml:space="preserve">. </w:t>
      </w:r>
      <w:r w:rsidR="006E3DBD">
        <w:t>The major impact however is o</w:t>
      </w:r>
      <w:r w:rsidR="002A1B2D">
        <w:t>n a global scale</w:t>
      </w:r>
      <w:r w:rsidR="006E3DBD">
        <w:t>, with</w:t>
      </w:r>
      <w:r w:rsidR="002A1B2D">
        <w:t xml:space="preserve"> c</w:t>
      </w:r>
      <w:r>
        <w:t>limate changes</w:t>
      </w:r>
      <w:r w:rsidR="002A1B2D">
        <w:t xml:space="preserve"> of the Earth affecting millions of people. Global temperature rises, increase of ultraviolet radiation, extreme weather phenomena, melting of glaciers and rising levels of the sea are</w:t>
      </w:r>
      <w:r w:rsidR="002A1B2D" w:rsidRPr="006C0D83">
        <w:t xml:space="preserve"> just some of the </w:t>
      </w:r>
      <w:r w:rsidR="002A1B2D">
        <w:t>various effects of such changes</w:t>
      </w:r>
      <w:r w:rsidR="00AB2DC5">
        <w:t xml:space="preserve"> on the ecosystems</w:t>
      </w:r>
      <w:r w:rsidR="00A73765">
        <w:t xml:space="preserve"> </w:t>
      </w:r>
      <w:r w:rsidR="00A73765">
        <w:fldChar w:fldCharType="begin"/>
      </w:r>
      <w:r w:rsidR="00A73765">
        <w:instrText xml:space="preserve"> REF _Ref511644203 \r \h </w:instrText>
      </w:r>
      <w:r w:rsidR="00A73765">
        <w:fldChar w:fldCharType="separate"/>
      </w:r>
      <w:r w:rsidR="00D54C3A">
        <w:t>[17]</w:t>
      </w:r>
      <w:r w:rsidR="00A73765">
        <w:fldChar w:fldCharType="end"/>
      </w:r>
      <w:r w:rsidR="00A73765">
        <w:t xml:space="preserve">. </w:t>
      </w:r>
      <w:r w:rsidR="006E3DBD">
        <w:t xml:space="preserve">These changes imply a direct impact on humans and the other elements of the ecosystem:  desertification of zones previously featuring a temperate climate will damage agriculture: </w:t>
      </w:r>
      <w:r w:rsidR="006E3DBD">
        <w:lastRenderedPageBreak/>
        <w:t>the difficulties in the supply of drinking water and food will lead to malnutrition and disease.</w:t>
      </w:r>
      <w:r w:rsidR="006E3DBD" w:rsidRPr="006E3DBD">
        <w:t xml:space="preserve"> </w:t>
      </w:r>
      <w:r w:rsidR="006E3DBD">
        <w:t xml:space="preserve">The increase in temperatures favors the spread of diseases carried by vectors (insects, rodents) and invasive species; spatial distribution, seasonality, incidence and severity of communicable diseases could be strongly influenced by climatic variations. The </w:t>
      </w:r>
      <w:r w:rsidR="006E3DBD" w:rsidRPr="00110FA8">
        <w:t>World Health Organization</w:t>
      </w:r>
      <w:r w:rsidR="006E3DBD">
        <w:t xml:space="preserve"> (WHO) estimates that between 2030 and 2050 the deaths due to these effects will increase significantly (</w:t>
      </w:r>
      <w:r w:rsidR="00A23B8E">
        <w:t xml:space="preserve">with an </w:t>
      </w:r>
      <w:r w:rsidR="006E3DBD">
        <w:t xml:space="preserve">order of 250,000 deaths per year more). </w:t>
      </w:r>
      <w:r w:rsidR="00A23B8E">
        <w:t>Latest statistics indicate that the number of natural disasters and catastrophic events has tripled in the world compared to 1960s, with an increased impact on the human society (as well as on other the life forms). T</w:t>
      </w:r>
      <w:r w:rsidR="00AB2DC5" w:rsidRPr="00614E20">
        <w:t>he increase in the production of CO</w:t>
      </w:r>
      <w:r w:rsidR="00AB2DC5" w:rsidRPr="00614E20">
        <w:rPr>
          <w:vertAlign w:val="subscript"/>
        </w:rPr>
        <w:t>2</w:t>
      </w:r>
      <w:r w:rsidR="00AB2DC5" w:rsidRPr="00614E20">
        <w:t xml:space="preserve"> will lead</w:t>
      </w:r>
      <w:r w:rsidR="00AB2DC5">
        <w:t xml:space="preserve"> </w:t>
      </w:r>
      <w:r w:rsidR="00AB2DC5" w:rsidRPr="00614E20">
        <w:t xml:space="preserve">to an acidification of the oceans with damage to </w:t>
      </w:r>
      <w:r w:rsidR="006E3DBD">
        <w:t xml:space="preserve">the </w:t>
      </w:r>
      <w:r w:rsidR="00AB2DC5" w:rsidRPr="00614E20">
        <w:t>marine ecosystems</w:t>
      </w:r>
      <w:r w:rsidR="00AB2DC5">
        <w:t xml:space="preserve">. </w:t>
      </w:r>
    </w:p>
    <w:p w14:paraId="3B7B52CF" w14:textId="5E8CD140" w:rsidR="0007659D" w:rsidRDefault="00A23B8E" w:rsidP="007D5616">
      <w:r>
        <w:t>Because of all the examples cited above and many other types of negative implications, the increase of GHG content in the Earth’s atmosphere does have a social cost, which the Human Kind is called to pay</w:t>
      </w:r>
      <w:r w:rsidR="00093A3D">
        <w:t xml:space="preserve"> in the next and far future</w:t>
      </w:r>
      <w:r>
        <w:t xml:space="preserve">. </w:t>
      </w:r>
      <w:r w:rsidR="00093A3D">
        <w:t>In a</w:t>
      </w:r>
      <w:r>
        <w:t xml:space="preserve">n attempt of </w:t>
      </w:r>
      <w:r w:rsidR="00093A3D">
        <w:t>establishing a balance between those areas of the Society that actually contribute to emissions, generally experiencing an advantage, and those areas who instead bear mainly the cost of consequences, the concept of cost for ton of CO</w:t>
      </w:r>
      <w:r w:rsidR="00093A3D" w:rsidRPr="00102BB0">
        <w:rPr>
          <w:vertAlign w:val="subscript"/>
        </w:rPr>
        <w:t>2</w:t>
      </w:r>
      <w:r w:rsidR="00093A3D">
        <w:t xml:space="preserve"> emitted was introduced. The underlying idea is internalization, i.e. </w:t>
      </w:r>
      <w:r>
        <w:t xml:space="preserve">making the </w:t>
      </w:r>
      <w:r w:rsidR="002200B9">
        <w:t xml:space="preserve">economic </w:t>
      </w:r>
      <w:r w:rsidR="00093A3D">
        <w:t xml:space="preserve">accounting of the GHG </w:t>
      </w:r>
      <w:r>
        <w:t>act</w:t>
      </w:r>
      <w:r w:rsidR="00093A3D">
        <w:t xml:space="preserve">ive emitters reflect explicitly the damage caused to the environment, </w:t>
      </w:r>
      <w:r w:rsidR="0007659D">
        <w:t xml:space="preserve">that otherwise will be bore by entities external to their interest. The implication of the concept is also quite evidently to </w:t>
      </w:r>
      <w:r w:rsidR="00093A3D">
        <w:t>provid</w:t>
      </w:r>
      <w:r w:rsidR="00BB3E2F">
        <w:t xml:space="preserve">e this way economical </w:t>
      </w:r>
      <w:r w:rsidR="00093A3D">
        <w:t xml:space="preserve">means for </w:t>
      </w:r>
      <w:r w:rsidR="00BB3E2F">
        <w:t xml:space="preserve">the Society for </w:t>
      </w:r>
      <w:r w:rsidR="0007659D">
        <w:t xml:space="preserve">trying to </w:t>
      </w:r>
      <w:r w:rsidR="00093A3D">
        <w:t xml:space="preserve">re-establish the </w:t>
      </w:r>
      <w:r w:rsidR="002200B9">
        <w:t xml:space="preserve">balance </w:t>
      </w:r>
      <w:r w:rsidR="0007659D">
        <w:t>disrupted.</w:t>
      </w:r>
    </w:p>
    <w:p w14:paraId="33E99BFA" w14:textId="7D5566E4" w:rsidR="000238CA" w:rsidRDefault="0007659D" w:rsidP="0007659D">
      <w:r>
        <w:t>Many institutions and groups around the world have provided a monetary evaluation of the cost of a ton of CO</w:t>
      </w:r>
      <w:r w:rsidRPr="0009716B">
        <w:rPr>
          <w:vertAlign w:val="subscript"/>
        </w:rPr>
        <w:t>2</w:t>
      </w:r>
      <w:r>
        <w:t xml:space="preserve"> or CO</w:t>
      </w:r>
      <w:r w:rsidRPr="0009716B">
        <w:rPr>
          <w:vertAlign w:val="subscript"/>
        </w:rPr>
        <w:t>2</w:t>
      </w:r>
      <w:r>
        <w:rPr>
          <w:vertAlign w:val="subscript"/>
        </w:rPr>
        <w:t>eq</w:t>
      </w:r>
      <w:r>
        <w:t xml:space="preserve"> emitted: </w:t>
      </w:r>
      <w:r w:rsidR="003E5813">
        <w:t xml:space="preserve">f.i. </w:t>
      </w:r>
      <w:r w:rsidR="000B3D49" w:rsidRPr="000B3D49">
        <w:t xml:space="preserve">the </w:t>
      </w:r>
      <w:r w:rsidR="000B3D49" w:rsidRPr="007D5616">
        <w:rPr>
          <w:i/>
        </w:rPr>
        <w:t>US Environmental Protection Agency</w:t>
      </w:r>
      <w:r w:rsidR="000B3D49">
        <w:t xml:space="preserve"> (EPA) in 2015, </w:t>
      </w:r>
      <w:r>
        <w:t xml:space="preserve">proposed a </w:t>
      </w:r>
      <w:r w:rsidR="000B3D49">
        <w:t xml:space="preserve">cost </w:t>
      </w:r>
      <w:r>
        <w:t xml:space="preserve">of </w:t>
      </w:r>
      <w:r w:rsidR="000B3D49">
        <w:t>$</w:t>
      </w:r>
      <w:r w:rsidR="000B3D49" w:rsidRPr="000B3D49">
        <w:t>37 per ton of CO</w:t>
      </w:r>
      <w:r w:rsidR="000B3D49" w:rsidRPr="007D5616">
        <w:rPr>
          <w:vertAlign w:val="subscript"/>
        </w:rPr>
        <w:t>2</w:t>
      </w:r>
      <w:r w:rsidR="00110FA8" w:rsidRPr="007D5616">
        <w:t xml:space="preserve"> </w:t>
      </w:r>
      <w:r w:rsidR="00110FA8">
        <w:fldChar w:fldCharType="begin"/>
      </w:r>
      <w:r w:rsidR="00110FA8" w:rsidRPr="007D5616">
        <w:instrText xml:space="preserve"> REF _Ref510081034 \r \h </w:instrText>
      </w:r>
      <w:r w:rsidR="00110FA8">
        <w:instrText xml:space="preserve"> \* MERGEFORMAT </w:instrText>
      </w:r>
      <w:r w:rsidR="009556B6">
        <w:fldChar w:fldCharType="separate"/>
      </w:r>
      <w:r w:rsidR="00D54C3A">
        <w:t>[18]</w:t>
      </w:r>
      <w:r w:rsidR="00110FA8">
        <w:fldChar w:fldCharType="end"/>
      </w:r>
      <w:r w:rsidR="00110FA8">
        <w:fldChar w:fldCharType="begin"/>
      </w:r>
      <w:r w:rsidR="00110FA8">
        <w:instrText xml:space="preserve"> REF _Ref510081034 \r \h  \* MERGEFORMAT </w:instrText>
      </w:r>
      <w:r w:rsidR="00110FA8">
        <w:fldChar w:fldCharType="separate"/>
      </w:r>
      <w:r w:rsidR="00D54C3A">
        <w:t>[18]</w:t>
      </w:r>
      <w:r w:rsidR="00110FA8">
        <w:fldChar w:fldCharType="end"/>
      </w:r>
      <w:r w:rsidR="000B3D49" w:rsidRPr="000B3D49">
        <w:t xml:space="preserve">. Another research, </w:t>
      </w:r>
      <w:r w:rsidR="003E5813">
        <w:t xml:space="preserve">carried out </w:t>
      </w:r>
      <w:r w:rsidR="00263494">
        <w:t>by</w:t>
      </w:r>
      <w:r w:rsidR="00263494" w:rsidRPr="000B3D49">
        <w:t xml:space="preserve"> </w:t>
      </w:r>
      <w:r w:rsidR="000B3D49" w:rsidRPr="000B3D49">
        <w:t>the University of Stanford</w:t>
      </w:r>
      <w:r w:rsidR="000B3D49">
        <w:t xml:space="preserve">, </w:t>
      </w:r>
      <w:r w:rsidR="00110FA8">
        <w:t>e</w:t>
      </w:r>
      <w:r w:rsidR="00110FA8" w:rsidRPr="00110FA8">
        <w:t xml:space="preserve">stimates that this cost </w:t>
      </w:r>
      <w:r>
        <w:t>may reach as much as</w:t>
      </w:r>
      <w:r w:rsidR="00110FA8">
        <w:t xml:space="preserve"> </w:t>
      </w:r>
      <w:r w:rsidR="000B3D49">
        <w:t>$</w:t>
      </w:r>
      <w:r w:rsidR="000B3D49" w:rsidRPr="000B3D49">
        <w:t>220</w:t>
      </w:r>
      <w:r w:rsidR="00110FA8">
        <w:t xml:space="preserve"> </w:t>
      </w:r>
      <w:r w:rsidR="00110FA8">
        <w:fldChar w:fldCharType="begin"/>
      </w:r>
      <w:r w:rsidR="00110FA8">
        <w:instrText xml:space="preserve"> REF _Ref510081120 \r \h </w:instrText>
      </w:r>
      <w:r w:rsidR="00110FA8">
        <w:fldChar w:fldCharType="separate"/>
      </w:r>
      <w:r w:rsidR="00D54C3A">
        <w:t>[19]</w:t>
      </w:r>
      <w:r w:rsidR="00110FA8">
        <w:fldChar w:fldCharType="end"/>
      </w:r>
      <w:r w:rsidR="000B3D49" w:rsidRPr="000B3D49">
        <w:t xml:space="preserve">. According to </w:t>
      </w:r>
      <w:r>
        <w:t xml:space="preserve">the </w:t>
      </w:r>
      <w:r w:rsidRPr="000B3D49">
        <w:t xml:space="preserve">IPCC </w:t>
      </w:r>
      <w:r w:rsidR="000B3D49" w:rsidRPr="000B3D49">
        <w:t>AR-5</w:t>
      </w:r>
      <w:r w:rsidR="00263494">
        <w:t>,</w:t>
      </w:r>
      <w:r w:rsidR="000B3D49" w:rsidRPr="000B3D49">
        <w:t xml:space="preserve"> impact estimates are </w:t>
      </w:r>
      <w:r w:rsidR="003E5813">
        <w:t xml:space="preserve">in general </w:t>
      </w:r>
      <w:r w:rsidR="000B3D49" w:rsidRPr="000B3D49">
        <w:t>incomplete and depend on a large number of assumptions, many of which are disputable. Many estimates, indeed</w:t>
      </w:r>
      <w:r w:rsidR="003E5813">
        <w:t>,</w:t>
      </w:r>
      <w:r w:rsidR="000B3D49" w:rsidRPr="000B3D49">
        <w:t xml:space="preserve"> do not account for the possibility of large-scale singular events and irreversibility, especially those that are difficult to monetize,</w:t>
      </w:r>
      <w:r w:rsidR="000B3D49">
        <w:t xml:space="preserve"> such as loss of biodiversity</w:t>
      </w:r>
      <w:r w:rsidR="00110FA8">
        <w:t xml:space="preserve"> </w:t>
      </w:r>
      <w:r w:rsidR="00110FA8">
        <w:fldChar w:fldCharType="begin"/>
      </w:r>
      <w:r w:rsidR="00110FA8">
        <w:instrText xml:space="preserve"> REF _Ref510081610 \r \h </w:instrText>
      </w:r>
      <w:r w:rsidR="00110FA8">
        <w:fldChar w:fldCharType="separate"/>
      </w:r>
      <w:r w:rsidR="00D54C3A">
        <w:t>[20]</w:t>
      </w:r>
      <w:r w:rsidR="00110FA8">
        <w:fldChar w:fldCharType="end"/>
      </w:r>
      <w:r w:rsidR="000B3D49">
        <w:t xml:space="preserve">. </w:t>
      </w:r>
      <w:r>
        <w:t xml:space="preserve">Independently from the debate about numbers, which are definitely beyond the scope of the present paragraph, the range of figures indicates </w:t>
      </w:r>
      <w:r w:rsidR="00BB3E2F">
        <w:t>that a huge amount of resources will be employed in the future to control the climate changes due to human pollution on Earth.</w:t>
      </w:r>
      <w:r w:rsidR="000B3D49" w:rsidRPr="000B3D49">
        <w:t xml:space="preserve"> </w:t>
      </w:r>
    </w:p>
    <w:p w14:paraId="24118DFA" w14:textId="4F2A0E52" w:rsidR="000238CA" w:rsidRDefault="00D558F1" w:rsidP="00110FA8">
      <w:pPr>
        <w:pStyle w:val="Titolo1"/>
      </w:pPr>
      <w:r>
        <w:t xml:space="preserve">7. </w:t>
      </w:r>
      <w:r w:rsidR="00F05EA4">
        <w:t xml:space="preserve">Conclusions </w:t>
      </w:r>
    </w:p>
    <w:p w14:paraId="6FBD5516" w14:textId="7F2BD306" w:rsidR="001B3686" w:rsidRDefault="001B3686" w:rsidP="007D5616">
      <w:pPr>
        <w:ind w:firstLine="0"/>
      </w:pPr>
      <w:r>
        <w:t>A</w:t>
      </w:r>
      <w:r w:rsidR="00F05EA4">
        <w:t xml:space="preserve">nthropogenic activities generated an increase in the </w:t>
      </w:r>
      <w:r>
        <w:t>amount</w:t>
      </w:r>
      <w:r w:rsidR="00F05EA4">
        <w:t xml:space="preserve"> of greenhouse gases present in the atmosphere </w:t>
      </w:r>
      <w:r>
        <w:t xml:space="preserve">thus </w:t>
      </w:r>
      <w:r w:rsidR="00F05EA4">
        <w:t xml:space="preserve">causing, among other </w:t>
      </w:r>
      <w:r>
        <w:t>effects</w:t>
      </w:r>
      <w:r w:rsidR="00F05EA4">
        <w:t>, an increase in the average temperature of the globe. The whole world is called to take action</w:t>
      </w:r>
      <w:r>
        <w:t>s</w:t>
      </w:r>
      <w:r w:rsidR="00F05EA4">
        <w:t xml:space="preserve"> to protect the ecosystem of our planet by reducing </w:t>
      </w:r>
      <w:r>
        <w:t xml:space="preserve">GHG </w:t>
      </w:r>
      <w:r w:rsidR="00F05EA4">
        <w:t>emission</w:t>
      </w:r>
      <w:r>
        <w:t>s</w:t>
      </w:r>
      <w:r w:rsidR="00F05EA4">
        <w:t xml:space="preserve">. </w:t>
      </w:r>
      <w:r w:rsidR="007D5616" w:rsidRPr="007D5616">
        <w:t>The shipping world,</w:t>
      </w:r>
      <w:r w:rsidR="007D5616">
        <w:t xml:space="preserve"> like all sectors, </w:t>
      </w:r>
      <w:r w:rsidR="00504D29">
        <w:t xml:space="preserve">must </w:t>
      </w:r>
      <w:r w:rsidR="007D5616" w:rsidRPr="007D5616">
        <w:t>play a role, despite the fact that the weight of marine traffic on the global emissions is comparatively low (less than 3%)</w:t>
      </w:r>
      <w:r w:rsidR="00BB3E2F">
        <w:t xml:space="preserve"> and that marine transportation is a comparatively efficient </w:t>
      </w:r>
      <w:r w:rsidR="00016510">
        <w:t>way</w:t>
      </w:r>
      <w:r w:rsidR="00BB3E2F">
        <w:t xml:space="preserve"> for transporting large amounts of goods. </w:t>
      </w:r>
      <w:r w:rsidR="004D52E4">
        <w:t xml:space="preserve"> </w:t>
      </w:r>
      <w:r w:rsidR="00F05EA4">
        <w:t xml:space="preserve">The </w:t>
      </w:r>
      <w:r>
        <w:t xml:space="preserve">main trend for the reduction of emissions is represented by an increase </w:t>
      </w:r>
      <w:r w:rsidR="00BB3E2F">
        <w:t xml:space="preserve">in the </w:t>
      </w:r>
      <w:r>
        <w:t xml:space="preserve">efficiency </w:t>
      </w:r>
      <w:r w:rsidR="00BB3E2F">
        <w:t xml:space="preserve">of </w:t>
      </w:r>
      <w:r>
        <w:t>the transportation process</w:t>
      </w:r>
      <w:r w:rsidR="00016510">
        <w:t xml:space="preserve"> and in the use of cleaner fuels.</w:t>
      </w:r>
    </w:p>
    <w:p w14:paraId="2B053622" w14:textId="362EB4E3" w:rsidR="00BE1AD0" w:rsidRDefault="007D5616" w:rsidP="004D52E4">
      <w:r w:rsidRPr="000B3D49">
        <w:t xml:space="preserve">Investments, mitigation projects and appropriate environmental policies therefore seem increasingly urgent, in </w:t>
      </w:r>
      <w:r w:rsidR="00016510">
        <w:t>view of controlling the GHG emission process (that at the moment seems out of control)</w:t>
      </w:r>
      <w:r>
        <w:t>.</w:t>
      </w:r>
    </w:p>
    <w:p w14:paraId="471049B2" w14:textId="1B742DF1" w:rsidR="00674F6F" w:rsidRPr="00D558F1" w:rsidRDefault="00D558F1" w:rsidP="007D5616">
      <w:pPr>
        <w:pStyle w:val="Titolo1"/>
        <w:rPr>
          <w:rFonts w:cs="Times New Roman"/>
          <w:bCs w:val="0"/>
          <w:kern w:val="0"/>
          <w:szCs w:val="24"/>
        </w:rPr>
      </w:pPr>
      <w:r>
        <w:rPr>
          <w:rFonts w:cs="Times New Roman"/>
          <w:bCs w:val="0"/>
          <w:kern w:val="0"/>
          <w:szCs w:val="24"/>
        </w:rPr>
        <w:lastRenderedPageBreak/>
        <w:t xml:space="preserve">8. </w:t>
      </w:r>
      <w:r w:rsidR="00F05EA4" w:rsidRPr="00D558F1">
        <w:rPr>
          <w:rFonts w:cs="Times New Roman"/>
          <w:bCs w:val="0"/>
          <w:kern w:val="0"/>
          <w:szCs w:val="24"/>
        </w:rPr>
        <w:t xml:space="preserve">References </w:t>
      </w:r>
    </w:p>
    <w:p w14:paraId="434707BC" w14:textId="2DAD69BA" w:rsidR="000238CA" w:rsidRPr="007D5616" w:rsidRDefault="00F05EA4" w:rsidP="007D5616">
      <w:pPr>
        <w:pStyle w:val="Paragrafoelenco"/>
        <w:numPr>
          <w:ilvl w:val="0"/>
          <w:numId w:val="4"/>
        </w:numPr>
        <w:rPr>
          <w:sz w:val="16"/>
          <w:szCs w:val="16"/>
        </w:rPr>
      </w:pPr>
      <w:bookmarkStart w:id="2" w:name="_30j0zll" w:colFirst="0" w:colLast="0"/>
      <w:bookmarkEnd w:id="2"/>
      <w:r w:rsidRPr="007D5616">
        <w:rPr>
          <w:sz w:val="16"/>
          <w:szCs w:val="16"/>
        </w:rPr>
        <w:t xml:space="preserve">IPCC, </w:t>
      </w:r>
      <w:r w:rsidRPr="007D5616">
        <w:rPr>
          <w:i/>
          <w:sz w:val="16"/>
          <w:szCs w:val="16"/>
        </w:rPr>
        <w:t>Climate Change 2014: Mitigation of Climate Change</w:t>
      </w:r>
      <w:r w:rsidRPr="007D5616">
        <w:rPr>
          <w:sz w:val="16"/>
          <w:szCs w:val="16"/>
        </w:rPr>
        <w:t>. Contribution of Working Group III to the Fifth Assessment Report of the Intergovernmental Panel on Climate Change, Cambridge University Press, Cambridge, United Kingdom and New York, NY, USA, 2014.</w:t>
      </w:r>
    </w:p>
    <w:p w14:paraId="17007F4E" w14:textId="4E354FFB" w:rsidR="000238CA" w:rsidRPr="007D5616" w:rsidRDefault="00F05EA4" w:rsidP="007D5616">
      <w:pPr>
        <w:pStyle w:val="Paragrafoelenco"/>
        <w:numPr>
          <w:ilvl w:val="0"/>
          <w:numId w:val="4"/>
        </w:numPr>
        <w:rPr>
          <w:sz w:val="16"/>
          <w:szCs w:val="16"/>
        </w:rPr>
      </w:pPr>
      <w:bookmarkStart w:id="3" w:name="_1fob9te" w:colFirst="0" w:colLast="0"/>
      <w:bookmarkEnd w:id="3"/>
      <w:r w:rsidRPr="007D5616">
        <w:rPr>
          <w:sz w:val="16"/>
          <w:szCs w:val="16"/>
        </w:rPr>
        <w:t xml:space="preserve">K. Anderson, A. Bows, Executing a Scharnow turn: reconciling shipping emissions with international commitments on climate change, </w:t>
      </w:r>
      <w:r w:rsidRPr="007D5616">
        <w:rPr>
          <w:i/>
          <w:sz w:val="16"/>
          <w:szCs w:val="16"/>
        </w:rPr>
        <w:t>Carbon Management</w:t>
      </w:r>
      <w:r w:rsidRPr="007D5616">
        <w:rPr>
          <w:sz w:val="16"/>
          <w:szCs w:val="16"/>
        </w:rPr>
        <w:t xml:space="preserve"> </w:t>
      </w:r>
      <w:r w:rsidR="007A26C4" w:rsidRPr="007D5616">
        <w:rPr>
          <w:b/>
          <w:sz w:val="16"/>
          <w:szCs w:val="16"/>
        </w:rPr>
        <w:t>3:6</w:t>
      </w:r>
      <w:r w:rsidR="007A26C4" w:rsidRPr="007D5616">
        <w:rPr>
          <w:sz w:val="16"/>
          <w:szCs w:val="16"/>
        </w:rPr>
        <w:t xml:space="preserve"> </w:t>
      </w:r>
      <w:r w:rsidRPr="007D5616">
        <w:rPr>
          <w:sz w:val="16"/>
          <w:szCs w:val="16"/>
        </w:rPr>
        <w:t>(2012), 615-628.</w:t>
      </w:r>
    </w:p>
    <w:p w14:paraId="09209C2B" w14:textId="77777777" w:rsidR="000238CA" w:rsidRPr="007D5616" w:rsidRDefault="00F05EA4" w:rsidP="007D5616">
      <w:pPr>
        <w:pStyle w:val="Paragrafoelenco"/>
        <w:numPr>
          <w:ilvl w:val="0"/>
          <w:numId w:val="4"/>
        </w:numPr>
        <w:rPr>
          <w:sz w:val="16"/>
          <w:szCs w:val="16"/>
        </w:rPr>
      </w:pPr>
      <w:bookmarkStart w:id="4" w:name="_3znysh7" w:colFirst="0" w:colLast="0"/>
      <w:bookmarkEnd w:id="4"/>
      <w:r w:rsidRPr="007D5616">
        <w:rPr>
          <w:sz w:val="16"/>
          <w:szCs w:val="16"/>
        </w:rPr>
        <w:t>UNFCC, Doha amendment to the Kyoto Protocol, Doha, 2012.</w:t>
      </w:r>
    </w:p>
    <w:p w14:paraId="4313E660" w14:textId="77777777" w:rsidR="000238CA" w:rsidRPr="007D5616" w:rsidRDefault="00F05EA4" w:rsidP="007D5616">
      <w:pPr>
        <w:pStyle w:val="Paragrafoelenco"/>
        <w:numPr>
          <w:ilvl w:val="0"/>
          <w:numId w:val="4"/>
        </w:numPr>
        <w:rPr>
          <w:sz w:val="16"/>
          <w:szCs w:val="16"/>
        </w:rPr>
      </w:pPr>
      <w:bookmarkStart w:id="5" w:name="_2et92p0" w:colFirst="0" w:colLast="0"/>
      <w:bookmarkEnd w:id="5"/>
      <w:r w:rsidRPr="007D5616">
        <w:rPr>
          <w:sz w:val="16"/>
          <w:szCs w:val="16"/>
        </w:rPr>
        <w:t xml:space="preserve">Fuglestvedt, J., Eyring, V., Isaken I., Lee D., Sausen R., Shipping Emissions: From Cooling to Warming of Climates-and Reducing Impacts on Health, </w:t>
      </w:r>
      <w:r w:rsidRPr="007D5616">
        <w:rPr>
          <w:i/>
          <w:sz w:val="16"/>
          <w:szCs w:val="16"/>
        </w:rPr>
        <w:t xml:space="preserve">Environ. Sci. Technol. </w:t>
      </w:r>
      <w:r w:rsidRPr="007D5616">
        <w:rPr>
          <w:b/>
          <w:sz w:val="16"/>
          <w:szCs w:val="16"/>
        </w:rPr>
        <w:t>43</w:t>
      </w:r>
      <w:r w:rsidRPr="007D5616">
        <w:rPr>
          <w:sz w:val="16"/>
          <w:szCs w:val="16"/>
        </w:rPr>
        <w:t xml:space="preserve"> (2009), 9057–9062.</w:t>
      </w:r>
    </w:p>
    <w:bookmarkStart w:id="6" w:name="_tyjcwt" w:colFirst="0" w:colLast="0"/>
    <w:bookmarkEnd w:id="6"/>
    <w:p w14:paraId="6D79D906" w14:textId="77777777" w:rsidR="000238CA" w:rsidRPr="007D5616" w:rsidRDefault="00F05EA4" w:rsidP="007D5616">
      <w:pPr>
        <w:pStyle w:val="Paragrafoelenco"/>
        <w:numPr>
          <w:ilvl w:val="0"/>
          <w:numId w:val="4"/>
        </w:numPr>
        <w:rPr>
          <w:sz w:val="16"/>
          <w:szCs w:val="16"/>
          <w:lang w:val="it-IT"/>
        </w:rPr>
      </w:pPr>
      <w:r w:rsidRPr="007D5616">
        <w:rPr>
          <w:sz w:val="16"/>
          <w:szCs w:val="16"/>
        </w:rPr>
        <w:fldChar w:fldCharType="begin"/>
      </w:r>
      <w:r w:rsidRPr="007D5616">
        <w:rPr>
          <w:sz w:val="16"/>
          <w:szCs w:val="16"/>
          <w:lang w:val="it-IT"/>
        </w:rPr>
        <w:instrText xml:space="preserve"> HYPERLINK "http://www.consilium.europa.eu" \h </w:instrText>
      </w:r>
      <w:r w:rsidRPr="007D5616">
        <w:rPr>
          <w:sz w:val="16"/>
          <w:szCs w:val="16"/>
        </w:rPr>
        <w:fldChar w:fldCharType="separate"/>
      </w:r>
      <w:r w:rsidRPr="007D5616">
        <w:rPr>
          <w:color w:val="0563C1"/>
          <w:sz w:val="16"/>
          <w:szCs w:val="16"/>
          <w:u w:val="single"/>
          <w:lang w:val="it-IT"/>
        </w:rPr>
        <w:t>http://www.consilium.europa.eu</w:t>
      </w:r>
      <w:r w:rsidRPr="007D5616">
        <w:rPr>
          <w:color w:val="0563C1"/>
          <w:sz w:val="16"/>
          <w:szCs w:val="16"/>
          <w:u w:val="single"/>
        </w:rPr>
        <w:fldChar w:fldCharType="end"/>
      </w:r>
      <w:r w:rsidRPr="007D5616">
        <w:rPr>
          <w:sz w:val="16"/>
          <w:szCs w:val="16"/>
          <w:lang w:val="it-IT"/>
        </w:rPr>
        <w:t xml:space="preserve">, </w:t>
      </w:r>
      <w:r w:rsidRPr="007D5616">
        <w:rPr>
          <w:i/>
          <w:sz w:val="16"/>
          <w:szCs w:val="16"/>
          <w:lang w:val="it-IT"/>
        </w:rPr>
        <w:t>Accordo di Parigi sui cambiamenti climatici</w:t>
      </w:r>
      <w:r w:rsidRPr="007D5616">
        <w:rPr>
          <w:sz w:val="16"/>
          <w:szCs w:val="16"/>
          <w:lang w:val="it-IT"/>
        </w:rPr>
        <w:t>, 2018.</w:t>
      </w:r>
    </w:p>
    <w:p w14:paraId="7687A773" w14:textId="77777777" w:rsidR="000238CA" w:rsidRPr="007D5616" w:rsidRDefault="00F05EA4" w:rsidP="007D5616">
      <w:pPr>
        <w:pStyle w:val="Paragrafoelenco"/>
        <w:numPr>
          <w:ilvl w:val="0"/>
          <w:numId w:val="4"/>
        </w:numPr>
        <w:rPr>
          <w:sz w:val="16"/>
          <w:szCs w:val="16"/>
        </w:rPr>
      </w:pPr>
      <w:bookmarkStart w:id="7" w:name="_3dy6vkm" w:colFirst="0" w:colLast="0"/>
      <w:bookmarkEnd w:id="7"/>
      <w:r w:rsidRPr="007D5616">
        <w:rPr>
          <w:sz w:val="16"/>
          <w:szCs w:val="16"/>
        </w:rPr>
        <w:t xml:space="preserve">Larkin A., Smith T., Wrobel P., Shipping in changing climates, </w:t>
      </w:r>
      <w:r w:rsidRPr="007D5616">
        <w:rPr>
          <w:i/>
          <w:sz w:val="16"/>
          <w:szCs w:val="16"/>
        </w:rPr>
        <w:t xml:space="preserve">Marine Policy </w:t>
      </w:r>
      <w:r w:rsidRPr="007D5616">
        <w:rPr>
          <w:b/>
          <w:sz w:val="16"/>
          <w:szCs w:val="16"/>
        </w:rPr>
        <w:t>75</w:t>
      </w:r>
      <w:r w:rsidRPr="007D5616">
        <w:rPr>
          <w:sz w:val="16"/>
          <w:szCs w:val="16"/>
        </w:rPr>
        <w:t xml:space="preserve"> (2017), 188–190.</w:t>
      </w:r>
    </w:p>
    <w:p w14:paraId="4D2FD2C0" w14:textId="77777777" w:rsidR="000238CA" w:rsidRPr="007D5616" w:rsidRDefault="00F05EA4" w:rsidP="007D5616">
      <w:pPr>
        <w:pStyle w:val="Paragrafoelenco"/>
        <w:numPr>
          <w:ilvl w:val="0"/>
          <w:numId w:val="4"/>
        </w:numPr>
        <w:rPr>
          <w:sz w:val="16"/>
          <w:szCs w:val="16"/>
        </w:rPr>
      </w:pPr>
      <w:bookmarkStart w:id="8" w:name="_1t3h5sf" w:colFirst="0" w:colLast="0"/>
      <w:bookmarkEnd w:id="8"/>
      <w:r w:rsidRPr="007D5616">
        <w:rPr>
          <w:sz w:val="16"/>
          <w:szCs w:val="16"/>
        </w:rPr>
        <w:t>UNFCC, Negotiating text, Agenda item 3-Implementation of all the elements of decision 1/CP.17, Ad Hoc Working Group on the Durban Platform for Enhanced Action, Second session, part eight Geneva, 8–13 February 2015.</w:t>
      </w:r>
    </w:p>
    <w:p w14:paraId="3EB4DFD9" w14:textId="40B13C73" w:rsidR="000238CA" w:rsidRPr="007D5616" w:rsidRDefault="00F05EA4" w:rsidP="007D5616">
      <w:pPr>
        <w:pStyle w:val="Paragrafoelenco"/>
        <w:numPr>
          <w:ilvl w:val="0"/>
          <w:numId w:val="4"/>
        </w:numPr>
        <w:rPr>
          <w:sz w:val="16"/>
          <w:szCs w:val="16"/>
        </w:rPr>
      </w:pPr>
      <w:bookmarkStart w:id="9" w:name="_4d34og8" w:colFirst="0" w:colLast="0"/>
      <w:bookmarkEnd w:id="9"/>
      <w:r w:rsidRPr="007D5616">
        <w:rPr>
          <w:sz w:val="16"/>
          <w:szCs w:val="16"/>
        </w:rPr>
        <w:t>IMO, 2014 Guidelines on the Method of Calculation of the Attained Energy Efficiency Design Index (EEDI) For New Ships- Annex 5, MEPC66, 2014.</w:t>
      </w:r>
    </w:p>
    <w:p w14:paraId="3BFC6857" w14:textId="7681CF53" w:rsidR="000238CA" w:rsidRPr="007D5616" w:rsidRDefault="00F05EA4" w:rsidP="007D5616">
      <w:pPr>
        <w:pStyle w:val="Paragrafoelenco"/>
        <w:numPr>
          <w:ilvl w:val="0"/>
          <w:numId w:val="4"/>
        </w:numPr>
        <w:rPr>
          <w:sz w:val="16"/>
          <w:szCs w:val="16"/>
        </w:rPr>
      </w:pPr>
      <w:bookmarkStart w:id="10" w:name="_2s8eyo1" w:colFirst="0" w:colLast="0"/>
      <w:bookmarkEnd w:id="10"/>
      <w:r w:rsidRPr="007D5616">
        <w:rPr>
          <w:sz w:val="16"/>
          <w:szCs w:val="16"/>
        </w:rPr>
        <w:t xml:space="preserve">IMO, 2016 Guidelines for the Development of </w:t>
      </w:r>
      <w:r w:rsidR="006918F3" w:rsidRPr="007D5616">
        <w:rPr>
          <w:sz w:val="16"/>
          <w:szCs w:val="16"/>
        </w:rPr>
        <w:t>a</w:t>
      </w:r>
      <w:r w:rsidRPr="007D5616">
        <w:rPr>
          <w:sz w:val="16"/>
          <w:szCs w:val="16"/>
        </w:rPr>
        <w:t xml:space="preserve"> Ship Energy Efficiency Management Plan (SEEMP)-Annex 10, MEPC70 2016.</w:t>
      </w:r>
    </w:p>
    <w:p w14:paraId="5D3BA9A5" w14:textId="7854344A" w:rsidR="000238CA" w:rsidRPr="007D5616" w:rsidRDefault="00F05EA4" w:rsidP="007D5616">
      <w:pPr>
        <w:pStyle w:val="Paragrafoelenco"/>
        <w:numPr>
          <w:ilvl w:val="0"/>
          <w:numId w:val="4"/>
        </w:numPr>
        <w:rPr>
          <w:sz w:val="16"/>
          <w:szCs w:val="16"/>
        </w:rPr>
      </w:pPr>
      <w:bookmarkStart w:id="11" w:name="_17dp8vu" w:colFirst="0" w:colLast="0"/>
      <w:bookmarkEnd w:id="11"/>
      <w:r w:rsidRPr="007D5616">
        <w:rPr>
          <w:sz w:val="16"/>
          <w:szCs w:val="16"/>
        </w:rPr>
        <w:t xml:space="preserve">Shi Y., Reducing </w:t>
      </w:r>
      <w:r w:rsidR="006918F3" w:rsidRPr="007D5616">
        <w:rPr>
          <w:sz w:val="16"/>
          <w:szCs w:val="16"/>
        </w:rPr>
        <w:t>greenhouse gas</w:t>
      </w:r>
      <w:r w:rsidRPr="007D5616">
        <w:rPr>
          <w:sz w:val="16"/>
          <w:szCs w:val="16"/>
        </w:rPr>
        <w:t xml:space="preserve"> emissions from international shipping: Is it time to consider market-based measures?, </w:t>
      </w:r>
      <w:r w:rsidRPr="007D5616">
        <w:rPr>
          <w:i/>
          <w:sz w:val="16"/>
          <w:szCs w:val="16"/>
        </w:rPr>
        <w:t xml:space="preserve">Marine Policy </w:t>
      </w:r>
      <w:r w:rsidRPr="007D5616">
        <w:rPr>
          <w:b/>
          <w:sz w:val="16"/>
          <w:szCs w:val="16"/>
        </w:rPr>
        <w:t>64</w:t>
      </w:r>
      <w:r w:rsidRPr="007D5616">
        <w:rPr>
          <w:sz w:val="16"/>
          <w:szCs w:val="16"/>
        </w:rPr>
        <w:t xml:space="preserve"> (2016),123–134.</w:t>
      </w:r>
    </w:p>
    <w:p w14:paraId="54E80930" w14:textId="36B514FD" w:rsidR="000238CA" w:rsidRPr="007D5616" w:rsidRDefault="00F05EA4" w:rsidP="007D5616">
      <w:pPr>
        <w:pStyle w:val="Paragrafoelenco"/>
        <w:numPr>
          <w:ilvl w:val="0"/>
          <w:numId w:val="4"/>
        </w:numPr>
        <w:rPr>
          <w:sz w:val="16"/>
          <w:szCs w:val="16"/>
        </w:rPr>
      </w:pPr>
      <w:bookmarkStart w:id="12" w:name="_3rdcrjn" w:colFirst="0" w:colLast="0"/>
      <w:bookmarkStart w:id="13" w:name="_Ref509838252"/>
      <w:bookmarkEnd w:id="12"/>
      <w:r w:rsidRPr="007D5616">
        <w:rPr>
          <w:sz w:val="16"/>
          <w:szCs w:val="16"/>
        </w:rPr>
        <w:t>Sims R., R. Schaeffer, F. Creutzig, X. Cruz-Núñez, M. D’Agosto, D. Dimitriu, M. J. Figueroa Meza, L. Fulton, S. Kobayashi, O.Lah, A. McKinnon, P. Newman, M. Ouyang, J. J. Schauer, D. Sperling, and G. Tiwari</w:t>
      </w:r>
      <w:r w:rsidRPr="007D5616">
        <w:rPr>
          <w:i/>
          <w:sz w:val="16"/>
          <w:szCs w:val="16"/>
        </w:rPr>
        <w:t>, 2014: Transport. In: Climate Change 2014: Mitigation of Climate Change. Contribution of Working Group III to the Fifth Assessment Report of the Intergovernmental Panel on Climate Change</w:t>
      </w:r>
      <w:r w:rsidRPr="007D5616">
        <w:rPr>
          <w:sz w:val="16"/>
          <w:szCs w:val="16"/>
        </w:rPr>
        <w:t>, Cambridge University Press, Cambridge, United Kingdom and New York, NY, USA (2014), 599-670.</w:t>
      </w:r>
      <w:bookmarkEnd w:id="13"/>
    </w:p>
    <w:p w14:paraId="64B56601" w14:textId="77777777" w:rsidR="000238CA" w:rsidRDefault="00F05EA4" w:rsidP="007D5616">
      <w:pPr>
        <w:pStyle w:val="Paragrafoelenco"/>
        <w:numPr>
          <w:ilvl w:val="0"/>
          <w:numId w:val="4"/>
        </w:numPr>
        <w:rPr>
          <w:sz w:val="16"/>
          <w:szCs w:val="16"/>
        </w:rPr>
      </w:pPr>
      <w:bookmarkStart w:id="14" w:name="_26in1rg" w:colFirst="0" w:colLast="0"/>
      <w:bookmarkStart w:id="15" w:name="_Ref510108220"/>
      <w:bookmarkEnd w:id="14"/>
      <w:r w:rsidRPr="007D5616">
        <w:rPr>
          <w:sz w:val="16"/>
          <w:szCs w:val="16"/>
        </w:rPr>
        <w:t>IMO, Third IMO GHG Study 2014: Executive Summary and Final Report, International Maritime Organization, 2015.</w:t>
      </w:r>
      <w:bookmarkEnd w:id="15"/>
    </w:p>
    <w:p w14:paraId="7319AF50" w14:textId="3D0924A2" w:rsidR="00F24B16" w:rsidRPr="007D5616" w:rsidRDefault="00F24B16" w:rsidP="00F24B16">
      <w:pPr>
        <w:pStyle w:val="Paragrafoelenco"/>
        <w:numPr>
          <w:ilvl w:val="0"/>
          <w:numId w:val="4"/>
        </w:numPr>
        <w:rPr>
          <w:sz w:val="16"/>
          <w:szCs w:val="16"/>
        </w:rPr>
      </w:pPr>
      <w:bookmarkStart w:id="16" w:name="_Ref511643601"/>
      <w:r>
        <w:rPr>
          <w:sz w:val="16"/>
          <w:szCs w:val="16"/>
        </w:rPr>
        <w:t>L. Johansson, J. Jalkanen</w:t>
      </w:r>
      <w:r w:rsidRPr="007D5616">
        <w:rPr>
          <w:sz w:val="16"/>
          <w:szCs w:val="16"/>
        </w:rPr>
        <w:t>,</w:t>
      </w:r>
      <w:r>
        <w:rPr>
          <w:sz w:val="16"/>
          <w:szCs w:val="16"/>
        </w:rPr>
        <w:t xml:space="preserve"> J. Kukkonen,</w:t>
      </w:r>
      <w:r w:rsidRPr="007D5616">
        <w:rPr>
          <w:sz w:val="16"/>
          <w:szCs w:val="16"/>
        </w:rPr>
        <w:t xml:space="preserve"> </w:t>
      </w:r>
      <w:r>
        <w:rPr>
          <w:sz w:val="16"/>
          <w:szCs w:val="16"/>
        </w:rPr>
        <w:t xml:space="preserve">Global assessment of shipping emission in 2015 on high spatial and temporal resolution, </w:t>
      </w:r>
      <w:r>
        <w:rPr>
          <w:i/>
          <w:sz w:val="16"/>
          <w:szCs w:val="16"/>
        </w:rPr>
        <w:t>Atmospheric Environment 167</w:t>
      </w:r>
      <w:r w:rsidRPr="007D5616">
        <w:rPr>
          <w:sz w:val="16"/>
          <w:szCs w:val="16"/>
        </w:rPr>
        <w:t xml:space="preserve"> </w:t>
      </w:r>
      <w:r>
        <w:rPr>
          <w:sz w:val="16"/>
          <w:szCs w:val="16"/>
        </w:rPr>
        <w:t>(2017), 403-415.</w:t>
      </w:r>
      <w:bookmarkEnd w:id="16"/>
    </w:p>
    <w:p w14:paraId="1E171FF6" w14:textId="75CD0B9C" w:rsidR="000238CA" w:rsidRPr="00382C0E" w:rsidRDefault="00F05EA4" w:rsidP="00F24B16">
      <w:pPr>
        <w:pStyle w:val="Paragrafoelenco"/>
        <w:numPr>
          <w:ilvl w:val="0"/>
          <w:numId w:val="4"/>
        </w:numPr>
        <w:rPr>
          <w:sz w:val="16"/>
          <w:szCs w:val="16"/>
        </w:rPr>
      </w:pPr>
      <w:bookmarkStart w:id="17" w:name="_lnxbz9" w:colFirst="0" w:colLast="0"/>
      <w:bookmarkStart w:id="18" w:name="_Ref511644109"/>
      <w:bookmarkEnd w:id="17"/>
      <w:r w:rsidRPr="00382C0E">
        <w:rPr>
          <w:sz w:val="16"/>
          <w:szCs w:val="16"/>
        </w:rPr>
        <w:t>IPCC, Climate Change 2007: Mitigation. Contribution of Working Group III to the Fourth Assessment Report of the Intergovernmental Panel on Climate Change,</w:t>
      </w:r>
      <w:r w:rsidR="006918F3" w:rsidRPr="00382C0E">
        <w:rPr>
          <w:sz w:val="16"/>
          <w:szCs w:val="16"/>
        </w:rPr>
        <w:t xml:space="preserve"> </w:t>
      </w:r>
      <w:r w:rsidRPr="00382C0E">
        <w:rPr>
          <w:sz w:val="16"/>
          <w:szCs w:val="16"/>
        </w:rPr>
        <w:t>Cambridge University Press, Cambridge, United Kingdom and New York, NY, USA, 2007.</w:t>
      </w:r>
      <w:bookmarkEnd w:id="18"/>
    </w:p>
    <w:p w14:paraId="7831F3E9" w14:textId="77777777" w:rsidR="000238CA" w:rsidRPr="007D5616" w:rsidRDefault="00F05EA4" w:rsidP="007D5616">
      <w:pPr>
        <w:pStyle w:val="Paragrafoelenco"/>
        <w:numPr>
          <w:ilvl w:val="0"/>
          <w:numId w:val="4"/>
        </w:numPr>
        <w:rPr>
          <w:sz w:val="16"/>
          <w:szCs w:val="16"/>
        </w:rPr>
      </w:pPr>
      <w:bookmarkStart w:id="19" w:name="_35nkun2" w:colFirst="0" w:colLast="0"/>
      <w:bookmarkStart w:id="20" w:name="_Ref511644149"/>
      <w:bookmarkEnd w:id="19"/>
      <w:r w:rsidRPr="007D5616">
        <w:rPr>
          <w:sz w:val="16"/>
          <w:szCs w:val="16"/>
        </w:rPr>
        <w:t>Evert A. Bouman, E. Lindstad, A.I. Rialland, A. H. Strømman, State-of-the-art technologies, measures, and potential for reducing GHG emissions from shipping – A review</w:t>
      </w:r>
      <w:r w:rsidRPr="007D5616">
        <w:rPr>
          <w:i/>
          <w:sz w:val="16"/>
          <w:szCs w:val="16"/>
        </w:rPr>
        <w:t xml:space="preserve">, Transportation Research Part D </w:t>
      </w:r>
      <w:r w:rsidRPr="007D5616">
        <w:rPr>
          <w:b/>
          <w:sz w:val="16"/>
          <w:szCs w:val="16"/>
        </w:rPr>
        <w:t>52</w:t>
      </w:r>
      <w:r w:rsidRPr="007D5616">
        <w:rPr>
          <w:sz w:val="16"/>
          <w:szCs w:val="16"/>
        </w:rPr>
        <w:t xml:space="preserve"> (2017), 408–421.</w:t>
      </w:r>
      <w:bookmarkEnd w:id="20"/>
    </w:p>
    <w:p w14:paraId="2F671FCA" w14:textId="77777777" w:rsidR="000238CA" w:rsidRPr="007D5616" w:rsidRDefault="00F05EA4" w:rsidP="007D5616">
      <w:pPr>
        <w:pStyle w:val="Paragrafoelenco"/>
        <w:numPr>
          <w:ilvl w:val="0"/>
          <w:numId w:val="4"/>
        </w:numPr>
        <w:rPr>
          <w:sz w:val="16"/>
          <w:szCs w:val="16"/>
        </w:rPr>
      </w:pPr>
      <w:bookmarkStart w:id="21" w:name="_1ksv4uv" w:colFirst="0" w:colLast="0"/>
      <w:bookmarkStart w:id="22" w:name="_Ref511644007"/>
      <w:bookmarkEnd w:id="21"/>
      <w:r w:rsidRPr="007D5616">
        <w:rPr>
          <w:sz w:val="16"/>
          <w:szCs w:val="16"/>
        </w:rPr>
        <w:t xml:space="preserve">UNCTAD, </w:t>
      </w:r>
      <w:r w:rsidRPr="007D5616">
        <w:rPr>
          <w:i/>
          <w:sz w:val="16"/>
          <w:szCs w:val="16"/>
        </w:rPr>
        <w:t>Review of Maritime Transport 2017</w:t>
      </w:r>
      <w:r w:rsidRPr="007D5616">
        <w:rPr>
          <w:sz w:val="16"/>
          <w:szCs w:val="16"/>
        </w:rPr>
        <w:t>, United Nations Publication, 2017.</w:t>
      </w:r>
      <w:bookmarkEnd w:id="22"/>
    </w:p>
    <w:p w14:paraId="223B62D3" w14:textId="77777777" w:rsidR="000238CA" w:rsidRDefault="00F05EA4" w:rsidP="007D5616">
      <w:pPr>
        <w:pStyle w:val="Paragrafoelenco"/>
        <w:numPr>
          <w:ilvl w:val="0"/>
          <w:numId w:val="4"/>
        </w:numPr>
        <w:rPr>
          <w:sz w:val="16"/>
          <w:szCs w:val="16"/>
        </w:rPr>
      </w:pPr>
      <w:bookmarkStart w:id="23" w:name="_44sinio" w:colFirst="0" w:colLast="0"/>
      <w:bookmarkStart w:id="24" w:name="_Ref511644203"/>
      <w:bookmarkEnd w:id="23"/>
      <w:r w:rsidRPr="007D5616">
        <w:rPr>
          <w:sz w:val="16"/>
          <w:szCs w:val="16"/>
        </w:rPr>
        <w:t xml:space="preserve">Jinghong Gao, Sari Kovats, Sotiris Vardoulakis, Paul Wilkinson, AlistairWoodward, Jing Li, Shaohua Gu, Xiaobo Liu, Haixia Wua, JunWang, Xiaoqin Song, Yunkai Zhai, Jie Zhao, Qiyong Liua, Public health co-benefits of greenhouse gas emissions reduction: A systematic review, </w:t>
      </w:r>
      <w:r w:rsidRPr="007D5616">
        <w:rPr>
          <w:i/>
          <w:sz w:val="16"/>
          <w:szCs w:val="16"/>
        </w:rPr>
        <w:t xml:space="preserve">Science of the Total Environment </w:t>
      </w:r>
      <w:r w:rsidRPr="007D5616">
        <w:rPr>
          <w:b/>
          <w:sz w:val="16"/>
          <w:szCs w:val="16"/>
        </w:rPr>
        <w:t>627</w:t>
      </w:r>
      <w:r w:rsidRPr="007D5616">
        <w:rPr>
          <w:i/>
          <w:sz w:val="16"/>
          <w:szCs w:val="16"/>
        </w:rPr>
        <w:t xml:space="preserve"> </w:t>
      </w:r>
      <w:r w:rsidRPr="007D5616">
        <w:rPr>
          <w:sz w:val="16"/>
          <w:szCs w:val="16"/>
        </w:rPr>
        <w:t>(2018), 388–402.</w:t>
      </w:r>
      <w:bookmarkEnd w:id="24"/>
    </w:p>
    <w:bookmarkStart w:id="25" w:name="_Ref510081034"/>
    <w:p w14:paraId="454920BD" w14:textId="0B86961C" w:rsidR="000B3D49" w:rsidRDefault="00110FA8" w:rsidP="007D5616">
      <w:pPr>
        <w:pStyle w:val="Paragrafoelenco"/>
        <w:numPr>
          <w:ilvl w:val="0"/>
          <w:numId w:val="4"/>
        </w:numPr>
        <w:rPr>
          <w:sz w:val="16"/>
          <w:szCs w:val="16"/>
        </w:rPr>
      </w:pPr>
      <w:r>
        <w:rPr>
          <w:sz w:val="16"/>
          <w:szCs w:val="16"/>
        </w:rPr>
        <w:fldChar w:fldCharType="begin"/>
      </w:r>
      <w:r>
        <w:rPr>
          <w:sz w:val="16"/>
          <w:szCs w:val="16"/>
        </w:rPr>
        <w:instrText xml:space="preserve"> HYPERLINK "</w:instrText>
      </w:r>
      <w:r w:rsidRPr="000B3D49">
        <w:rPr>
          <w:sz w:val="16"/>
          <w:szCs w:val="16"/>
        </w:rPr>
        <w:instrText>https://19january2017snapshot.epa.gov/climatechange/social-cost-carbon_.html</w:instrText>
      </w:r>
      <w:r>
        <w:rPr>
          <w:sz w:val="16"/>
          <w:szCs w:val="16"/>
        </w:rPr>
        <w:instrText xml:space="preserve">" </w:instrText>
      </w:r>
      <w:r>
        <w:rPr>
          <w:sz w:val="16"/>
          <w:szCs w:val="16"/>
        </w:rPr>
        <w:fldChar w:fldCharType="separate"/>
      </w:r>
      <w:r w:rsidRPr="005A6D81">
        <w:rPr>
          <w:rStyle w:val="Collegamentoipertestuale"/>
          <w:sz w:val="16"/>
          <w:szCs w:val="16"/>
        </w:rPr>
        <w:t>https://19january2017snapshot.epa.gov/climatechange/social-cost-carbon_.html</w:t>
      </w:r>
      <w:bookmarkEnd w:id="25"/>
      <w:r>
        <w:rPr>
          <w:sz w:val="16"/>
          <w:szCs w:val="16"/>
        </w:rPr>
        <w:fldChar w:fldCharType="end"/>
      </w:r>
    </w:p>
    <w:bookmarkStart w:id="26" w:name="_Ref510081120"/>
    <w:p w14:paraId="3B3D3E5E" w14:textId="0FF94584" w:rsidR="00110FA8" w:rsidRDefault="00110FA8" w:rsidP="007D5616">
      <w:pPr>
        <w:pStyle w:val="Paragrafoelenco"/>
        <w:numPr>
          <w:ilvl w:val="0"/>
          <w:numId w:val="4"/>
        </w:numPr>
        <w:rPr>
          <w:sz w:val="16"/>
          <w:szCs w:val="16"/>
        </w:rPr>
      </w:pPr>
      <w:r>
        <w:rPr>
          <w:sz w:val="16"/>
          <w:szCs w:val="16"/>
        </w:rPr>
        <w:fldChar w:fldCharType="begin"/>
      </w:r>
      <w:r>
        <w:rPr>
          <w:sz w:val="16"/>
          <w:szCs w:val="16"/>
        </w:rPr>
        <w:instrText xml:space="preserve"> HYPERLINK "</w:instrText>
      </w:r>
      <w:r w:rsidRPr="00110FA8">
        <w:rPr>
          <w:sz w:val="16"/>
          <w:szCs w:val="16"/>
        </w:rPr>
        <w:instrText>https://news.stanford.edu/2015/01/12/emissions-social-costs-011215/</w:instrText>
      </w:r>
      <w:r>
        <w:rPr>
          <w:sz w:val="16"/>
          <w:szCs w:val="16"/>
        </w:rPr>
        <w:instrText xml:space="preserve">" </w:instrText>
      </w:r>
      <w:r>
        <w:rPr>
          <w:sz w:val="16"/>
          <w:szCs w:val="16"/>
        </w:rPr>
        <w:fldChar w:fldCharType="separate"/>
      </w:r>
      <w:r w:rsidRPr="005A6D81">
        <w:rPr>
          <w:rStyle w:val="Collegamentoipertestuale"/>
          <w:sz w:val="16"/>
          <w:szCs w:val="16"/>
        </w:rPr>
        <w:t>https://news.stanford.edu/2015/01/12/emissions-social-costs-011215/</w:t>
      </w:r>
      <w:bookmarkEnd w:id="26"/>
      <w:r>
        <w:rPr>
          <w:sz w:val="16"/>
          <w:szCs w:val="16"/>
        </w:rPr>
        <w:fldChar w:fldCharType="end"/>
      </w:r>
    </w:p>
    <w:p w14:paraId="481A8CAD" w14:textId="1CE4E907" w:rsidR="00110FA8" w:rsidRPr="007D5616" w:rsidRDefault="00110FA8" w:rsidP="007D5616">
      <w:pPr>
        <w:pStyle w:val="Paragrafoelenco"/>
        <w:numPr>
          <w:ilvl w:val="0"/>
          <w:numId w:val="4"/>
        </w:numPr>
        <w:rPr>
          <w:sz w:val="16"/>
          <w:szCs w:val="16"/>
        </w:rPr>
      </w:pPr>
      <w:bookmarkStart w:id="27" w:name="_Ref510081610"/>
      <w:r>
        <w:rPr>
          <w:sz w:val="16"/>
          <w:szCs w:val="16"/>
          <w:lang w:val="en-US"/>
        </w:rPr>
        <w:t>IPCC,</w:t>
      </w:r>
      <w:r w:rsidRPr="00110FA8">
        <w:rPr>
          <w:sz w:val="16"/>
          <w:szCs w:val="16"/>
          <w:lang w:val="en-US"/>
        </w:rPr>
        <w:t xml:space="preserve"> </w:t>
      </w:r>
      <w:r w:rsidRPr="007D5616">
        <w:rPr>
          <w:i/>
          <w:sz w:val="16"/>
          <w:szCs w:val="16"/>
          <w:lang w:val="en-US"/>
        </w:rPr>
        <w:t>Climate Change 2014: Synthesis Report</w:t>
      </w:r>
      <w:r w:rsidRPr="00110FA8">
        <w:rPr>
          <w:sz w:val="16"/>
          <w:szCs w:val="16"/>
          <w:lang w:val="en-US"/>
        </w:rPr>
        <w:t>. Contribution of Working Groups I, II and III to the Fifth Assessment Report of the Intergover</w:t>
      </w:r>
      <w:r>
        <w:rPr>
          <w:sz w:val="16"/>
          <w:szCs w:val="16"/>
          <w:lang w:val="en-US"/>
        </w:rPr>
        <w:t>nmental Panel on Climate Change,</w:t>
      </w:r>
      <w:r w:rsidRPr="00110FA8">
        <w:rPr>
          <w:sz w:val="16"/>
          <w:szCs w:val="16"/>
          <w:lang w:val="en-US"/>
        </w:rPr>
        <w:t xml:space="preserve"> IPCC, Geneva, Switzerl</w:t>
      </w:r>
      <w:r>
        <w:rPr>
          <w:sz w:val="16"/>
          <w:szCs w:val="16"/>
          <w:lang w:val="en-US"/>
        </w:rPr>
        <w:t>and, 151 pp, 2014.</w:t>
      </w:r>
      <w:bookmarkEnd w:id="27"/>
    </w:p>
    <w:p w14:paraId="33AB4057" w14:textId="2778412F" w:rsidR="009E0E96" w:rsidRPr="007D5616" w:rsidRDefault="009E0E96" w:rsidP="00263494">
      <w:pPr>
        <w:ind w:firstLine="0"/>
        <w:rPr>
          <w:sz w:val="16"/>
          <w:szCs w:val="16"/>
        </w:rPr>
      </w:pPr>
    </w:p>
    <w:sectPr w:rsidR="009E0E96" w:rsidRPr="007D5616">
      <w:pgSz w:w="11907" w:h="16840"/>
      <w:pgMar w:top="3119" w:right="2438" w:bottom="2381" w:left="2438" w:header="851"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5662" w14:textId="77777777" w:rsidR="00400E33" w:rsidRDefault="00400E33" w:rsidP="00AA0815">
      <w:r>
        <w:separator/>
      </w:r>
    </w:p>
  </w:endnote>
  <w:endnote w:type="continuationSeparator" w:id="0">
    <w:p w14:paraId="37AD5662" w14:textId="77777777" w:rsidR="00400E33" w:rsidRDefault="00400E33" w:rsidP="00AA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3A21" w14:textId="77777777" w:rsidR="00400E33" w:rsidRDefault="00400E33" w:rsidP="00AA0815">
      <w:r>
        <w:separator/>
      </w:r>
    </w:p>
  </w:footnote>
  <w:footnote w:type="continuationSeparator" w:id="0">
    <w:p w14:paraId="0A27EA3E" w14:textId="77777777" w:rsidR="00400E33" w:rsidRDefault="00400E33" w:rsidP="00AA0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ECD"/>
    <w:multiLevelType w:val="multilevel"/>
    <w:tmpl w:val="1E7A7982"/>
    <w:lvl w:ilvl="0">
      <w:start w:val="1"/>
      <w:numFmt w:val="decimal"/>
      <w:pStyle w:val="LISTdash"/>
      <w:lvlText w:val="%1."/>
      <w:lvlJc w:val="left"/>
      <w:pPr>
        <w:ind w:left="1588" w:hanging="454"/>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1.%2."/>
      <w:lvlJc w:val="left"/>
      <w:pPr>
        <w:ind w:left="0" w:firstLine="0"/>
      </w:pPr>
      <w:rPr>
        <w:rFonts w:ascii="Times New Roman" w:eastAsia="Times New Roman" w:hAnsi="Times New Roman" w:cs="Times New Roman"/>
        <w:b w:val="0"/>
        <w:i/>
        <w:sz w:val="20"/>
        <w:szCs w:val="20"/>
      </w:rPr>
    </w:lvl>
    <w:lvl w:ilvl="2">
      <w:start w:val="1"/>
      <w:numFmt w:val="decimal"/>
      <w:lvlText w:val="%1.%2.%3."/>
      <w:lvlJc w:val="left"/>
      <w:pPr>
        <w:ind w:left="0" w:firstLine="0"/>
      </w:pPr>
      <w:rPr>
        <w:rFonts w:ascii="Times" w:eastAsia="Times" w:hAnsi="Times" w:cs="Times"/>
        <w:b w:val="0"/>
        <w:i/>
        <w:sz w:val="20"/>
        <w:szCs w:val="20"/>
      </w:rPr>
    </w:lvl>
    <w:lvl w:ilvl="3">
      <w:start w:val="1"/>
      <w:numFmt w:val="decimal"/>
      <w:lvlText w:val="%1.%2.%3.%4."/>
      <w:lvlJc w:val="left"/>
      <w:pPr>
        <w:ind w:left="0" w:firstLine="0"/>
      </w:pPr>
      <w:rPr>
        <w:rFonts w:ascii="Times" w:eastAsia="Times" w:hAnsi="Times" w:cs="Times"/>
        <w:b w:val="0"/>
        <w:i/>
        <w:sz w:val="20"/>
        <w:szCs w:val="20"/>
      </w:rPr>
    </w:lvl>
    <w:lvl w:ilvl="4">
      <w:start w:val="1"/>
      <w:numFmt w:val="decimal"/>
      <w:lvlText w:val=""/>
      <w:lvlJc w:val="left"/>
      <w:pPr>
        <w:ind w:left="0" w:firstLine="0"/>
      </w:pPr>
    </w:lvl>
    <w:lvl w:ilvl="5">
      <w:start w:val="1"/>
      <w:numFmt w:val="decimal"/>
      <w:lvlText w:val=""/>
      <w:lvlJc w:val="left"/>
      <w:pPr>
        <w:ind w:left="850" w:firstLine="0"/>
      </w:pPr>
    </w:lvl>
    <w:lvl w:ilvl="6">
      <w:start w:val="1"/>
      <w:numFmt w:val="decimal"/>
      <w:lvlText w:val=""/>
      <w:lvlJc w:val="left"/>
      <w:pPr>
        <w:ind w:left="510" w:firstLine="0"/>
      </w:pPr>
    </w:lvl>
    <w:lvl w:ilvl="7">
      <w:start w:val="1"/>
      <w:numFmt w:val="decimal"/>
      <w:lvlText w:val=""/>
      <w:lvlJc w:val="left"/>
      <w:pPr>
        <w:ind w:left="510" w:firstLine="0"/>
      </w:pPr>
    </w:lvl>
    <w:lvl w:ilvl="8">
      <w:start w:val="1"/>
      <w:numFmt w:val="decimal"/>
      <w:lvlText w:val=""/>
      <w:lvlJc w:val="left"/>
      <w:pPr>
        <w:ind w:left="510" w:firstLine="0"/>
      </w:pPr>
    </w:lvl>
  </w:abstractNum>
  <w:abstractNum w:abstractNumId="1" w15:restartNumberingAfterBreak="0">
    <w:nsid w:val="4DB27ACF"/>
    <w:multiLevelType w:val="multilevel"/>
    <w:tmpl w:val="3558F6FE"/>
    <w:lvl w:ilvl="0">
      <w:start w:val="1"/>
      <w:numFmt w:val="decimal"/>
      <w:pStyle w:val="LIS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BB51F1"/>
    <w:multiLevelType w:val="multilevel"/>
    <w:tmpl w:val="D558440E"/>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46D215B"/>
    <w:multiLevelType w:val="multilevel"/>
    <w:tmpl w:val="8BB88A22"/>
    <w:lvl w:ilvl="0">
      <w:start w:val="1"/>
      <w:numFmt w:val="decimal"/>
      <w:lvlText w:val="[%1]"/>
      <w:lvlJc w:val="left"/>
      <w:pPr>
        <w:ind w:left="369" w:hanging="369"/>
      </w:pPr>
      <w:rPr>
        <w:sz w:val="16"/>
        <w:szCs w:val="16"/>
      </w:rPr>
    </w:lvl>
    <w:lvl w:ilvl="1">
      <w:start w:val="1"/>
      <w:numFmt w:val="lowerLetter"/>
      <w:lvlText w:val="%2."/>
      <w:lvlJc w:val="left"/>
      <w:pPr>
        <w:ind w:left="873" w:hanging="360"/>
      </w:pPr>
    </w:lvl>
    <w:lvl w:ilvl="2">
      <w:start w:val="1"/>
      <w:numFmt w:val="lowerRoman"/>
      <w:pStyle w:val="Titolo3"/>
      <w:lvlText w:val="%3."/>
      <w:lvlJc w:val="right"/>
      <w:pPr>
        <w:ind w:left="1593" w:hanging="180"/>
      </w:pPr>
    </w:lvl>
    <w:lvl w:ilvl="3">
      <w:start w:val="1"/>
      <w:numFmt w:val="decimal"/>
      <w:pStyle w:val="Titolo4"/>
      <w:lvlText w:val="%4."/>
      <w:lvlJc w:val="left"/>
      <w:pPr>
        <w:ind w:left="2313" w:hanging="360"/>
      </w:pPr>
    </w:lvl>
    <w:lvl w:ilvl="4">
      <w:start w:val="1"/>
      <w:numFmt w:val="lowerLetter"/>
      <w:pStyle w:val="Titolo5"/>
      <w:lvlText w:val="%5."/>
      <w:lvlJc w:val="left"/>
      <w:pPr>
        <w:ind w:left="3033" w:hanging="360"/>
      </w:pPr>
    </w:lvl>
    <w:lvl w:ilvl="5">
      <w:start w:val="1"/>
      <w:numFmt w:val="lowerRoman"/>
      <w:pStyle w:val="Titolo6"/>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69B34E6C"/>
    <w:multiLevelType w:val="multilevel"/>
    <w:tmpl w:val="8EF03896"/>
    <w:lvl w:ilvl="0">
      <w:start w:val="1"/>
      <w:numFmt w:val="decimal"/>
      <w:lvlText w:val="%1."/>
      <w:lvlJc w:val="left"/>
      <w:pPr>
        <w:ind w:left="369" w:hanging="369"/>
      </w:pPr>
      <w:rPr>
        <w:rFonts w:hint="default"/>
        <w:b/>
        <w:i w:val="0"/>
        <w:caps w:val="0"/>
        <w:strike w:val="0"/>
        <w:dstrike w:val="0"/>
        <w:vanish w:val="0"/>
        <w:color w:val="auto"/>
        <w:sz w:val="24"/>
        <w:szCs w:val="16"/>
        <w:vertAlign w:val="base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 w15:restartNumberingAfterBreak="0">
    <w:nsid w:val="6F960FEA"/>
    <w:multiLevelType w:val="multilevel"/>
    <w:tmpl w:val="3F4A7AF6"/>
    <w:lvl w:ilvl="0">
      <w:start w:val="1"/>
      <w:numFmt w:val="bullet"/>
      <w:pStyle w:val="elencopuntatoNAV"/>
      <w:lvlText w:val="●"/>
      <w:lvlJc w:val="left"/>
      <w:pPr>
        <w:ind w:left="501" w:hanging="360"/>
      </w:pPr>
      <w:rPr>
        <w:rFonts w:ascii="Noto Sans Symbols" w:eastAsia="Noto Sans Symbols" w:hAnsi="Noto Sans Symbols" w:cs="Noto Sans Symbols"/>
      </w:rPr>
    </w:lvl>
    <w:lvl w:ilvl="1">
      <w:start w:val="1"/>
      <w:numFmt w:val="bullet"/>
      <w:lvlText w:val="o"/>
      <w:lvlJc w:val="left"/>
      <w:pPr>
        <w:ind w:left="1077" w:hanging="340"/>
      </w:p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 w15:restartNumberingAfterBreak="0">
    <w:nsid w:val="749D7927"/>
    <w:multiLevelType w:val="multilevel"/>
    <w:tmpl w:val="4A343F56"/>
    <w:lvl w:ilvl="0">
      <w:start w:val="1"/>
      <w:numFmt w:val="decimal"/>
      <w:pStyle w:val="Titolo1"/>
      <w:suff w:val="space"/>
      <w:lvlText w:val="%1."/>
      <w:lvlJc w:val="left"/>
      <w:pPr>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15:restartNumberingAfterBreak="0">
    <w:nsid w:val="78A223BD"/>
    <w:multiLevelType w:val="multilevel"/>
    <w:tmpl w:val="81B0D7B4"/>
    <w:lvl w:ilvl="0">
      <w:start w:val="1"/>
      <w:numFmt w:val="decimal"/>
      <w:pStyle w:val="Numeroelenco"/>
      <w:lvlText w:val="%1."/>
      <w:lvlJc w:val="left"/>
      <w:pPr>
        <w:ind w:left="1588" w:hanging="454"/>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1.%2."/>
      <w:lvlJc w:val="left"/>
      <w:pPr>
        <w:ind w:left="0" w:firstLine="0"/>
      </w:pPr>
      <w:rPr>
        <w:rFonts w:ascii="Times New Roman" w:eastAsia="Times New Roman" w:hAnsi="Times New Roman" w:cs="Times New Roman"/>
        <w:b w:val="0"/>
        <w:i/>
        <w:sz w:val="20"/>
        <w:szCs w:val="20"/>
      </w:rPr>
    </w:lvl>
    <w:lvl w:ilvl="2">
      <w:start w:val="1"/>
      <w:numFmt w:val="decimal"/>
      <w:lvlText w:val="%1.%2.%3."/>
      <w:lvlJc w:val="left"/>
      <w:pPr>
        <w:ind w:left="0" w:firstLine="0"/>
      </w:pPr>
      <w:rPr>
        <w:rFonts w:ascii="Times" w:eastAsia="Times" w:hAnsi="Times" w:cs="Times"/>
        <w:b w:val="0"/>
        <w:i/>
        <w:sz w:val="20"/>
        <w:szCs w:val="20"/>
      </w:rPr>
    </w:lvl>
    <w:lvl w:ilvl="3">
      <w:start w:val="1"/>
      <w:numFmt w:val="decimal"/>
      <w:lvlText w:val="%1.%2.%3.%4."/>
      <w:lvlJc w:val="left"/>
      <w:pPr>
        <w:ind w:left="0" w:firstLine="0"/>
      </w:pPr>
      <w:rPr>
        <w:rFonts w:ascii="Times" w:eastAsia="Times" w:hAnsi="Times" w:cs="Times"/>
        <w:b w:val="0"/>
        <w:i/>
        <w:sz w:val="20"/>
        <w:szCs w:val="20"/>
      </w:rPr>
    </w:lvl>
    <w:lvl w:ilvl="4">
      <w:start w:val="1"/>
      <w:numFmt w:val="decimal"/>
      <w:lvlText w:val=""/>
      <w:lvlJc w:val="left"/>
      <w:pPr>
        <w:ind w:left="0" w:firstLine="0"/>
      </w:pPr>
    </w:lvl>
    <w:lvl w:ilvl="5">
      <w:start w:val="1"/>
      <w:numFmt w:val="decimal"/>
      <w:lvlText w:val=""/>
      <w:lvlJc w:val="left"/>
      <w:pPr>
        <w:ind w:left="850" w:firstLine="0"/>
      </w:pPr>
    </w:lvl>
    <w:lvl w:ilvl="6">
      <w:start w:val="1"/>
      <w:numFmt w:val="decimal"/>
      <w:lvlText w:val=""/>
      <w:lvlJc w:val="left"/>
      <w:pPr>
        <w:ind w:left="510" w:firstLine="0"/>
      </w:pPr>
    </w:lvl>
    <w:lvl w:ilvl="7">
      <w:start w:val="1"/>
      <w:numFmt w:val="decimal"/>
      <w:lvlText w:val=""/>
      <w:lvlJc w:val="left"/>
      <w:pPr>
        <w:ind w:left="510" w:firstLine="0"/>
      </w:pPr>
    </w:lvl>
    <w:lvl w:ilvl="8">
      <w:start w:val="1"/>
      <w:numFmt w:val="decimal"/>
      <w:lvlText w:val=""/>
      <w:lvlJc w:val="left"/>
      <w:pPr>
        <w:ind w:left="510" w:firstLine="0"/>
      </w:pPr>
    </w:lvl>
  </w:abstractNum>
  <w:num w:numId="1">
    <w:abstractNumId w:val="5"/>
  </w:num>
  <w:num w:numId="2">
    <w:abstractNumId w:val="0"/>
  </w:num>
  <w:num w:numId="3">
    <w:abstractNumId w:val="7"/>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CA"/>
    <w:rsid w:val="00016510"/>
    <w:rsid w:val="000238CA"/>
    <w:rsid w:val="000602AA"/>
    <w:rsid w:val="0007659D"/>
    <w:rsid w:val="00085ED6"/>
    <w:rsid w:val="00093A3D"/>
    <w:rsid w:val="000B3B46"/>
    <w:rsid w:val="000B3D49"/>
    <w:rsid w:val="000B6E78"/>
    <w:rsid w:val="00102BB0"/>
    <w:rsid w:val="00110FA8"/>
    <w:rsid w:val="00114F8D"/>
    <w:rsid w:val="00126348"/>
    <w:rsid w:val="001308EB"/>
    <w:rsid w:val="001430DE"/>
    <w:rsid w:val="00166780"/>
    <w:rsid w:val="001860C1"/>
    <w:rsid w:val="0018787C"/>
    <w:rsid w:val="001B3686"/>
    <w:rsid w:val="002011A6"/>
    <w:rsid w:val="002200B9"/>
    <w:rsid w:val="00263494"/>
    <w:rsid w:val="00263B7E"/>
    <w:rsid w:val="002A1B2D"/>
    <w:rsid w:val="003116D3"/>
    <w:rsid w:val="003461F3"/>
    <w:rsid w:val="00382C0E"/>
    <w:rsid w:val="00387516"/>
    <w:rsid w:val="003E5813"/>
    <w:rsid w:val="00400E33"/>
    <w:rsid w:val="00401A26"/>
    <w:rsid w:val="00423F42"/>
    <w:rsid w:val="00466B63"/>
    <w:rsid w:val="004D52E4"/>
    <w:rsid w:val="004E1120"/>
    <w:rsid w:val="004E1F63"/>
    <w:rsid w:val="00504D29"/>
    <w:rsid w:val="0057367F"/>
    <w:rsid w:val="005D24CB"/>
    <w:rsid w:val="00614E20"/>
    <w:rsid w:val="00621EBB"/>
    <w:rsid w:val="00634601"/>
    <w:rsid w:val="00637E9B"/>
    <w:rsid w:val="006746C5"/>
    <w:rsid w:val="00674F6F"/>
    <w:rsid w:val="006918F3"/>
    <w:rsid w:val="006C0D83"/>
    <w:rsid w:val="006E3DBD"/>
    <w:rsid w:val="00706AFD"/>
    <w:rsid w:val="00716BD9"/>
    <w:rsid w:val="00735FD6"/>
    <w:rsid w:val="00763477"/>
    <w:rsid w:val="007A26C4"/>
    <w:rsid w:val="007B56C6"/>
    <w:rsid w:val="007D5616"/>
    <w:rsid w:val="007F36E0"/>
    <w:rsid w:val="0084118E"/>
    <w:rsid w:val="0086297B"/>
    <w:rsid w:val="008C430A"/>
    <w:rsid w:val="008C7D66"/>
    <w:rsid w:val="009114C8"/>
    <w:rsid w:val="009556B6"/>
    <w:rsid w:val="009565F5"/>
    <w:rsid w:val="00985513"/>
    <w:rsid w:val="009A620E"/>
    <w:rsid w:val="009C7A0F"/>
    <w:rsid w:val="009D7FF9"/>
    <w:rsid w:val="009E0E96"/>
    <w:rsid w:val="00A04AE2"/>
    <w:rsid w:val="00A23B8E"/>
    <w:rsid w:val="00A73765"/>
    <w:rsid w:val="00A74E21"/>
    <w:rsid w:val="00AA0815"/>
    <w:rsid w:val="00AB1A09"/>
    <w:rsid w:val="00AB2DC5"/>
    <w:rsid w:val="00AD16D8"/>
    <w:rsid w:val="00AD4063"/>
    <w:rsid w:val="00AF6C01"/>
    <w:rsid w:val="00B43168"/>
    <w:rsid w:val="00B84718"/>
    <w:rsid w:val="00B95510"/>
    <w:rsid w:val="00BA4F22"/>
    <w:rsid w:val="00BB3E2F"/>
    <w:rsid w:val="00BD5FFC"/>
    <w:rsid w:val="00BE1AD0"/>
    <w:rsid w:val="00C10CDF"/>
    <w:rsid w:val="00C53FAF"/>
    <w:rsid w:val="00C86694"/>
    <w:rsid w:val="00CB2310"/>
    <w:rsid w:val="00CE0374"/>
    <w:rsid w:val="00CE1CC8"/>
    <w:rsid w:val="00D12775"/>
    <w:rsid w:val="00D54C3A"/>
    <w:rsid w:val="00D558F1"/>
    <w:rsid w:val="00D5619E"/>
    <w:rsid w:val="00D73F5B"/>
    <w:rsid w:val="00D758DA"/>
    <w:rsid w:val="00D816B7"/>
    <w:rsid w:val="00E11DA0"/>
    <w:rsid w:val="00E37306"/>
    <w:rsid w:val="00E42634"/>
    <w:rsid w:val="00E75F9C"/>
    <w:rsid w:val="00EA002F"/>
    <w:rsid w:val="00EE2D6A"/>
    <w:rsid w:val="00F05EA4"/>
    <w:rsid w:val="00F24B16"/>
    <w:rsid w:val="00F54744"/>
    <w:rsid w:val="00F60E47"/>
    <w:rsid w:val="00F647B1"/>
    <w:rsid w:val="00F67837"/>
    <w:rsid w:val="00F71C23"/>
    <w:rsid w:val="00F82058"/>
    <w:rsid w:val="00F97365"/>
    <w:rsid w:val="00FA7D6C"/>
    <w:rsid w:val="00FD2C36"/>
    <w:rsid w:val="00FF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080B"/>
  <w15:docId w15:val="{048924A4-4073-4F84-8C23-6FE9E8F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ind w:firstLine="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815"/>
    <w:rPr>
      <w:rFonts w:eastAsia="MS Mincho"/>
      <w:szCs w:val="24"/>
      <w:lang w:eastAsia="ja-JP"/>
    </w:rPr>
  </w:style>
  <w:style w:type="paragraph" w:styleId="Titolo1">
    <w:name w:val="heading 1"/>
    <w:basedOn w:val="Normale"/>
    <w:next w:val="NoindentNormal"/>
    <w:link w:val="Titolo1Carattere"/>
    <w:qFormat/>
    <w:rsid w:val="00110FA8"/>
    <w:pPr>
      <w:keepNext/>
      <w:keepLines/>
      <w:numPr>
        <w:numId w:val="9"/>
      </w:numPr>
      <w:pBdr>
        <w:top w:val="none" w:sz="0" w:space="0" w:color="auto"/>
        <w:left w:val="none" w:sz="0" w:space="0" w:color="auto"/>
        <w:bottom w:val="none" w:sz="0" w:space="0" w:color="auto"/>
        <w:right w:val="none" w:sz="0" w:space="0" w:color="auto"/>
        <w:between w:val="none" w:sz="0" w:space="0" w:color="auto"/>
      </w:pBdr>
      <w:suppressAutoHyphens/>
      <w:spacing w:before="480" w:after="240"/>
      <w:jc w:val="left"/>
      <w:outlineLvl w:val="0"/>
    </w:pPr>
    <w:rPr>
      <w:rFonts w:cs="Arial"/>
      <w:b/>
      <w:bCs/>
      <w:kern w:val="28"/>
      <w:szCs w:val="32"/>
    </w:rPr>
  </w:style>
  <w:style w:type="paragraph" w:styleId="Titolo2">
    <w:name w:val="heading 2"/>
    <w:basedOn w:val="Normale"/>
    <w:next w:val="NoindentNormal"/>
    <w:qFormat/>
    <w:rsid w:val="004E1F63"/>
    <w:pPr>
      <w:keepNext/>
      <w:keepLines/>
      <w:pBdr>
        <w:top w:val="none" w:sz="0" w:space="0" w:color="auto"/>
        <w:left w:val="none" w:sz="0" w:space="0" w:color="auto"/>
        <w:bottom w:val="none" w:sz="0" w:space="0" w:color="auto"/>
        <w:right w:val="none" w:sz="0" w:space="0" w:color="auto"/>
        <w:between w:val="none" w:sz="0" w:space="0" w:color="auto"/>
      </w:pBdr>
      <w:suppressAutoHyphens/>
      <w:spacing w:before="240" w:after="240"/>
      <w:ind w:firstLine="0"/>
      <w:jc w:val="left"/>
      <w:outlineLvl w:val="1"/>
    </w:pPr>
    <w:rPr>
      <w:rFonts w:cs="Arial"/>
      <w:bCs/>
      <w:i/>
      <w:iCs/>
      <w:szCs w:val="28"/>
      <w:lang w:eastAsia="en-US"/>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qFormat/>
    <w:pPr>
      <w:spacing w:before="480" w:after="320"/>
      <w:ind w:firstLine="0"/>
      <w:jc w:val="center"/>
    </w:pPr>
    <w:rPr>
      <w:noProof/>
      <w:kern w:val="28"/>
      <w:sz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tabs>
        <w:tab w:val="left" w:pos="499"/>
      </w:tabs>
      <w:ind w:left="501" w:hanging="360"/>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5"/>
      </w:numPr>
      <w:adjustRightInd w:val="0"/>
      <w:snapToGrid w:val="0"/>
      <w:ind w:left="714" w:hanging="357"/>
    </w:pPr>
  </w:style>
  <w:style w:type="paragraph" w:customStyle="1" w:styleId="References">
    <w:name w:val="References"/>
    <w:basedOn w:val="Normale"/>
    <w:pPr>
      <w:tabs>
        <w:tab w:val="left" w:pos="85"/>
        <w:tab w:val="num" w:pos="720"/>
      </w:tabs>
      <w:ind w:left="720" w:hanging="720"/>
    </w:pPr>
    <w:rPr>
      <w:sz w:val="16"/>
    </w:rPr>
  </w:style>
  <w:style w:type="paragraph" w:customStyle="1" w:styleId="Table">
    <w:name w:val="Table"/>
    <w:basedOn w:val="Normale"/>
    <w:pPr>
      <w:spacing w:before="60" w:after="60"/>
      <w:ind w:firstLine="0"/>
      <w:jc w:val="left"/>
    </w:pPr>
    <w:rPr>
      <w:sz w:val="16"/>
    </w:rPr>
  </w:style>
  <w:style w:type="paragraph" w:customStyle="1" w:styleId="Author">
    <w:name w:val="Author"/>
    <w:basedOn w:val="Normale"/>
    <w:pPr>
      <w:ind w:firstLine="0"/>
      <w:jc w:val="center"/>
    </w:pPr>
  </w:style>
  <w:style w:type="paragraph" w:styleId="Didascalia">
    <w:name w:val="caption"/>
    <w:basedOn w:val="Normale"/>
    <w:next w:val="Normale"/>
    <w:qFormat/>
    <w:rsid w:val="00AA0815"/>
    <w:pPr>
      <w:jc w:val="center"/>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rPr>
      <w:bCs w:val="0"/>
    </w:rPr>
  </w:style>
  <w:style w:type="paragraph" w:customStyle="1" w:styleId="HeadingUnn2">
    <w:name w:val="HeadingUnn2"/>
    <w:basedOn w:val="Titolo2"/>
    <w:next w:val="NoindentNormal"/>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link w:val="ListbulCarattere"/>
    <w:pPr>
      <w:tabs>
        <w:tab w:val="num" w:pos="720"/>
      </w:tabs>
      <w:ind w:left="720" w:hanging="720"/>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7F21B4"/>
    <w:pPr>
      <w:widowControl w:val="0"/>
      <w:overflowPunct w:val="0"/>
      <w:ind w:left="720" w:firstLine="0"/>
      <w:contextualSpacing/>
      <w:jc w:val="left"/>
    </w:pPr>
    <w:rPr>
      <w:rFonts w:eastAsia="SimSun" w:cs="Mangal"/>
      <w:color w:val="00000A"/>
      <w:kern w:val="2"/>
      <w:sz w:val="24"/>
      <w:szCs w:val="21"/>
      <w:lang w:val="en-GB" w:eastAsia="zh-CN" w:bidi="hi-IN"/>
    </w:rPr>
  </w:style>
  <w:style w:type="character" w:customStyle="1" w:styleId="Titolo1Carattere">
    <w:name w:val="Titolo 1 Carattere"/>
    <w:basedOn w:val="Carpredefinitoparagrafo"/>
    <w:link w:val="Titolo1"/>
    <w:rsid w:val="00110FA8"/>
    <w:rPr>
      <w:rFonts w:eastAsia="MS Mincho" w:cs="Arial"/>
      <w:b/>
      <w:bCs/>
      <w:kern w:val="28"/>
      <w:szCs w:val="32"/>
      <w:lang w:eastAsia="ja-JP"/>
    </w:rPr>
  </w:style>
  <w:style w:type="paragraph" w:styleId="Testofumetto">
    <w:name w:val="Balloon Text"/>
    <w:basedOn w:val="Normale"/>
    <w:link w:val="TestofumettoCarattere"/>
    <w:uiPriority w:val="99"/>
    <w:semiHidden/>
    <w:unhideWhenUsed/>
    <w:rsid w:val="004C6C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6C48"/>
    <w:rPr>
      <w:rFonts w:ascii="Segoe UI" w:hAnsi="Segoe UI" w:cs="Segoe UI"/>
      <w:sz w:val="18"/>
      <w:szCs w:val="18"/>
      <w:lang w:val="en-US" w:eastAsia="ja-JP"/>
    </w:rPr>
  </w:style>
  <w:style w:type="character" w:styleId="Rimandocommento">
    <w:name w:val="annotation reference"/>
    <w:basedOn w:val="Carpredefinitoparagrafo"/>
    <w:uiPriority w:val="99"/>
    <w:semiHidden/>
    <w:unhideWhenUsed/>
    <w:rsid w:val="00E32640"/>
    <w:rPr>
      <w:sz w:val="16"/>
      <w:szCs w:val="16"/>
    </w:rPr>
  </w:style>
  <w:style w:type="paragraph" w:styleId="Testocommento">
    <w:name w:val="annotation text"/>
    <w:basedOn w:val="Normale"/>
    <w:link w:val="TestocommentoCarattere"/>
    <w:uiPriority w:val="99"/>
    <w:semiHidden/>
    <w:unhideWhenUsed/>
    <w:rsid w:val="00E32640"/>
    <w:rPr>
      <w:szCs w:val="20"/>
    </w:rPr>
  </w:style>
  <w:style w:type="character" w:customStyle="1" w:styleId="TestocommentoCarattere">
    <w:name w:val="Testo commento Carattere"/>
    <w:basedOn w:val="Carpredefinitoparagrafo"/>
    <w:link w:val="Testocommento"/>
    <w:uiPriority w:val="99"/>
    <w:semiHidden/>
    <w:rsid w:val="00E32640"/>
    <w:rPr>
      <w:lang w:val="en-US" w:eastAsia="ja-JP"/>
    </w:rPr>
  </w:style>
  <w:style w:type="paragraph" w:styleId="Soggettocommento">
    <w:name w:val="annotation subject"/>
    <w:basedOn w:val="Testocommento"/>
    <w:next w:val="Testocommento"/>
    <w:link w:val="SoggettocommentoCarattere"/>
    <w:uiPriority w:val="99"/>
    <w:semiHidden/>
    <w:unhideWhenUsed/>
    <w:rsid w:val="00E32640"/>
    <w:rPr>
      <w:b/>
      <w:bCs/>
    </w:rPr>
  </w:style>
  <w:style w:type="character" w:customStyle="1" w:styleId="SoggettocommentoCarattere">
    <w:name w:val="Soggetto commento Carattere"/>
    <w:basedOn w:val="TestocommentoCarattere"/>
    <w:link w:val="Soggettocommento"/>
    <w:uiPriority w:val="99"/>
    <w:semiHidden/>
    <w:rsid w:val="00E32640"/>
    <w:rPr>
      <w:b/>
      <w:bCs/>
      <w:lang w:val="en-US" w:eastAsia="ja-JP"/>
    </w:rPr>
  </w:style>
  <w:style w:type="character" w:styleId="Collegamentoipertestuale">
    <w:name w:val="Hyperlink"/>
    <w:basedOn w:val="Carpredefinitoparagrafo"/>
    <w:uiPriority w:val="99"/>
    <w:unhideWhenUsed/>
    <w:rsid w:val="000F78E0"/>
    <w:rPr>
      <w:color w:val="0563C1"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paragraph" w:styleId="Revisione">
    <w:name w:val="Revision"/>
    <w:hidden/>
    <w:uiPriority w:val="99"/>
    <w:semiHidden/>
    <w:rsid w:val="00166780"/>
    <w:pPr>
      <w:pBdr>
        <w:top w:val="none" w:sz="0" w:space="0" w:color="auto"/>
        <w:left w:val="none" w:sz="0" w:space="0" w:color="auto"/>
        <w:bottom w:val="none" w:sz="0" w:space="0" w:color="auto"/>
        <w:right w:val="none" w:sz="0" w:space="0" w:color="auto"/>
        <w:between w:val="none" w:sz="0" w:space="0" w:color="auto"/>
      </w:pBdr>
      <w:ind w:firstLine="0"/>
      <w:jc w:val="left"/>
    </w:pPr>
    <w:rPr>
      <w:szCs w:val="24"/>
      <w:lang w:eastAsia="ja-JP"/>
    </w:rPr>
  </w:style>
  <w:style w:type="paragraph" w:customStyle="1" w:styleId="elencopuntatoNAV">
    <w:name w:val="elenco puntato NAV"/>
    <w:basedOn w:val="Listbul"/>
    <w:link w:val="elencopuntatoNAVCarattere"/>
    <w:qFormat/>
    <w:rsid w:val="00466B63"/>
    <w:pPr>
      <w:numPr>
        <w:numId w:val="1"/>
      </w:numPr>
      <w:pBdr>
        <w:top w:val="none" w:sz="0" w:space="0" w:color="auto"/>
        <w:left w:val="none" w:sz="0" w:space="0" w:color="auto"/>
        <w:bottom w:val="none" w:sz="0" w:space="0" w:color="auto"/>
        <w:right w:val="none" w:sz="0" w:space="0" w:color="auto"/>
        <w:between w:val="none" w:sz="0" w:space="0" w:color="auto"/>
      </w:pBdr>
      <w:tabs>
        <w:tab w:val="num" w:pos="717"/>
      </w:tabs>
      <w:spacing w:before="120" w:after="120"/>
      <w:ind w:left="737" w:hanging="380"/>
      <w:contextualSpacing/>
    </w:pPr>
    <w:rPr>
      <w:color w:val="auto"/>
    </w:rPr>
  </w:style>
  <w:style w:type="character" w:customStyle="1" w:styleId="ListbulCarattere">
    <w:name w:val="Listbul Carattere"/>
    <w:basedOn w:val="Carpredefinitoparagrafo"/>
    <w:link w:val="Listbul"/>
    <w:rsid w:val="00C10CDF"/>
    <w:rPr>
      <w:szCs w:val="24"/>
      <w:lang w:eastAsia="ja-JP"/>
    </w:rPr>
  </w:style>
  <w:style w:type="character" w:customStyle="1" w:styleId="elencopuntatoNAVCarattere">
    <w:name w:val="elenco puntato NAV Carattere"/>
    <w:basedOn w:val="ListbulCarattere"/>
    <w:link w:val="elencopuntatoNAV"/>
    <w:rsid w:val="00466B63"/>
    <w:rPr>
      <w:rFonts w:eastAsia="MS Mincho"/>
      <w:color w:val="aut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8146005821239"/>
          <c:y val="7.0648683365446371E-2"/>
          <c:w val="0.8537285385195148"/>
          <c:h val="0.74329899514005837"/>
        </c:manualLayout>
      </c:layout>
      <c:barChart>
        <c:barDir val="col"/>
        <c:grouping val="clustered"/>
        <c:varyColors val="0"/>
        <c:ser>
          <c:idx val="0"/>
          <c:order val="0"/>
          <c:tx>
            <c:strRef>
              <c:f>label 0</c:f>
              <c:strCache>
                <c:ptCount val="1"/>
                <c:pt idx="0">
                  <c:v>total shipping</c:v>
                </c:pt>
              </c:strCache>
            </c:strRef>
          </c:tx>
          <c:spPr>
            <a:pattFill prst="pct5">
              <a:fgClr>
                <a:schemeClr val="tx1"/>
              </a:fgClr>
              <a:bgClr>
                <a:schemeClr val="bg1"/>
              </a:bgClr>
            </a:pattFill>
            <a:ln>
              <a:solidFill>
                <a:schemeClr val="tx1"/>
              </a:solidFill>
            </a:ln>
          </c:spPr>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2007</c:v>
                </c:pt>
                <c:pt idx="1">
                  <c:v>2008</c:v>
                </c:pt>
                <c:pt idx="2">
                  <c:v>2009</c:v>
                </c:pt>
                <c:pt idx="3">
                  <c:v>2010</c:v>
                </c:pt>
                <c:pt idx="4">
                  <c:v>2011</c:v>
                </c:pt>
                <c:pt idx="5">
                  <c:v>2012</c:v>
                </c:pt>
              </c:strCache>
            </c:strRef>
          </c:cat>
          <c:val>
            <c:numRef>
              <c:f>0</c:f>
              <c:numCache>
                <c:formatCode>General</c:formatCode>
                <c:ptCount val="6"/>
                <c:pt idx="0">
                  <c:v>1.121</c:v>
                </c:pt>
                <c:pt idx="1">
                  <c:v>1.157</c:v>
                </c:pt>
                <c:pt idx="2">
                  <c:v>0.998</c:v>
                </c:pt>
                <c:pt idx="3">
                  <c:v>0.93500000000000005</c:v>
                </c:pt>
                <c:pt idx="4">
                  <c:v>1.0449999999999999</c:v>
                </c:pt>
                <c:pt idx="5">
                  <c:v>0.96099999999999997</c:v>
                </c:pt>
              </c:numCache>
            </c:numRef>
          </c:val>
          <c:extLst>
            <c:ext xmlns:c16="http://schemas.microsoft.com/office/drawing/2014/chart" uri="{C3380CC4-5D6E-409C-BE32-E72D297353CC}">
              <c16:uniqueId val="{00000000-5DA3-426E-A738-33BDC2B19C35}"/>
            </c:ext>
          </c:extLst>
        </c:ser>
        <c:ser>
          <c:idx val="1"/>
          <c:order val="1"/>
          <c:tx>
            <c:strRef>
              <c:f>label 1</c:f>
              <c:strCache>
                <c:ptCount val="1"/>
                <c:pt idx="0">
                  <c:v>international shipping</c:v>
                </c:pt>
              </c:strCache>
            </c:strRef>
          </c:tx>
          <c:spPr>
            <a:solidFill>
              <a:schemeClr val="bg1">
                <a:lumMod val="50000"/>
              </a:schemeClr>
            </a:solidFill>
            <a:ln>
              <a:solidFill>
                <a:schemeClr val="tx1"/>
              </a:solid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2007</c:v>
                </c:pt>
                <c:pt idx="1">
                  <c:v>2008</c:v>
                </c:pt>
                <c:pt idx="2">
                  <c:v>2009</c:v>
                </c:pt>
                <c:pt idx="3">
                  <c:v>2010</c:v>
                </c:pt>
                <c:pt idx="4">
                  <c:v>2011</c:v>
                </c:pt>
                <c:pt idx="5">
                  <c:v>2012</c:v>
                </c:pt>
              </c:strCache>
            </c:strRef>
          </c:cat>
          <c:val>
            <c:numRef>
              <c:f>1</c:f>
              <c:numCache>
                <c:formatCode>General</c:formatCode>
                <c:ptCount val="6"/>
                <c:pt idx="0">
                  <c:v>0.90300000000000002</c:v>
                </c:pt>
                <c:pt idx="1">
                  <c:v>0.94</c:v>
                </c:pt>
                <c:pt idx="2">
                  <c:v>0.873</c:v>
                </c:pt>
                <c:pt idx="3">
                  <c:v>0.79</c:v>
                </c:pt>
                <c:pt idx="4">
                  <c:v>0.871</c:v>
                </c:pt>
                <c:pt idx="5">
                  <c:v>0.81599999999999995</c:v>
                </c:pt>
              </c:numCache>
            </c:numRef>
          </c:val>
          <c:extLst>
            <c:ext xmlns:c16="http://schemas.microsoft.com/office/drawing/2014/chart" uri="{C3380CC4-5D6E-409C-BE32-E72D297353CC}">
              <c16:uniqueId val="{00000001-5DA3-426E-A738-33BDC2B19C35}"/>
            </c:ext>
          </c:extLst>
        </c:ser>
        <c:dLbls>
          <c:showLegendKey val="0"/>
          <c:showVal val="0"/>
          <c:showCatName val="0"/>
          <c:showSerName val="0"/>
          <c:showPercent val="0"/>
          <c:showBubbleSize val="0"/>
        </c:dLbls>
        <c:gapWidth val="100"/>
        <c:axId val="421456840"/>
        <c:axId val="421457624"/>
      </c:barChart>
      <c:catAx>
        <c:axId val="421456840"/>
        <c:scaling>
          <c:orientation val="minMax"/>
        </c:scaling>
        <c:delete val="0"/>
        <c:axPos val="b"/>
        <c:title>
          <c:tx>
            <c:rich>
              <a:bodyPr rot="0"/>
              <a:lstStyle/>
              <a:p>
                <a:pPr>
                  <a:defRPr sz="8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a:solidFill>
                      <a:srgbClr val="000000"/>
                    </a:solidFill>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1457624"/>
        <c:crosses val="autoZero"/>
        <c:auto val="1"/>
        <c:lblAlgn val="ctr"/>
        <c:lblOffset val="100"/>
        <c:noMultiLvlLbl val="1"/>
      </c:catAx>
      <c:valAx>
        <c:axId val="421457624"/>
        <c:scaling>
          <c:orientation val="minMax"/>
        </c:scaling>
        <c:delete val="0"/>
        <c:axPos val="l"/>
        <c:majorGridlines>
          <c:spPr>
            <a:ln>
              <a:solidFill>
                <a:srgbClr val="B3B3B3"/>
              </a:solidFill>
            </a:ln>
          </c:spPr>
        </c:majorGridlines>
        <c:title>
          <c:tx>
            <c:rich>
              <a:bodyPr rot="-5400000"/>
              <a:lstStyle/>
              <a:p>
                <a:pPr>
                  <a:defRPr sz="8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a:solidFill>
                      <a:srgbClr val="000000"/>
                    </a:solidFill>
                    <a:latin typeface="Times New Roman" panose="02020603050405020304" pitchFamily="18" charset="0"/>
                    <a:cs typeface="Times New Roman" panose="02020603050405020304" pitchFamily="18" charset="0"/>
                  </a:rPr>
                  <a:t>Gt</a:t>
                </a:r>
                <a:r>
                  <a:rPr lang="it-IT" sz="800" b="0" strike="noStrike" spc="-1" baseline="0">
                    <a:solidFill>
                      <a:srgbClr val="000000"/>
                    </a:solidFill>
                    <a:latin typeface="Times New Roman" panose="02020603050405020304" pitchFamily="18" charset="0"/>
                    <a:cs typeface="Times New Roman" panose="02020603050405020304" pitchFamily="18" charset="0"/>
                  </a:rPr>
                  <a:t> CO</a:t>
                </a:r>
                <a:r>
                  <a:rPr lang="it-IT" sz="800" b="0" strike="noStrike" spc="-1" baseline="-25000">
                    <a:solidFill>
                      <a:srgbClr val="000000"/>
                    </a:solidFill>
                    <a:latin typeface="Times New Roman" panose="02020603050405020304" pitchFamily="18" charset="0"/>
                    <a:cs typeface="Times New Roman" panose="02020603050405020304" pitchFamily="18" charset="0"/>
                  </a:rPr>
                  <a:t>2eq</a:t>
                </a:r>
              </a:p>
            </c:rich>
          </c:tx>
          <c:overlay val="0"/>
        </c:title>
        <c:numFmt formatCode="General" sourceLinked="0"/>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1456840"/>
        <c:crosses val="autoZero"/>
        <c:crossBetween val="between"/>
      </c:valAx>
      <c:spPr>
        <a:noFill/>
        <a:ln>
          <a:solidFill>
            <a:srgbClr val="B3B3B3"/>
          </a:solidFill>
        </a:ln>
      </c:spPr>
    </c:plotArea>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484792320174883"/>
          <c:y val="7.0716811314689806E-2"/>
          <c:w val="0.72593296055600787"/>
          <c:h val="0.7713169171114943"/>
        </c:manualLayout>
      </c:layout>
      <c:barChart>
        <c:barDir val="bar"/>
        <c:grouping val="clustered"/>
        <c:varyColors val="0"/>
        <c:ser>
          <c:idx val="0"/>
          <c:order val="0"/>
          <c:tx>
            <c:strRef>
              <c:f>label 0</c:f>
              <c:strCache>
                <c:ptCount val="1"/>
                <c:pt idx="0">
                  <c:v>Colonna O</c:v>
                </c:pt>
              </c:strCache>
            </c:strRef>
          </c:tx>
          <c:spPr>
            <a:solidFill>
              <a:schemeClr val="bg2">
                <a:lumMod val="75000"/>
              </a:schemeClr>
            </a:solidFill>
            <a:ln>
              <a:solidFill>
                <a:schemeClr val="tx1"/>
              </a:solidFill>
            </a:ln>
          </c:spPr>
          <c:invertIfNegative val="0"/>
          <c:dLbls>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3"/>
                <c:pt idx="0">
                  <c:v>Other liquids tanker</c:v>
                </c:pt>
                <c:pt idx="1">
                  <c:v>Ferry RoPax</c:v>
                </c:pt>
                <c:pt idx="2">
                  <c:v>Refrigerated bulk</c:v>
                </c:pt>
                <c:pt idx="3">
                  <c:v>Vehicle</c:v>
                </c:pt>
                <c:pt idx="4">
                  <c:v>Ferry RoPaz</c:v>
                </c:pt>
                <c:pt idx="5">
                  <c:v>Ro-Ro</c:v>
                </c:pt>
                <c:pt idx="6">
                  <c:v>Cruise </c:v>
                </c:pt>
                <c:pt idx="7">
                  <c:v>Liquefied gas tanker</c:v>
                </c:pt>
                <c:pt idx="8">
                  <c:v>Chemical tanker</c:v>
                </c:pt>
                <c:pt idx="9">
                  <c:v>General cargo </c:v>
                </c:pt>
                <c:pt idx="10">
                  <c:v>Oil tanker</c:v>
                </c:pt>
                <c:pt idx="11">
                  <c:v>Bulk carrier</c:v>
                </c:pt>
                <c:pt idx="12">
                  <c:v>Container</c:v>
                </c:pt>
              </c:strCache>
            </c:strRef>
          </c:cat>
          <c:val>
            <c:numRef>
              <c:f>0</c:f>
              <c:numCache>
                <c:formatCode>General</c:formatCode>
                <c:ptCount val="13"/>
                <c:pt idx="0">
                  <c:v>1E-3</c:v>
                </c:pt>
                <c:pt idx="1">
                  <c:v>1E-3</c:v>
                </c:pt>
                <c:pt idx="2">
                  <c:v>1.7999999999999999E-2</c:v>
                </c:pt>
                <c:pt idx="3">
                  <c:v>2.5000000000000001E-2</c:v>
                </c:pt>
                <c:pt idx="4">
                  <c:v>2.7E-2</c:v>
                </c:pt>
                <c:pt idx="5">
                  <c:v>2.9000000000000001E-2</c:v>
                </c:pt>
                <c:pt idx="6">
                  <c:v>3.5000000000000003E-2</c:v>
                </c:pt>
                <c:pt idx="7">
                  <c:v>4.5999999999999999E-2</c:v>
                </c:pt>
                <c:pt idx="8">
                  <c:v>5.5E-2</c:v>
                </c:pt>
                <c:pt idx="9">
                  <c:v>6.8000000000000005E-2</c:v>
                </c:pt>
                <c:pt idx="10">
                  <c:v>0.124</c:v>
                </c:pt>
                <c:pt idx="11">
                  <c:v>0.16600000000000001</c:v>
                </c:pt>
                <c:pt idx="12">
                  <c:v>0.20499999999999999</c:v>
                </c:pt>
              </c:numCache>
            </c:numRef>
          </c:val>
          <c:extLst>
            <c:ext xmlns:c16="http://schemas.microsoft.com/office/drawing/2014/chart" uri="{C3380CC4-5D6E-409C-BE32-E72D297353CC}">
              <c16:uniqueId val="{00000000-C777-4128-B46C-850E5CAF27D8}"/>
            </c:ext>
          </c:extLst>
        </c:ser>
        <c:dLbls>
          <c:showLegendKey val="0"/>
          <c:showVal val="0"/>
          <c:showCatName val="0"/>
          <c:showSerName val="0"/>
          <c:showPercent val="0"/>
          <c:showBubbleSize val="0"/>
        </c:dLbls>
        <c:gapWidth val="100"/>
        <c:axId val="421454880"/>
        <c:axId val="421455272"/>
      </c:barChart>
      <c:catAx>
        <c:axId val="421454880"/>
        <c:scaling>
          <c:orientation val="minMax"/>
        </c:scaling>
        <c:delete val="0"/>
        <c:axPos val="l"/>
        <c:numFmt formatCode="General" sourceLinked="1"/>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1455272"/>
        <c:crosses val="autoZero"/>
        <c:auto val="1"/>
        <c:lblAlgn val="ctr"/>
        <c:lblOffset val="100"/>
        <c:noMultiLvlLbl val="1"/>
      </c:catAx>
      <c:valAx>
        <c:axId val="421455272"/>
        <c:scaling>
          <c:orientation val="minMax"/>
        </c:scaling>
        <c:delete val="0"/>
        <c:axPos val="b"/>
        <c:majorGridlines>
          <c:spPr>
            <a:ln>
              <a:solidFill>
                <a:srgbClr val="B3B3B3"/>
              </a:solidFill>
            </a:ln>
          </c:spPr>
        </c:majorGridlines>
        <c:title>
          <c:tx>
            <c:rich>
              <a:bodyPr rot="0"/>
              <a:lstStyle/>
              <a:p>
                <a:pPr>
                  <a:defRPr sz="8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a:solidFill>
                      <a:srgbClr val="000000"/>
                    </a:solidFill>
                    <a:latin typeface="Times New Roman" panose="02020603050405020304" pitchFamily="18" charset="0"/>
                    <a:cs typeface="Times New Roman" panose="02020603050405020304" pitchFamily="18" charset="0"/>
                  </a:rPr>
                  <a:t>Gt </a:t>
                </a:r>
                <a:r>
                  <a:rPr lang="it-IT" sz="800" b="0" i="0" u="none" strike="noStrike" kern="1200" spc="-1" baseline="0">
                    <a:solidFill>
                      <a:srgbClr val="000000"/>
                    </a:solidFill>
                    <a:latin typeface="Times New Roman" panose="02020603050405020304" pitchFamily="18" charset="0"/>
                    <a:ea typeface="+mn-ea"/>
                    <a:cs typeface="Times New Roman" panose="02020603050405020304" pitchFamily="18" charset="0"/>
                  </a:rPr>
                  <a:t>CO</a:t>
                </a:r>
                <a:r>
                  <a:rPr lang="it-IT" sz="800" b="0" i="0" u="none" strike="noStrike" kern="1200" spc="-1" baseline="-25000">
                    <a:solidFill>
                      <a:srgbClr val="000000"/>
                    </a:solidFill>
                    <a:latin typeface="Times New Roman" panose="02020603050405020304" pitchFamily="18" charset="0"/>
                    <a:ea typeface="+mn-ea"/>
                    <a:cs typeface="Times New Roman" panose="02020603050405020304" pitchFamily="18" charset="0"/>
                  </a:rPr>
                  <a:t>2</a:t>
                </a:r>
                <a:r>
                  <a:rPr lang="it-IT" sz="800" b="0" strike="noStrike" spc="-1">
                    <a:solidFill>
                      <a:srgbClr val="000000"/>
                    </a:solidFill>
                    <a:latin typeface="Times New Roman" panose="02020603050405020304" pitchFamily="18" charset="0"/>
                    <a:cs typeface="Times New Roman" panose="02020603050405020304" pitchFamily="18" charset="0"/>
                  </a:rPr>
                  <a:t> </a:t>
                </a:r>
              </a:p>
            </c:rich>
          </c:tx>
          <c:overlay val="0"/>
        </c:title>
        <c:numFmt formatCode="General" sourceLinked="0"/>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1454880"/>
        <c:crosses val="autoZero"/>
        <c:crossBetween val="between"/>
      </c:valAx>
      <c:spPr>
        <a:noFill/>
        <a:ln>
          <a:solidFill>
            <a:srgbClr val="B3B3B3"/>
          </a:solidFill>
        </a:ln>
      </c:spPr>
    </c:plotArea>
    <c:plotVisOnly val="1"/>
    <c:dispBlanksAs val="gap"/>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87651088486643"/>
          <c:y val="9.1097308488612833E-2"/>
          <c:w val="0.79110174864505578"/>
          <c:h val="0.71671731992910481"/>
        </c:manualLayout>
      </c:layout>
      <c:barChart>
        <c:barDir val="bar"/>
        <c:grouping val="clustered"/>
        <c:varyColors val="0"/>
        <c:ser>
          <c:idx val="0"/>
          <c:order val="0"/>
          <c:tx>
            <c:strRef>
              <c:f>label 0</c:f>
              <c:strCache>
                <c:ptCount val="1"/>
                <c:pt idx="0">
                  <c:v>Total shipping</c:v>
                </c:pt>
              </c:strCache>
            </c:strRef>
          </c:tx>
          <c:spPr>
            <a:pattFill prst="wdDnDiag">
              <a:fgClr>
                <a:schemeClr val="bg2">
                  <a:lumMod val="25000"/>
                </a:schemeClr>
              </a:fgClr>
              <a:bgClr>
                <a:schemeClr val="bg1"/>
              </a:bgClr>
            </a:pattFill>
            <a:ln>
              <a:solidFill>
                <a:srgbClr val="B3B3B3"/>
              </a:solidFill>
            </a:ln>
          </c:spPr>
          <c:invertIfNegative val="0"/>
          <c:cat>
            <c:strRef>
              <c:f>categories</c:f>
              <c:strCache>
                <c:ptCount val="3"/>
                <c:pt idx="0">
                  <c:v>2010 (IMO)</c:v>
                </c:pt>
                <c:pt idx="1">
                  <c:v>2010 (AR5) </c:v>
                </c:pt>
                <c:pt idx="2">
                  <c:v>2012</c:v>
                </c:pt>
              </c:strCache>
            </c:strRef>
          </c:cat>
          <c:val>
            <c:numRef>
              <c:f>0</c:f>
              <c:numCache>
                <c:formatCode>General</c:formatCode>
                <c:ptCount val="3"/>
                <c:pt idx="0">
                  <c:v>0.93500000000000005</c:v>
                </c:pt>
                <c:pt idx="1">
                  <c:v>0.78520000000000001</c:v>
                </c:pt>
                <c:pt idx="2">
                  <c:v>0.93799999999999994</c:v>
                </c:pt>
              </c:numCache>
            </c:numRef>
          </c:val>
          <c:extLst>
            <c:ext xmlns:c16="http://schemas.microsoft.com/office/drawing/2014/chart" uri="{C3380CC4-5D6E-409C-BE32-E72D297353CC}">
              <c16:uniqueId val="{00000000-9B48-4B6D-8148-2D04359D2E47}"/>
            </c:ext>
          </c:extLst>
        </c:ser>
        <c:ser>
          <c:idx val="1"/>
          <c:order val="1"/>
          <c:tx>
            <c:strRef>
              <c:f>label 1</c:f>
              <c:strCache>
                <c:ptCount val="1"/>
                <c:pt idx="0">
                  <c:v>International shipping</c:v>
                </c:pt>
              </c:strCache>
            </c:strRef>
          </c:tx>
          <c:spPr>
            <a:solidFill>
              <a:schemeClr val="bg2">
                <a:lumMod val="50000"/>
              </a:schemeClr>
            </a:solidFill>
            <a:ln>
              <a:solidFill>
                <a:schemeClr val="tx1"/>
              </a:solidFill>
            </a:ln>
          </c:spPr>
          <c:invertIfNegative val="0"/>
          <c:cat>
            <c:strRef>
              <c:f>categories</c:f>
              <c:strCache>
                <c:ptCount val="3"/>
                <c:pt idx="0">
                  <c:v>2010 (IMO)</c:v>
                </c:pt>
                <c:pt idx="1">
                  <c:v>2010 (AR5) </c:v>
                </c:pt>
                <c:pt idx="2">
                  <c:v>2012</c:v>
                </c:pt>
              </c:strCache>
            </c:strRef>
          </c:cat>
          <c:val>
            <c:numRef>
              <c:f>1</c:f>
              <c:numCache>
                <c:formatCode>General</c:formatCode>
                <c:ptCount val="3"/>
                <c:pt idx="0">
                  <c:v>0.79</c:v>
                </c:pt>
                <c:pt idx="1">
                  <c:v>0.6482</c:v>
                </c:pt>
                <c:pt idx="2">
                  <c:v>0.79600000000000004</c:v>
                </c:pt>
              </c:numCache>
            </c:numRef>
          </c:val>
          <c:extLst>
            <c:ext xmlns:c16="http://schemas.microsoft.com/office/drawing/2014/chart" uri="{C3380CC4-5D6E-409C-BE32-E72D297353CC}">
              <c16:uniqueId val="{00000001-9B48-4B6D-8148-2D04359D2E47}"/>
            </c:ext>
          </c:extLst>
        </c:ser>
        <c:dLbls>
          <c:showLegendKey val="0"/>
          <c:showVal val="0"/>
          <c:showCatName val="0"/>
          <c:showSerName val="0"/>
          <c:showPercent val="0"/>
          <c:showBubbleSize val="0"/>
        </c:dLbls>
        <c:gapWidth val="100"/>
        <c:axId val="421456056"/>
        <c:axId val="240745736"/>
      </c:barChart>
      <c:catAx>
        <c:axId val="421456056"/>
        <c:scaling>
          <c:orientation val="minMax"/>
        </c:scaling>
        <c:delete val="0"/>
        <c:axPos val="l"/>
        <c:title>
          <c:tx>
            <c:rich>
              <a:bodyPr rot="-5400000"/>
              <a:lstStyle/>
              <a:p>
                <a:pPr>
                  <a:defRPr sz="800" b="0" strike="noStrike" spc="-1">
                    <a:solidFill>
                      <a:srgbClr val="000000"/>
                    </a:solidFill>
                    <a:latin typeface="Arial"/>
                  </a:defRPr>
                </a:pPr>
                <a:r>
                  <a:rPr lang="it-IT" sz="800" b="0" strike="noStrike" spc="-1">
                    <a:solidFill>
                      <a:srgbClr val="000000"/>
                    </a:solidFill>
                    <a:latin typeface="Times New Roman" panose="02020603050405020304" pitchFamily="18" charset="0"/>
                    <a:cs typeface="Times New Roman" panose="02020603050405020304" pitchFamily="18" charset="0"/>
                  </a:rPr>
                  <a:t>year</a:t>
                </a:r>
              </a:p>
            </c:rich>
          </c:tx>
          <c:layout>
            <c:manualLayout>
              <c:xMode val="edge"/>
              <c:yMode val="edge"/>
              <c:x val="1.8540705485115255E-2"/>
              <c:y val="0.48926417289213742"/>
            </c:manualLayout>
          </c:layout>
          <c:overlay val="0"/>
        </c:title>
        <c:numFmt formatCode="General" sourceLinked="1"/>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240745736"/>
        <c:crosses val="autoZero"/>
        <c:auto val="1"/>
        <c:lblAlgn val="ctr"/>
        <c:lblOffset val="100"/>
        <c:noMultiLvlLbl val="1"/>
      </c:catAx>
      <c:valAx>
        <c:axId val="240745736"/>
        <c:scaling>
          <c:orientation val="minMax"/>
        </c:scaling>
        <c:delete val="0"/>
        <c:axPos val="b"/>
        <c:majorGridlines>
          <c:spPr>
            <a:ln>
              <a:solidFill>
                <a:srgbClr val="B3B3B3"/>
              </a:solidFill>
            </a:ln>
          </c:spPr>
        </c:majorGridlines>
        <c:title>
          <c:tx>
            <c:rich>
              <a:bodyPr rot="0"/>
              <a:lstStyle/>
              <a:p>
                <a:pPr>
                  <a:defRPr sz="8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baseline="0">
                    <a:solidFill>
                      <a:srgbClr val="000000"/>
                    </a:solidFill>
                    <a:latin typeface="Times New Roman" panose="02020603050405020304" pitchFamily="18" charset="0"/>
                    <a:cs typeface="Times New Roman" panose="02020603050405020304" pitchFamily="18" charset="0"/>
                  </a:rPr>
                  <a:t>Gt CO</a:t>
                </a:r>
                <a:r>
                  <a:rPr lang="it-IT" sz="800" b="0" strike="noStrike" spc="-1" baseline="-25000">
                    <a:solidFill>
                      <a:srgbClr val="000000"/>
                    </a:solidFill>
                    <a:latin typeface="Times New Roman" panose="02020603050405020304" pitchFamily="18" charset="0"/>
                    <a:cs typeface="Times New Roman" panose="02020603050405020304" pitchFamily="18" charset="0"/>
                  </a:rPr>
                  <a:t>2eq</a:t>
                </a:r>
              </a:p>
            </c:rich>
          </c:tx>
          <c:overlay val="0"/>
        </c:title>
        <c:numFmt formatCode="0.00" sourceLinked="0"/>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1456056"/>
        <c:crosses val="autoZero"/>
        <c:crossBetween val="between"/>
      </c:valAx>
      <c:spPr>
        <a:noFill/>
        <a:ln>
          <a:solidFill>
            <a:srgbClr val="B3B3B3"/>
          </a:solidFill>
        </a:ln>
      </c:spPr>
    </c:plotArea>
    <c:plotVisOnly val="1"/>
    <c:dispBlanksAs val="gap"/>
    <c:showDLblsOverMax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32215486646875"/>
          <c:y val="7.6177285318559551E-2"/>
          <c:w val="0.81828572452479853"/>
          <c:h val="0.70982917772843002"/>
        </c:manualLayout>
      </c:layout>
      <c:lineChart>
        <c:grouping val="standard"/>
        <c:varyColors val="0"/>
        <c:ser>
          <c:idx val="0"/>
          <c:order val="0"/>
          <c:tx>
            <c:strRef>
              <c:f>label 0</c:f>
              <c:strCache>
                <c:ptCount val="1"/>
                <c:pt idx="0">
                  <c:v> Scenario 3</c:v>
                </c:pt>
              </c:strCache>
            </c:strRef>
          </c:tx>
          <c:spPr>
            <a:ln w="15875">
              <a:solidFill>
                <a:schemeClr val="tx1">
                  <a:lumMod val="65000"/>
                  <a:lumOff val="35000"/>
                </a:schemeClr>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9"/>
                <c:pt idx="0">
                  <c:v>base year</c:v>
                </c:pt>
                <c:pt idx="1">
                  <c:v>2015</c:v>
                </c:pt>
                <c:pt idx="2">
                  <c:v>2020</c:v>
                </c:pt>
                <c:pt idx="3">
                  <c:v>2025</c:v>
                </c:pt>
                <c:pt idx="4">
                  <c:v>2030</c:v>
                </c:pt>
                <c:pt idx="5">
                  <c:v>2035</c:v>
                </c:pt>
                <c:pt idx="6">
                  <c:v>2040</c:v>
                </c:pt>
                <c:pt idx="7">
                  <c:v>2045</c:v>
                </c:pt>
                <c:pt idx="8">
                  <c:v>2050</c:v>
                </c:pt>
              </c:strCache>
            </c:strRef>
          </c:cat>
          <c:val>
            <c:numRef>
              <c:f>0</c:f>
              <c:numCache>
                <c:formatCode>General</c:formatCode>
                <c:ptCount val="9"/>
                <c:pt idx="0">
                  <c:v>810</c:v>
                </c:pt>
                <c:pt idx="1">
                  <c:v>800</c:v>
                </c:pt>
                <c:pt idx="2">
                  <c:v>850</c:v>
                </c:pt>
                <c:pt idx="3">
                  <c:v>910</c:v>
                </c:pt>
                <c:pt idx="4">
                  <c:v>940</c:v>
                </c:pt>
                <c:pt idx="5">
                  <c:v>940</c:v>
                </c:pt>
                <c:pt idx="6">
                  <c:v>920</c:v>
                </c:pt>
                <c:pt idx="7">
                  <c:v>880</c:v>
                </c:pt>
                <c:pt idx="8">
                  <c:v>810</c:v>
                </c:pt>
              </c:numCache>
            </c:numRef>
          </c:val>
          <c:smooth val="0"/>
          <c:extLst>
            <c:ext xmlns:c16="http://schemas.microsoft.com/office/drawing/2014/chart" uri="{C3380CC4-5D6E-409C-BE32-E72D297353CC}">
              <c16:uniqueId val="{00000000-F5DD-4B6E-92D1-161501BDE0DB}"/>
            </c:ext>
          </c:extLst>
        </c:ser>
        <c:ser>
          <c:idx val="1"/>
          <c:order val="1"/>
          <c:tx>
            <c:strRef>
              <c:f>label 1</c:f>
              <c:strCache>
                <c:ptCount val="1"/>
                <c:pt idx="0">
                  <c:v> Scenario 13</c:v>
                </c:pt>
              </c:strCache>
            </c:strRef>
          </c:tx>
          <c:spPr>
            <a:ln w="19050">
              <a:solidFill>
                <a:sysClr val="windowText" lastClr="000000"/>
              </a:solidFill>
              <a:prstDash val="sysDot"/>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9"/>
                <c:pt idx="0">
                  <c:v>base year</c:v>
                </c:pt>
                <c:pt idx="1">
                  <c:v>2015</c:v>
                </c:pt>
                <c:pt idx="2">
                  <c:v>2020</c:v>
                </c:pt>
                <c:pt idx="3">
                  <c:v>2025</c:v>
                </c:pt>
                <c:pt idx="4">
                  <c:v>2030</c:v>
                </c:pt>
                <c:pt idx="5">
                  <c:v>2035</c:v>
                </c:pt>
                <c:pt idx="6">
                  <c:v>2040</c:v>
                </c:pt>
                <c:pt idx="7">
                  <c:v>2045</c:v>
                </c:pt>
                <c:pt idx="8">
                  <c:v>2050</c:v>
                </c:pt>
              </c:strCache>
            </c:strRef>
          </c:cat>
          <c:val>
            <c:numRef>
              <c:f>1</c:f>
              <c:numCache>
                <c:formatCode>General</c:formatCode>
                <c:ptCount val="9"/>
                <c:pt idx="0">
                  <c:v>810</c:v>
                </c:pt>
                <c:pt idx="1">
                  <c:v>810</c:v>
                </c:pt>
                <c:pt idx="2">
                  <c:v>910</c:v>
                </c:pt>
                <c:pt idx="3">
                  <c:v>1100</c:v>
                </c:pt>
                <c:pt idx="4">
                  <c:v>1200</c:v>
                </c:pt>
                <c:pt idx="5">
                  <c:v>1500</c:v>
                </c:pt>
                <c:pt idx="6">
                  <c:v>1900</c:v>
                </c:pt>
                <c:pt idx="7">
                  <c:v>2400</c:v>
                </c:pt>
                <c:pt idx="8">
                  <c:v>2800</c:v>
                </c:pt>
              </c:numCache>
            </c:numRef>
          </c:val>
          <c:smooth val="0"/>
          <c:extLst>
            <c:ext xmlns:c16="http://schemas.microsoft.com/office/drawing/2014/chart" uri="{C3380CC4-5D6E-409C-BE32-E72D297353CC}">
              <c16:uniqueId val="{00000001-F5DD-4B6E-92D1-161501BDE0DB}"/>
            </c:ext>
          </c:extLst>
        </c:ser>
        <c:dLbls>
          <c:showLegendKey val="0"/>
          <c:showVal val="0"/>
          <c:showCatName val="0"/>
          <c:showSerName val="0"/>
          <c:showPercent val="0"/>
          <c:showBubbleSize val="0"/>
        </c:dLbls>
        <c:hiLowLines>
          <c:spPr>
            <a:ln>
              <a:noFill/>
            </a:ln>
          </c:spPr>
        </c:hiLowLines>
        <c:smooth val="0"/>
        <c:axId val="423782032"/>
        <c:axId val="423782816"/>
      </c:lineChart>
      <c:catAx>
        <c:axId val="423782032"/>
        <c:scaling>
          <c:orientation val="minMax"/>
        </c:scaling>
        <c:delete val="0"/>
        <c:axPos val="b"/>
        <c:title>
          <c:tx>
            <c:rich>
              <a:bodyPr rot="0"/>
              <a:lstStyle/>
              <a:p>
                <a:pPr>
                  <a:defRPr sz="10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a:solidFill>
                      <a:srgbClr val="000000"/>
                    </a:solidFill>
                    <a:latin typeface="Times New Roman" panose="02020603050405020304" pitchFamily="18" charset="0"/>
                    <a:cs typeface="Times New Roman" panose="02020603050405020304" pitchFamily="18" charset="0"/>
                  </a:rPr>
                  <a:t>year</a:t>
                </a:r>
              </a:p>
            </c:rich>
          </c:tx>
          <c:layout>
            <c:manualLayout>
              <c:xMode val="edge"/>
              <c:yMode val="edge"/>
              <c:x val="0.50311875737803369"/>
              <c:y val="0.88202363561533559"/>
            </c:manualLayout>
          </c:layout>
          <c:overlay val="0"/>
        </c:title>
        <c:numFmt formatCode="General" sourceLinked="1"/>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3782816"/>
        <c:crosses val="autoZero"/>
        <c:auto val="1"/>
        <c:lblAlgn val="ctr"/>
        <c:lblOffset val="100"/>
        <c:noMultiLvlLbl val="1"/>
      </c:catAx>
      <c:valAx>
        <c:axId val="423782816"/>
        <c:scaling>
          <c:orientation val="minMax"/>
        </c:scaling>
        <c:delete val="0"/>
        <c:axPos val="l"/>
        <c:majorGridlines>
          <c:spPr>
            <a:ln>
              <a:solidFill>
                <a:srgbClr val="B3B3B3"/>
              </a:solidFill>
            </a:ln>
          </c:spPr>
        </c:majorGridlines>
        <c:title>
          <c:tx>
            <c:rich>
              <a:bodyPr rot="-5400000"/>
              <a:lstStyle/>
              <a:p>
                <a:pPr>
                  <a:defRPr sz="800" b="0" strike="noStrike" spc="-1">
                    <a:solidFill>
                      <a:srgbClr val="000000"/>
                    </a:solidFill>
                    <a:latin typeface="Times New Roman" panose="02020603050405020304" pitchFamily="18" charset="0"/>
                    <a:cs typeface="Times New Roman" panose="02020603050405020304" pitchFamily="18" charset="0"/>
                  </a:defRPr>
                </a:pPr>
                <a:r>
                  <a:rPr lang="it-IT" sz="800" b="0" strike="noStrike" spc="-1">
                    <a:solidFill>
                      <a:srgbClr val="000000"/>
                    </a:solidFill>
                    <a:latin typeface="Times New Roman" panose="02020603050405020304" pitchFamily="18" charset="0"/>
                    <a:cs typeface="Times New Roman" panose="02020603050405020304" pitchFamily="18" charset="0"/>
                  </a:rPr>
                  <a:t>Mt </a:t>
                </a:r>
              </a:p>
            </c:rich>
          </c:tx>
          <c:overlay val="0"/>
        </c:title>
        <c:numFmt formatCode="General" sourceLinked="0"/>
        <c:majorTickMark val="out"/>
        <c:minorTickMark val="none"/>
        <c:tickLblPos val="nextTo"/>
        <c:spPr>
          <a:ln>
            <a:solidFill>
              <a:srgbClr val="B3B3B3"/>
            </a:solidFill>
          </a:ln>
        </c:spPr>
        <c:txPr>
          <a:bodyPr/>
          <a:lstStyle/>
          <a:p>
            <a:pPr>
              <a:defRPr sz="800" b="0" strike="noStrike" spc="-1">
                <a:solidFill>
                  <a:srgbClr val="000000"/>
                </a:solidFill>
                <a:latin typeface="Times New Roman" panose="02020603050405020304" pitchFamily="18" charset="0"/>
                <a:cs typeface="Times New Roman" panose="02020603050405020304" pitchFamily="18" charset="0"/>
              </a:defRPr>
            </a:pPr>
            <a:endParaRPr lang="it-IT"/>
          </a:p>
        </c:txPr>
        <c:crossAx val="423782032"/>
        <c:crosses val="autoZero"/>
        <c:crossBetween val="midCat"/>
      </c:valAx>
      <c:spPr>
        <a:noFill/>
        <a:ln>
          <a:solidFill>
            <a:srgbClr val="B3B3B3"/>
          </a:solidFill>
        </a:ln>
      </c:spPr>
    </c:plotArea>
    <c:plotVisOnly val="1"/>
    <c:dispBlanksAs val="gap"/>
    <c:showDLblsOverMax val="1"/>
  </c:chart>
  <c:spPr>
    <a:noFill/>
    <a:ln>
      <a:noFill/>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1295-79AF-4C37-B144-CDBA1A76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3997</Words>
  <Characters>22788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Enrico Rizzuto</dc:creator>
  <cp:lastModifiedBy>Luca Braidotti</cp:lastModifiedBy>
  <cp:revision>6</cp:revision>
  <cp:lastPrinted>2018-04-20T16:01:00Z</cp:lastPrinted>
  <dcterms:created xsi:type="dcterms:W3CDTF">2018-04-19T09:41:00Z</dcterms:created>
  <dcterms:modified xsi:type="dcterms:W3CDTF">2018-04-20T16:01:00Z</dcterms:modified>
</cp:coreProperties>
</file>