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38186C">
      <w:pPr>
        <w:pStyle w:val="Titolo"/>
      </w:pPr>
      <w:r>
        <w:t>Italian Navy future fleet – Analysis on on board electrical system and cold ironing</w:t>
      </w:r>
    </w:p>
    <w:p w:rsidR="00B05D6E" w:rsidRDefault="00B218EB">
      <w:pPr>
        <w:pStyle w:val="Author"/>
        <w:rPr>
          <w:lang w:val="it-IT"/>
        </w:rPr>
      </w:pPr>
      <w:r w:rsidRPr="005212DA">
        <w:rPr>
          <w:lang w:val="it-IT"/>
        </w:rPr>
        <w:t xml:space="preserve">Michele </w:t>
      </w:r>
      <w:proofErr w:type="spellStart"/>
      <w:r w:rsidRPr="005212DA">
        <w:rPr>
          <w:lang w:val="it-IT"/>
        </w:rPr>
        <w:t>CATANEO</w:t>
      </w:r>
      <w:r w:rsidR="007C0F65" w:rsidRPr="007C0F65">
        <w:rPr>
          <w:vertAlign w:val="superscript"/>
          <w:lang w:val="it-IT"/>
        </w:rPr>
        <w:t>a</w:t>
      </w:r>
      <w:proofErr w:type="spellEnd"/>
      <w:r w:rsidR="007C0F65">
        <w:rPr>
          <w:rStyle w:val="Rimandonotaapidipagina"/>
          <w:lang w:val="it-IT"/>
        </w:rPr>
        <w:footnoteReference w:id="1"/>
      </w:r>
      <w:r w:rsidR="007C0F65">
        <w:rPr>
          <w:lang w:val="it-IT"/>
        </w:rPr>
        <w:t>,</w:t>
      </w:r>
      <w:r w:rsidR="00DE1957" w:rsidRPr="005212DA">
        <w:rPr>
          <w:lang w:val="it-IT"/>
        </w:rPr>
        <w:t xml:space="preserve"> Gennaro </w:t>
      </w:r>
      <w:proofErr w:type="spellStart"/>
      <w:r w:rsidR="00DE1957" w:rsidRPr="005212DA">
        <w:rPr>
          <w:lang w:val="it-IT"/>
        </w:rPr>
        <w:t>LIPARDI</w:t>
      </w:r>
      <w:r w:rsidR="007C0F65" w:rsidRPr="007C0F65">
        <w:rPr>
          <w:vertAlign w:val="superscript"/>
          <w:lang w:val="it-IT"/>
        </w:rPr>
        <w:t>b</w:t>
      </w:r>
      <w:proofErr w:type="spellEnd"/>
    </w:p>
    <w:p w:rsidR="007C0F65" w:rsidRPr="007C0F65" w:rsidRDefault="007C0F65" w:rsidP="007C0F65">
      <w:pPr>
        <w:pStyle w:val="Author"/>
        <w:rPr>
          <w:i/>
          <w:lang w:val="it-IT"/>
        </w:rPr>
      </w:pPr>
      <w:r w:rsidRPr="007C0F65">
        <w:rPr>
          <w:i/>
          <w:vertAlign w:val="superscript"/>
          <w:lang w:val="it-IT"/>
        </w:rPr>
        <w:t>a</w:t>
      </w:r>
      <w:r w:rsidRPr="007C0F65">
        <w:rPr>
          <w:i/>
          <w:lang w:val="it-IT"/>
        </w:rPr>
        <w:t xml:space="preserve"> </w:t>
      </w:r>
      <w:proofErr w:type="spellStart"/>
      <w:r w:rsidRPr="007C0F65">
        <w:rPr>
          <w:i/>
          <w:lang w:val="it-IT"/>
        </w:rPr>
        <w:t>Italian</w:t>
      </w:r>
      <w:proofErr w:type="spellEnd"/>
      <w:r w:rsidRPr="007C0F65">
        <w:rPr>
          <w:i/>
          <w:lang w:val="it-IT"/>
        </w:rPr>
        <w:t xml:space="preserve"> General </w:t>
      </w:r>
      <w:proofErr w:type="spellStart"/>
      <w:r w:rsidRPr="007C0F65">
        <w:rPr>
          <w:i/>
          <w:lang w:val="it-IT"/>
        </w:rPr>
        <w:t>Navy</w:t>
      </w:r>
      <w:proofErr w:type="spellEnd"/>
      <w:r w:rsidRPr="007C0F65">
        <w:rPr>
          <w:i/>
          <w:lang w:val="it-IT"/>
        </w:rPr>
        <w:t xml:space="preserve"> Staff, Rome, </w:t>
      </w:r>
      <w:proofErr w:type="spellStart"/>
      <w:r w:rsidRPr="007C0F65">
        <w:rPr>
          <w:i/>
          <w:lang w:val="it-IT"/>
        </w:rPr>
        <w:t>Italy</w:t>
      </w:r>
      <w:proofErr w:type="spellEnd"/>
    </w:p>
    <w:p w:rsidR="007C0F65" w:rsidRPr="00CD514D" w:rsidRDefault="007C0F65" w:rsidP="007C0F65">
      <w:pPr>
        <w:pStyle w:val="Author"/>
        <w:rPr>
          <w:i/>
          <w:lang w:val="en-GB"/>
        </w:rPr>
      </w:pPr>
      <w:r w:rsidRPr="00CD514D">
        <w:rPr>
          <w:i/>
          <w:vertAlign w:val="superscript"/>
          <w:lang w:val="en-GB"/>
        </w:rPr>
        <w:t>b</w:t>
      </w:r>
      <w:r w:rsidRPr="00CD514D">
        <w:rPr>
          <w:i/>
          <w:lang w:val="en-GB"/>
        </w:rPr>
        <w:t xml:space="preserve"> Italian Naval Directorate, Rome, Italy</w:t>
      </w:r>
    </w:p>
    <w:p w:rsidR="00B05D6E" w:rsidRDefault="00B05D6E">
      <w:pPr>
        <w:pStyle w:val="Abstract"/>
      </w:pPr>
      <w:r>
        <w:rPr>
          <w:b/>
        </w:rPr>
        <w:t>Abstract.</w:t>
      </w:r>
      <w:r>
        <w:t xml:space="preserve"> </w:t>
      </w:r>
      <w:r w:rsidR="0038186C">
        <w:t>Shore Connection has become a topic of huge tech</w:t>
      </w:r>
      <w:r w:rsidR="00F85D38">
        <w:t>n</w:t>
      </w:r>
      <w:r w:rsidR="0038186C">
        <w:t>ical interest both for merchant ships and for military ships. The Navy’s fleet renewal prog</w:t>
      </w:r>
      <w:r w:rsidR="00F85D38">
        <w:t>ra</w:t>
      </w:r>
      <w:r w:rsidR="0038186C">
        <w:t>m offers the opportunity to reconsider this aspect within the main naval bases of the Italia</w:t>
      </w:r>
      <w:r w:rsidR="00F85D38">
        <w:t>n</w:t>
      </w:r>
      <w:r w:rsidR="0038186C">
        <w:t xml:space="preserve"> peninsula. In particular, the presentation analyzes the overhaul project of Stazione Navale Mar Grande’s electrical system in Ta</w:t>
      </w:r>
      <w:r w:rsidR="00F85D38">
        <w:t>ra</w:t>
      </w:r>
      <w:r w:rsidR="0038186C">
        <w:t>nto</w:t>
      </w:r>
      <w:r w:rsidR="00F85D38">
        <w:t xml:space="preserve"> with the aim to be ready to host the future fleet in 2027. </w:t>
      </w:r>
      <w:r w:rsidR="000B5A4A">
        <w:t xml:space="preserve">It is proposed a working methodology to optimize the final result for several future scenarios in order to guarantee the maximum flexibility and interchangeability for the mooring and shore connection services that will be provided for different ship sizes and electrical power levels. </w:t>
      </w:r>
      <w:r w:rsidR="00F85D38">
        <w:t>Finally, further improvements in the electricity grid are considered (potential “spin off”), such as energy efficiency systems, green energy sources and distributed cogeneration integrations to meet the need and to gain the desired load shaving.</w:t>
      </w:r>
    </w:p>
    <w:p w:rsidR="00B05D6E" w:rsidRPr="00057F29" w:rsidRDefault="00B05D6E">
      <w:pPr>
        <w:pStyle w:val="Keywords"/>
      </w:pPr>
      <w:r w:rsidRPr="00FB6B38">
        <w:rPr>
          <w:b/>
        </w:rPr>
        <w:t>Keywords.</w:t>
      </w:r>
      <w:r w:rsidR="00057F29" w:rsidRPr="00FB6B38">
        <w:t xml:space="preserve"> Cold Ironing, </w:t>
      </w:r>
      <w:r w:rsidR="00421115" w:rsidRPr="00FB6B38">
        <w:t>Electrical Power Energy</w:t>
      </w:r>
      <w:r w:rsidR="00057F29" w:rsidRPr="00FB6B38">
        <w:t xml:space="preserve">, Bidirectional Shore Connection, </w:t>
      </w:r>
      <w:r w:rsidR="00EF6DAB" w:rsidRPr="00FB6B38">
        <w:t xml:space="preserve">Dual –Use </w:t>
      </w:r>
      <w:r w:rsidR="00057F29" w:rsidRPr="00FB6B38">
        <w:t>Convert</w:t>
      </w:r>
      <w:r w:rsidR="00EF6DAB" w:rsidRPr="00FB6B38">
        <w:t xml:space="preserve">er </w:t>
      </w:r>
    </w:p>
    <w:p w:rsidR="00B05D6E" w:rsidRDefault="00B05D6E" w:rsidP="002368A8">
      <w:pPr>
        <w:pStyle w:val="Titolo1"/>
        <w:numPr>
          <w:ilvl w:val="0"/>
          <w:numId w:val="24"/>
        </w:numPr>
        <w:ind w:left="454" w:hanging="454"/>
      </w:pPr>
      <w:r>
        <w:t>Introduction</w:t>
      </w:r>
    </w:p>
    <w:p w:rsidR="000808C9" w:rsidRDefault="000808C9" w:rsidP="0076535B">
      <w:pPr>
        <w:ind w:firstLine="0"/>
        <w:rPr>
          <w:lang w:val="en-GB"/>
        </w:rPr>
      </w:pPr>
      <w:r w:rsidRPr="00B67DD7">
        <w:rPr>
          <w:lang w:val="en-GB"/>
        </w:rPr>
        <w:t xml:space="preserve">Cold </w:t>
      </w:r>
      <w:r w:rsidR="005212DA">
        <w:rPr>
          <w:lang w:val="en-GB"/>
        </w:rPr>
        <w:t>I</w:t>
      </w:r>
      <w:r w:rsidRPr="00B67DD7">
        <w:rPr>
          <w:lang w:val="en-GB"/>
        </w:rPr>
        <w:t xml:space="preserve">roning (CI) is a practice in use in </w:t>
      </w:r>
      <w:r w:rsidR="00B67DD7" w:rsidRPr="00B67DD7">
        <w:rPr>
          <w:lang w:val="en-GB"/>
        </w:rPr>
        <w:t xml:space="preserve">the </w:t>
      </w:r>
      <w:r w:rsidRPr="00B67DD7">
        <w:rPr>
          <w:lang w:val="en-GB"/>
        </w:rPr>
        <w:t xml:space="preserve">Italian Navy </w:t>
      </w:r>
      <w:r w:rsidR="00B67DD7" w:rsidRPr="00B67DD7">
        <w:rPr>
          <w:lang w:val="en-GB"/>
        </w:rPr>
        <w:t>(“Marina Militare Italiana”</w:t>
      </w:r>
      <w:r w:rsidR="00B67DD7">
        <w:rPr>
          <w:lang w:val="en-GB"/>
        </w:rPr>
        <w:t>,</w:t>
      </w:r>
      <w:r w:rsidR="00B67DD7" w:rsidRPr="00B67DD7">
        <w:rPr>
          <w:lang w:val="en-GB"/>
        </w:rPr>
        <w:t xml:space="preserve"> </w:t>
      </w:r>
      <w:r w:rsidRPr="00B67DD7">
        <w:rPr>
          <w:lang w:val="en-GB"/>
        </w:rPr>
        <w:t xml:space="preserve">MMI) since the 70s for maintenance needs of the hull, </w:t>
      </w:r>
      <w:r w:rsidRPr="005E0BF7">
        <w:rPr>
          <w:lang w:val="en-GB"/>
        </w:rPr>
        <w:t>the fittings</w:t>
      </w:r>
      <w:r w:rsidRPr="003C13A8">
        <w:rPr>
          <w:lang w:val="en-GB"/>
        </w:rPr>
        <w:t xml:space="preserve"> or</w:t>
      </w:r>
      <w:r w:rsidRPr="00B67DD7">
        <w:rPr>
          <w:lang w:val="en-GB"/>
        </w:rPr>
        <w:t xml:space="preserve"> the combat system. </w:t>
      </w:r>
      <w:r w:rsidRPr="00B409B4">
        <w:rPr>
          <w:lang w:val="en-GB"/>
        </w:rPr>
        <w:t>During the stay</w:t>
      </w:r>
      <w:r w:rsidR="00DD7A3B">
        <w:rPr>
          <w:lang w:val="en-GB"/>
        </w:rPr>
        <w:t xml:space="preserve"> at berth</w:t>
      </w:r>
      <w:r w:rsidRPr="00B409B4">
        <w:rPr>
          <w:lang w:val="en-GB"/>
        </w:rPr>
        <w:t xml:space="preserve"> (f</w:t>
      </w:r>
      <w:r w:rsidR="00DD7A3B">
        <w:rPr>
          <w:lang w:val="en-GB"/>
        </w:rPr>
        <w:t>o</w:t>
      </w:r>
      <w:r w:rsidRPr="00B409B4">
        <w:rPr>
          <w:lang w:val="en-GB"/>
        </w:rPr>
        <w:t xml:space="preserve">r a few days </w:t>
      </w:r>
      <w:r w:rsidR="00DD7A3B">
        <w:rPr>
          <w:lang w:val="en-GB"/>
        </w:rPr>
        <w:t xml:space="preserve">as well </w:t>
      </w:r>
      <w:r w:rsidR="000B5A4A">
        <w:rPr>
          <w:lang w:val="en-GB"/>
        </w:rPr>
        <w:t xml:space="preserve">for </w:t>
      </w:r>
      <w:r w:rsidRPr="00B409B4">
        <w:rPr>
          <w:lang w:val="en-GB"/>
        </w:rPr>
        <w:t xml:space="preserve">months) the activities on military ships require a </w:t>
      </w:r>
      <w:r w:rsidR="00BF1741">
        <w:rPr>
          <w:lang w:val="en-GB"/>
        </w:rPr>
        <w:t>huge supply</w:t>
      </w:r>
      <w:r w:rsidRPr="00B409B4">
        <w:rPr>
          <w:lang w:val="en-GB"/>
        </w:rPr>
        <w:t xml:space="preserve"> of electricity for on-board services. For MMI ships, therefore, the use of Shore Connection Systems (SCSs) is beneficial for several reasons, such as the reduction of air emissions and noise pollution in the </w:t>
      </w:r>
      <w:r w:rsidR="007C0F65">
        <w:rPr>
          <w:lang w:val="en-GB"/>
        </w:rPr>
        <w:t>harbour</w:t>
      </w:r>
      <w:r w:rsidRPr="00B409B4">
        <w:rPr>
          <w:lang w:val="en-GB"/>
        </w:rPr>
        <w:t xml:space="preserve"> area</w:t>
      </w:r>
      <w:r w:rsidR="00F050D0">
        <w:rPr>
          <w:lang w:val="en-GB"/>
        </w:rPr>
        <w:t>. Moreover</w:t>
      </w:r>
      <w:r w:rsidRPr="00B409B4">
        <w:rPr>
          <w:lang w:val="en-GB"/>
        </w:rPr>
        <w:t xml:space="preserve">, the reduction of the hours of motion of diesel generators and the number of security personnel. </w:t>
      </w:r>
      <w:r w:rsidRPr="00B67DD7">
        <w:rPr>
          <w:lang w:val="en-GB"/>
        </w:rPr>
        <w:t>For these reasons, the CI remains a topic of discussion in</w:t>
      </w:r>
      <w:r w:rsidR="00B67DD7" w:rsidRPr="00B67DD7">
        <w:rPr>
          <w:lang w:val="en-GB"/>
        </w:rPr>
        <w:t xml:space="preserve"> MMI</w:t>
      </w:r>
      <w:r w:rsidRPr="00B67DD7">
        <w:rPr>
          <w:lang w:val="en-GB"/>
        </w:rPr>
        <w:t xml:space="preserve">, as in NATO, where the update of the ANEP 67 </w:t>
      </w:r>
      <w:r w:rsidR="00101629">
        <w:rPr>
          <w:lang w:val="en-GB"/>
        </w:rPr>
        <w:t xml:space="preserve">[1] </w:t>
      </w:r>
      <w:r w:rsidRPr="00B67DD7">
        <w:rPr>
          <w:lang w:val="en-GB"/>
        </w:rPr>
        <w:t>standard foresees a session dedicated to the SCSs topic, with the aim of standardize the solutions of the individual members. The C</w:t>
      </w:r>
      <w:r w:rsidR="00B67DD7" w:rsidRPr="00B67DD7">
        <w:rPr>
          <w:lang w:val="en-GB"/>
        </w:rPr>
        <w:t>I</w:t>
      </w:r>
      <w:r w:rsidRPr="00B67DD7">
        <w:rPr>
          <w:lang w:val="en-GB"/>
        </w:rPr>
        <w:t xml:space="preserve"> constitutes an important opportunity </w:t>
      </w:r>
      <w:r w:rsidR="00B442DC">
        <w:rPr>
          <w:lang w:val="en-GB"/>
        </w:rPr>
        <w:t xml:space="preserve">also </w:t>
      </w:r>
      <w:r w:rsidRPr="00B67DD7">
        <w:rPr>
          <w:lang w:val="en-GB"/>
        </w:rPr>
        <w:t>for cruise ships or merchant ships, subject to periods o</w:t>
      </w:r>
      <w:r w:rsidR="00F050D0">
        <w:rPr>
          <w:lang w:val="en-GB"/>
        </w:rPr>
        <w:t xml:space="preserve">f continuous stay in port shorter </w:t>
      </w:r>
      <w:r w:rsidRPr="00B67DD7">
        <w:rPr>
          <w:lang w:val="en-GB"/>
        </w:rPr>
        <w:t>than the military ones. Today, there are many countries that aim to reduce polluting emissions and that is why the three IEC, ISO, IEEE bodies are working to harmonize and standardize the C</w:t>
      </w:r>
      <w:r w:rsidR="00B67DD7" w:rsidRPr="00B67DD7">
        <w:rPr>
          <w:lang w:val="en-GB"/>
        </w:rPr>
        <w:t>I</w:t>
      </w:r>
      <w:r w:rsidRPr="00B67DD7">
        <w:rPr>
          <w:lang w:val="en-GB"/>
        </w:rPr>
        <w:t xml:space="preserve"> internationally in the drafting of the IEC/ISO/IEEE 80005 series </w:t>
      </w:r>
      <w:r w:rsidR="00B67DD7">
        <w:rPr>
          <w:lang w:val="en-GB"/>
        </w:rPr>
        <w:t>“</w:t>
      </w:r>
      <w:r w:rsidRPr="00B67DD7">
        <w:rPr>
          <w:lang w:val="en-GB"/>
        </w:rPr>
        <w:t>Utility connections in port</w:t>
      </w:r>
      <w:r w:rsidR="00B67DD7">
        <w:rPr>
          <w:lang w:val="en-GB"/>
        </w:rPr>
        <w:t>”</w:t>
      </w:r>
      <w:r w:rsidRPr="00B67DD7">
        <w:rPr>
          <w:lang w:val="en-GB"/>
        </w:rPr>
        <w:t xml:space="preserve">. </w:t>
      </w:r>
      <w:r w:rsidRPr="00B409B4">
        <w:rPr>
          <w:lang w:val="en-GB"/>
        </w:rPr>
        <w:t xml:space="preserve">The standard, as is known, aims to standardize the myriad of electrical connections found in the merchant market, without imposing too rigid solutions. </w:t>
      </w:r>
      <w:r w:rsidRPr="00B67DD7">
        <w:rPr>
          <w:lang w:val="en-GB"/>
        </w:rPr>
        <w:t xml:space="preserve">This article summarizes some considerations on CI in the MMI field with the aim of providing possible solutions of </w:t>
      </w:r>
      <w:r w:rsidRPr="00B67DD7">
        <w:rPr>
          <w:lang w:val="en-GB"/>
        </w:rPr>
        <w:lastRenderedPageBreak/>
        <w:t xml:space="preserve">SCSs </w:t>
      </w:r>
      <w:r w:rsidR="00F050D0">
        <w:rPr>
          <w:lang w:val="en-GB"/>
        </w:rPr>
        <w:t xml:space="preserve">which are </w:t>
      </w:r>
      <w:r w:rsidRPr="00B67DD7">
        <w:rPr>
          <w:lang w:val="en-GB"/>
        </w:rPr>
        <w:t xml:space="preserve">able to meet the energy needs of the </w:t>
      </w:r>
      <w:r w:rsidR="00B67DD7" w:rsidRPr="00B67DD7">
        <w:rPr>
          <w:lang w:val="en-GB"/>
        </w:rPr>
        <w:t>“</w:t>
      </w:r>
      <w:r w:rsidRPr="00B67DD7">
        <w:rPr>
          <w:lang w:val="en-GB"/>
        </w:rPr>
        <w:t>Fleet 2027</w:t>
      </w:r>
      <w:r w:rsidR="00B67DD7" w:rsidRPr="00B67DD7">
        <w:rPr>
          <w:lang w:val="en-GB"/>
        </w:rPr>
        <w:t>”</w:t>
      </w:r>
      <w:r w:rsidRPr="00B67DD7">
        <w:rPr>
          <w:lang w:val="en-GB"/>
        </w:rPr>
        <w:t xml:space="preserve"> scenario, </w:t>
      </w:r>
      <w:r w:rsidR="00F050D0">
        <w:rPr>
          <w:lang w:val="en-GB"/>
        </w:rPr>
        <w:t>as well as</w:t>
      </w:r>
      <w:r w:rsidRPr="00B67DD7">
        <w:rPr>
          <w:lang w:val="en-GB"/>
        </w:rPr>
        <w:t xml:space="preserve"> proposing a </w:t>
      </w:r>
      <w:r w:rsidR="00B67DD7" w:rsidRPr="00B67DD7">
        <w:rPr>
          <w:lang w:val="en-GB"/>
        </w:rPr>
        <w:t>“</w:t>
      </w:r>
      <w:r w:rsidRPr="00B67DD7">
        <w:rPr>
          <w:lang w:val="en-GB"/>
        </w:rPr>
        <w:t>logical process</w:t>
      </w:r>
      <w:r w:rsidR="00B67DD7" w:rsidRPr="00B67DD7">
        <w:rPr>
          <w:lang w:val="en-GB"/>
        </w:rPr>
        <w:t>”</w:t>
      </w:r>
      <w:r w:rsidR="00F766C1">
        <w:rPr>
          <w:lang w:val="en-GB"/>
        </w:rPr>
        <w:t xml:space="preserve"> (Figure </w:t>
      </w:r>
      <w:r w:rsidRPr="00B67DD7">
        <w:rPr>
          <w:lang w:val="en-GB"/>
        </w:rPr>
        <w:t>1) in order to provide a line of direction towards the future horizon.</w:t>
      </w:r>
    </w:p>
    <w:p w:rsidR="00D86E92" w:rsidRPr="00B67DD7" w:rsidRDefault="00D86E92" w:rsidP="00CF7883">
      <w:pPr>
        <w:ind w:firstLine="0"/>
        <w:jc w:val="center"/>
        <w:rPr>
          <w:lang w:val="en-GB"/>
        </w:rPr>
      </w:pPr>
      <w:r>
        <w:rPr>
          <w:noProof/>
          <w:lang w:val="it-IT" w:eastAsia="it-IT"/>
        </w:rPr>
        <w:drawing>
          <wp:inline distT="0" distB="0" distL="0" distR="0">
            <wp:extent cx="2301875" cy="2012542"/>
            <wp:effectExtent l="0" t="0" r="3175"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244" cy="2030351"/>
                    </a:xfrm>
                    <a:prstGeom prst="rect">
                      <a:avLst/>
                    </a:prstGeom>
                    <a:noFill/>
                    <a:ln>
                      <a:noFill/>
                    </a:ln>
                  </pic:spPr>
                </pic:pic>
              </a:graphicData>
            </a:graphic>
          </wp:inline>
        </w:drawing>
      </w:r>
    </w:p>
    <w:p w:rsidR="007F5DAA" w:rsidRDefault="007F5DAA" w:rsidP="007F5DAA">
      <w:pPr>
        <w:pStyle w:val="CaptionShort"/>
      </w:pPr>
      <w:r>
        <w:rPr>
          <w:b/>
        </w:rPr>
        <w:t>Figure 1.</w:t>
      </w:r>
      <w:r w:rsidR="00F1334B" w:rsidRPr="00F1334B">
        <w:t xml:space="preserve"> </w:t>
      </w:r>
      <w:r w:rsidR="00F1334B">
        <w:t>T</w:t>
      </w:r>
      <w:r w:rsidR="00F1334B" w:rsidRPr="00F1334B">
        <w:t xml:space="preserve">he logical path </w:t>
      </w:r>
      <w:r w:rsidR="000F3AD8">
        <w:t xml:space="preserve">used </w:t>
      </w:r>
      <w:r w:rsidR="00F1334B" w:rsidRPr="00F1334B">
        <w:t>for the definition of shore connection systems</w:t>
      </w:r>
      <w:r w:rsidR="00F1334B">
        <w:t>.</w:t>
      </w:r>
    </w:p>
    <w:p w:rsidR="009D082A" w:rsidRPr="001A3D96" w:rsidRDefault="001A3D96" w:rsidP="002368A8">
      <w:pPr>
        <w:pStyle w:val="Titolo1"/>
        <w:numPr>
          <w:ilvl w:val="0"/>
          <w:numId w:val="24"/>
        </w:numPr>
        <w:ind w:left="454" w:hanging="454"/>
        <w:rPr>
          <w:lang w:val="en-GB"/>
        </w:rPr>
      </w:pPr>
      <w:r w:rsidRPr="001A3D96">
        <w:rPr>
          <w:lang w:val="en-GB"/>
        </w:rPr>
        <w:t xml:space="preserve">The </w:t>
      </w:r>
      <w:r w:rsidR="002A38CD" w:rsidRPr="001A3D96">
        <w:rPr>
          <w:lang w:val="en-GB"/>
        </w:rPr>
        <w:t>evolu</w:t>
      </w:r>
      <w:r w:rsidRPr="001A3D96">
        <w:rPr>
          <w:lang w:val="en-GB"/>
        </w:rPr>
        <w:t xml:space="preserve">tion of </w:t>
      </w:r>
      <w:r w:rsidR="002A38CD" w:rsidRPr="001A3D96">
        <w:rPr>
          <w:lang w:val="en-GB"/>
        </w:rPr>
        <w:t xml:space="preserve">cold ironing </w:t>
      </w:r>
      <w:r w:rsidRPr="001A3D96">
        <w:rPr>
          <w:lang w:val="en-GB"/>
        </w:rPr>
        <w:t>of military ships and the common denominator: the growth of power</w:t>
      </w:r>
    </w:p>
    <w:p w:rsidR="001A3D96" w:rsidRDefault="001A3D96" w:rsidP="0076535B">
      <w:pPr>
        <w:ind w:firstLine="0"/>
        <w:rPr>
          <w:lang w:val="en-GB"/>
        </w:rPr>
      </w:pPr>
      <w:r w:rsidRPr="001A3D96">
        <w:rPr>
          <w:lang w:val="en-GB"/>
        </w:rPr>
        <w:t xml:space="preserve">Since the early 70s, all military vessels moored at the main naval </w:t>
      </w:r>
      <w:r w:rsidR="00891FD2">
        <w:rPr>
          <w:lang w:val="en-GB"/>
        </w:rPr>
        <w:t>bases</w:t>
      </w:r>
      <w:r w:rsidRPr="001A3D96">
        <w:rPr>
          <w:lang w:val="en-GB"/>
        </w:rPr>
        <w:t xml:space="preserve"> (</w:t>
      </w:r>
      <w:r w:rsidR="00891FD2">
        <w:rPr>
          <w:lang w:val="en-GB"/>
        </w:rPr>
        <w:t xml:space="preserve">“Arsenale </w:t>
      </w:r>
      <w:r w:rsidRPr="001A3D96">
        <w:rPr>
          <w:lang w:val="en-GB"/>
        </w:rPr>
        <w:t>MMI</w:t>
      </w:r>
      <w:r w:rsidR="00891FD2">
        <w:rPr>
          <w:lang w:val="en-GB"/>
        </w:rPr>
        <w:t>”</w:t>
      </w:r>
      <w:r w:rsidRPr="001A3D96">
        <w:rPr>
          <w:lang w:val="en-GB"/>
        </w:rPr>
        <w:t xml:space="preserve"> of La Spezia and </w:t>
      </w:r>
      <w:r w:rsidR="00891FD2">
        <w:rPr>
          <w:lang w:val="en-GB"/>
        </w:rPr>
        <w:t>“</w:t>
      </w:r>
      <w:r w:rsidRPr="001A3D96">
        <w:rPr>
          <w:lang w:val="en-GB"/>
        </w:rPr>
        <w:t>Arsenal</w:t>
      </w:r>
      <w:r w:rsidR="00891FD2">
        <w:rPr>
          <w:lang w:val="en-GB"/>
        </w:rPr>
        <w:t>e MMI”</w:t>
      </w:r>
      <w:r w:rsidRPr="001A3D96">
        <w:rPr>
          <w:lang w:val="en-GB"/>
        </w:rPr>
        <w:t xml:space="preserve"> of Taranto) were electrically powered from </w:t>
      </w:r>
      <w:r w:rsidR="00F050D0">
        <w:rPr>
          <w:lang w:val="en-GB"/>
        </w:rPr>
        <w:t>the shore</w:t>
      </w:r>
      <w:r w:rsidRPr="001A3D96">
        <w:rPr>
          <w:lang w:val="en-GB"/>
        </w:rPr>
        <w:t xml:space="preserve"> at 440 V @ 60 Hz or 380 V @ </w:t>
      </w:r>
      <w:r w:rsidR="00F050D0">
        <w:rPr>
          <w:lang w:val="en-GB"/>
        </w:rPr>
        <w:t>50 Hz, with limited load requirement of</w:t>
      </w:r>
      <w:r w:rsidRPr="000B232F">
        <w:rPr>
          <w:lang w:val="en-GB"/>
        </w:rPr>
        <w:t xml:space="preserve"> </w:t>
      </w:r>
      <w:r w:rsidR="00891FD2" w:rsidRPr="000B232F">
        <w:rPr>
          <w:lang w:val="en-GB"/>
        </w:rPr>
        <w:t xml:space="preserve">up to about </w:t>
      </w:r>
      <w:r w:rsidRPr="000B232F">
        <w:rPr>
          <w:lang w:val="en-GB"/>
        </w:rPr>
        <w:t>0.5 MVA.</w:t>
      </w:r>
    </w:p>
    <w:p w:rsidR="007B3DCA" w:rsidRDefault="007B3DCA" w:rsidP="007C0F65">
      <w:pPr>
        <w:ind w:firstLine="567"/>
        <w:rPr>
          <w:lang w:val="en-GB"/>
        </w:rPr>
      </w:pPr>
      <w:r w:rsidRPr="00B409B4">
        <w:rPr>
          <w:lang w:val="en-GB"/>
        </w:rPr>
        <w:t xml:space="preserve">The executive project of the electrical installation of the Mar Grande Naval Station of Taranto (SNMG), today the main Naval Base of the MMI, is dated 1998 and was intended to ensure the power supply to ships that would have been housed in a few years. </w:t>
      </w:r>
      <w:r w:rsidRPr="007B3DCA">
        <w:rPr>
          <w:lang w:val="en-GB"/>
        </w:rPr>
        <w:t>The SCSs had to operate according to the V</w:t>
      </w:r>
      <w:r w:rsidR="00F829B0">
        <w:rPr>
          <w:lang w:val="en-GB"/>
        </w:rPr>
        <w:t>oltage</w:t>
      </w:r>
      <w:r w:rsidRPr="007B3DCA">
        <w:rPr>
          <w:lang w:val="en-GB"/>
        </w:rPr>
        <w:t>/f</w:t>
      </w:r>
      <w:r w:rsidR="00F829B0">
        <w:rPr>
          <w:lang w:val="en-GB"/>
        </w:rPr>
        <w:t>requency</w:t>
      </w:r>
      <w:r w:rsidRPr="007B3DCA">
        <w:rPr>
          <w:lang w:val="en-GB"/>
        </w:rPr>
        <w:t xml:space="preserve"> levels mentioned above, but guaranteed a power up to the order of 1.8-2.3 MVA per Unit. These power levels allowed the major units to be fed with </w:t>
      </w:r>
      <w:r w:rsidR="00F050D0">
        <w:rPr>
          <w:lang w:val="en-GB"/>
        </w:rPr>
        <w:t xml:space="preserve">an </w:t>
      </w:r>
      <w:r w:rsidRPr="007B3DCA">
        <w:rPr>
          <w:lang w:val="en-GB"/>
        </w:rPr>
        <w:t>adequate margin, such as ITS Garibaldi (1.6 MVA) or the two DDGs Durand de la Penne Class (0.8 MVA).</w:t>
      </w:r>
    </w:p>
    <w:p w:rsidR="00811E68" w:rsidRPr="00881DF5" w:rsidRDefault="00811E68" w:rsidP="007C0F65">
      <w:pPr>
        <w:ind w:firstLine="567"/>
        <w:rPr>
          <w:lang w:val="en-GB"/>
        </w:rPr>
      </w:pPr>
      <w:r w:rsidRPr="00F766C1">
        <w:rPr>
          <w:lang w:val="en-GB"/>
        </w:rPr>
        <w:t xml:space="preserve">A turning point was set in 2002 by the study of the power supply of the </w:t>
      </w:r>
      <w:r w:rsidR="000B232F">
        <w:rPr>
          <w:lang w:val="en-GB"/>
        </w:rPr>
        <w:t>n</w:t>
      </w:r>
      <w:r w:rsidRPr="00F766C1">
        <w:rPr>
          <w:lang w:val="en-GB"/>
        </w:rPr>
        <w:t xml:space="preserve">ew </w:t>
      </w:r>
      <w:r w:rsidR="000B232F">
        <w:rPr>
          <w:lang w:val="en-GB"/>
        </w:rPr>
        <w:t>m</w:t>
      </w:r>
      <w:r w:rsidRPr="00F766C1">
        <w:rPr>
          <w:lang w:val="en-GB"/>
        </w:rPr>
        <w:t xml:space="preserve">ajor </w:t>
      </w:r>
      <w:r w:rsidR="000B232F">
        <w:rPr>
          <w:lang w:val="en-GB"/>
        </w:rPr>
        <w:t>ship</w:t>
      </w:r>
      <w:r w:rsidRPr="00F766C1">
        <w:rPr>
          <w:lang w:val="en-GB"/>
        </w:rPr>
        <w:t xml:space="preserve"> (Cavour Aircraft Carrier)</w:t>
      </w:r>
      <w:r w:rsidR="000B232F">
        <w:rPr>
          <w:lang w:val="en-GB"/>
        </w:rPr>
        <w:t xml:space="preserve">. </w:t>
      </w:r>
      <w:r w:rsidR="00896594">
        <w:rPr>
          <w:lang w:val="en-GB"/>
        </w:rPr>
        <w:t xml:space="preserve">It consisted </w:t>
      </w:r>
      <w:r w:rsidR="00F050D0">
        <w:rPr>
          <w:lang w:val="en-GB"/>
        </w:rPr>
        <w:t>of</w:t>
      </w:r>
      <w:r w:rsidRPr="00F766C1">
        <w:rPr>
          <w:lang w:val="en-GB"/>
        </w:rPr>
        <w:t xml:space="preserve"> the adoption of a distribution frequency of 50 Hz</w:t>
      </w:r>
      <w:r w:rsidR="00896594">
        <w:rPr>
          <w:lang w:val="en-GB"/>
        </w:rPr>
        <w:t>,</w:t>
      </w:r>
      <w:r w:rsidRPr="00F766C1">
        <w:rPr>
          <w:lang w:val="en-GB"/>
        </w:rPr>
        <w:t xml:space="preserve"> in order to use COTS (</w:t>
      </w:r>
      <w:r w:rsidR="00F829B0" w:rsidRPr="00F766C1">
        <w:rPr>
          <w:lang w:val="en-GB"/>
        </w:rPr>
        <w:t>commercial</w:t>
      </w:r>
      <w:r w:rsidR="00F766C1" w:rsidRPr="00F766C1">
        <w:rPr>
          <w:lang w:val="en-GB"/>
        </w:rPr>
        <w:t xml:space="preserve"> </w:t>
      </w:r>
      <w:r w:rsidRPr="00F766C1">
        <w:rPr>
          <w:lang w:val="en-GB"/>
        </w:rPr>
        <w:t xml:space="preserve">off-the-shelf) and a SCS at the same frequency used in </w:t>
      </w:r>
      <w:r w:rsidR="00F766C1">
        <w:rPr>
          <w:lang w:val="en-GB"/>
        </w:rPr>
        <w:t>Italy</w:t>
      </w:r>
      <w:r w:rsidRPr="00F766C1">
        <w:rPr>
          <w:lang w:val="en-GB"/>
        </w:rPr>
        <w:t xml:space="preserve"> (as well as in the rest of Europe). </w:t>
      </w:r>
      <w:r w:rsidRPr="00B409B4">
        <w:rPr>
          <w:lang w:val="en-GB"/>
        </w:rPr>
        <w:t>The choice, initially in contrast to the N</w:t>
      </w:r>
      <w:r w:rsidR="00F050D0">
        <w:rPr>
          <w:lang w:val="en-GB"/>
        </w:rPr>
        <w:t>ATO or International contexts, where</w:t>
      </w:r>
      <w:r w:rsidRPr="00B409B4">
        <w:rPr>
          <w:lang w:val="en-GB"/>
        </w:rPr>
        <w:t xml:space="preserve"> the use of 60 Hz was </w:t>
      </w:r>
      <w:r w:rsidR="00F829B0" w:rsidRPr="00B409B4">
        <w:rPr>
          <w:lang w:val="en-GB"/>
        </w:rPr>
        <w:t>favoured</w:t>
      </w:r>
      <w:r w:rsidRPr="00B409B4">
        <w:rPr>
          <w:lang w:val="en-GB"/>
        </w:rPr>
        <w:t>, has not</w:t>
      </w:r>
      <w:r w:rsidR="004B74E3">
        <w:rPr>
          <w:lang w:val="en-GB"/>
        </w:rPr>
        <w:t xml:space="preserve"> yet </w:t>
      </w:r>
      <w:r w:rsidRPr="00B409B4">
        <w:rPr>
          <w:lang w:val="en-GB"/>
        </w:rPr>
        <w:t>highlighted any operational shortcomings of the Unit over the years</w:t>
      </w:r>
      <w:r w:rsidR="004B74E3">
        <w:rPr>
          <w:lang w:val="en-GB"/>
        </w:rPr>
        <w:t>.</w:t>
      </w:r>
      <w:r w:rsidRPr="00B409B4">
        <w:rPr>
          <w:lang w:val="en-GB"/>
        </w:rPr>
        <w:t xml:space="preserve"> </w:t>
      </w:r>
      <w:r w:rsidRPr="00881DF5">
        <w:rPr>
          <w:lang w:val="en-GB"/>
        </w:rPr>
        <w:t>Conversi</w:t>
      </w:r>
      <w:r w:rsidR="00F050D0">
        <w:rPr>
          <w:lang w:val="en-GB"/>
        </w:rPr>
        <w:t xml:space="preserve">on systems, rotating or static </w:t>
      </w:r>
      <w:r w:rsidR="00832D1E">
        <w:rPr>
          <w:lang w:val="en-GB"/>
        </w:rPr>
        <w:t>are now</w:t>
      </w:r>
      <w:r w:rsidR="00F050D0">
        <w:rPr>
          <w:lang w:val="en-GB"/>
        </w:rPr>
        <w:t xml:space="preserve"> </w:t>
      </w:r>
      <w:r w:rsidRPr="00881DF5">
        <w:rPr>
          <w:lang w:val="en-GB"/>
        </w:rPr>
        <w:t>technologically mature to</w:t>
      </w:r>
      <w:r w:rsidR="00832D1E">
        <w:rPr>
          <w:lang w:val="en-GB"/>
        </w:rPr>
        <w:t xml:space="preserve"> be</w:t>
      </w:r>
      <w:r w:rsidR="00185702">
        <w:rPr>
          <w:lang w:val="en-GB"/>
        </w:rPr>
        <w:t xml:space="preserve"> </w:t>
      </w:r>
      <w:r w:rsidRPr="00881DF5">
        <w:rPr>
          <w:lang w:val="en-GB"/>
        </w:rPr>
        <w:t>installed on board military ships without increasing weight and size</w:t>
      </w:r>
      <w:r w:rsidR="00832D1E">
        <w:rPr>
          <w:lang w:val="en-GB"/>
        </w:rPr>
        <w:t xml:space="preserve">. The weapon system has a has a </w:t>
      </w:r>
      <w:r w:rsidRPr="00881DF5">
        <w:rPr>
          <w:lang w:val="en-GB"/>
        </w:rPr>
        <w:t xml:space="preserve">limited power load demand </w:t>
      </w:r>
      <w:r w:rsidR="00832D1E">
        <w:rPr>
          <w:lang w:val="en-GB"/>
        </w:rPr>
        <w:t>of about 10%,</w:t>
      </w:r>
      <w:r w:rsidRPr="00881DF5">
        <w:rPr>
          <w:lang w:val="en-GB"/>
        </w:rPr>
        <w:t xml:space="preserve"> compared to total po</w:t>
      </w:r>
      <w:r w:rsidR="00832D1E">
        <w:rPr>
          <w:lang w:val="en-GB"/>
        </w:rPr>
        <w:t>wer installed on-</w:t>
      </w:r>
      <w:r w:rsidRPr="00881DF5">
        <w:rPr>
          <w:lang w:val="en-GB"/>
        </w:rPr>
        <w:t>board.</w:t>
      </w:r>
      <w:r w:rsidR="00832D1E">
        <w:rPr>
          <w:lang w:val="en-GB"/>
        </w:rPr>
        <w:t xml:space="preserve"> This has </w:t>
      </w:r>
      <w:r w:rsidR="00832D1E" w:rsidRPr="00881DF5">
        <w:rPr>
          <w:lang w:val="en-GB"/>
        </w:rPr>
        <w:t>ensured</w:t>
      </w:r>
      <w:r w:rsidR="00832D1E">
        <w:rPr>
          <w:lang w:val="en-GB"/>
        </w:rPr>
        <w:t xml:space="preserve"> </w:t>
      </w:r>
      <w:r w:rsidR="00832D1E" w:rsidRPr="00881DF5">
        <w:rPr>
          <w:lang w:val="en-GB"/>
        </w:rPr>
        <w:t>a 60 Hz sub-network</w:t>
      </w:r>
      <w:r w:rsidR="00832D1E">
        <w:rPr>
          <w:lang w:val="en-GB"/>
        </w:rPr>
        <w:t xml:space="preserve"> that complies with</w:t>
      </w:r>
      <w:r w:rsidR="00832D1E" w:rsidRPr="00881DF5">
        <w:rPr>
          <w:lang w:val="en-GB"/>
        </w:rPr>
        <w:t xml:space="preserve"> NATO standards</w:t>
      </w:r>
      <w:r w:rsidR="00C1475E">
        <w:rPr>
          <w:lang w:val="en-GB"/>
        </w:rPr>
        <w:t xml:space="preserve"> [2]</w:t>
      </w:r>
      <w:r w:rsidR="00832D1E">
        <w:rPr>
          <w:lang w:val="en-GB"/>
        </w:rPr>
        <w:t>.</w:t>
      </w:r>
    </w:p>
    <w:p w:rsidR="00811E68" w:rsidRDefault="00811E68" w:rsidP="007C0F65">
      <w:pPr>
        <w:ind w:firstLine="567"/>
        <w:rPr>
          <w:lang w:val="en-GB"/>
        </w:rPr>
      </w:pPr>
      <w:r w:rsidRPr="00B409B4">
        <w:rPr>
          <w:lang w:val="en-GB"/>
        </w:rPr>
        <w:t xml:space="preserve">On the other hand, the voltage level chosen for the distribution (660V) and </w:t>
      </w:r>
      <w:r w:rsidR="00832D1E">
        <w:rPr>
          <w:lang w:val="en-GB"/>
        </w:rPr>
        <w:t>load demand</w:t>
      </w:r>
      <w:r w:rsidR="00A73339">
        <w:rPr>
          <w:lang w:val="en-GB"/>
        </w:rPr>
        <w:t xml:space="preserve"> in the port (about 4 MVA), favoured </w:t>
      </w:r>
      <w:r w:rsidR="007C0F65">
        <w:rPr>
          <w:lang w:val="en-GB"/>
        </w:rPr>
        <w:t xml:space="preserve">an </w:t>
      </w:r>
      <w:r w:rsidR="007C0F65" w:rsidRPr="00B409B4">
        <w:rPr>
          <w:lang w:val="en-GB"/>
        </w:rPr>
        <w:t>innovative solution</w:t>
      </w:r>
      <w:r w:rsidRPr="00B409B4">
        <w:rPr>
          <w:lang w:val="en-GB"/>
        </w:rPr>
        <w:t xml:space="preserve"> for the management of the electrical connection operations of the ship to the ground network compared to the traditional methods </w:t>
      </w:r>
      <w:r w:rsidR="00A73339">
        <w:rPr>
          <w:lang w:val="en-GB"/>
        </w:rPr>
        <w:t>illustrated in</w:t>
      </w:r>
      <w:r w:rsidRPr="00B409B4">
        <w:rPr>
          <w:lang w:val="en-GB"/>
        </w:rPr>
        <w:t xml:space="preserve"> </w:t>
      </w:r>
      <w:r w:rsidR="00A73339">
        <w:rPr>
          <w:lang w:val="en-GB"/>
        </w:rPr>
        <w:t>Figure 2</w:t>
      </w:r>
      <w:r w:rsidRPr="00B409B4">
        <w:rPr>
          <w:lang w:val="en-GB"/>
        </w:rPr>
        <w:t>.</w:t>
      </w:r>
    </w:p>
    <w:p w:rsidR="00C07214" w:rsidRPr="003662E4" w:rsidRDefault="00C07214" w:rsidP="007F5DAA">
      <w:pPr>
        <w:ind w:firstLine="0"/>
        <w:jc w:val="center"/>
        <w:rPr>
          <w:lang w:val="en-GB"/>
        </w:rPr>
      </w:pPr>
      <w:r w:rsidRPr="003662E4">
        <w:rPr>
          <w:noProof/>
          <w:lang w:val="it-IT" w:eastAsia="it-IT"/>
        </w:rPr>
        <w:lastRenderedPageBreak/>
        <w:drawing>
          <wp:inline distT="0" distB="0" distL="0" distR="0" wp14:anchorId="7BBEF4B6" wp14:editId="67BEE080">
            <wp:extent cx="1767092" cy="1367720"/>
            <wp:effectExtent l="0" t="0" r="5080" b="4445"/>
            <wp:docPr id="288" name="Immagine 288" descr="C:\Cataneo\documenti\Lavoro\07.SPECIALIZZAZIONE\tesi specializzazione\TESI_12.01.2018\00.Presentazione+Abstract\IMG-2018012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taneo\documenti\Lavoro\07.SPECIALIZZAZIONE\tesi specializzazione\TESI_12.01.2018\00.Presentazione+Abstract\IMG-20180128-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7873" cy="1376065"/>
                    </a:xfrm>
                    <a:prstGeom prst="rect">
                      <a:avLst/>
                    </a:prstGeom>
                    <a:noFill/>
                    <a:ln>
                      <a:noFill/>
                    </a:ln>
                  </pic:spPr>
                </pic:pic>
              </a:graphicData>
            </a:graphic>
          </wp:inline>
        </w:drawing>
      </w:r>
      <w:r w:rsidR="00E14914" w:rsidRPr="003662E4">
        <w:rPr>
          <w:noProof/>
          <w:lang w:val="en-GB" w:eastAsia="it-IT"/>
        </w:rPr>
        <w:t xml:space="preserve"> </w:t>
      </w:r>
      <w:r w:rsidR="00E14914" w:rsidRPr="003662E4">
        <w:rPr>
          <w:noProof/>
          <w:lang w:val="it-IT" w:eastAsia="it-IT"/>
        </w:rPr>
        <w:drawing>
          <wp:inline distT="0" distB="0" distL="0" distR="0" wp14:anchorId="4D80D4A4" wp14:editId="626A644E">
            <wp:extent cx="2602954" cy="1333324"/>
            <wp:effectExtent l="0" t="0" r="698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09966" cy="1336916"/>
                    </a:xfrm>
                    <a:prstGeom prst="rect">
                      <a:avLst/>
                    </a:prstGeom>
                  </pic:spPr>
                </pic:pic>
              </a:graphicData>
            </a:graphic>
          </wp:inline>
        </w:drawing>
      </w:r>
    </w:p>
    <w:p w:rsidR="007C0F65" w:rsidRPr="003662E4" w:rsidRDefault="00F1334B" w:rsidP="00101629">
      <w:pPr>
        <w:pStyle w:val="CaptionShort"/>
        <w:rPr>
          <w:lang w:val="en-GB"/>
        </w:rPr>
      </w:pPr>
      <w:r w:rsidRPr="003662E4">
        <w:rPr>
          <w:b/>
          <w:lang w:val="en-GB"/>
        </w:rPr>
        <w:t xml:space="preserve">Figure </w:t>
      </w:r>
      <w:r w:rsidR="00B32F0F" w:rsidRPr="003662E4">
        <w:rPr>
          <w:b/>
          <w:lang w:val="en-GB"/>
        </w:rPr>
        <w:t>2</w:t>
      </w:r>
      <w:r w:rsidRPr="003662E4">
        <w:rPr>
          <w:b/>
          <w:lang w:val="en-GB"/>
        </w:rPr>
        <w:t>.</w:t>
      </w:r>
      <w:r w:rsidRPr="003662E4">
        <w:rPr>
          <w:lang w:val="en-GB"/>
        </w:rPr>
        <w:t xml:space="preserve"> </w:t>
      </w:r>
      <w:r w:rsidR="00B32F0F" w:rsidRPr="003662E4">
        <w:rPr>
          <w:lang w:val="en-GB"/>
        </w:rPr>
        <w:t>Traditional operations of laying cables for shore connection (ITS Garibaldi</w:t>
      </w:r>
      <w:r w:rsidR="00E14914" w:rsidRPr="003662E4">
        <w:rPr>
          <w:lang w:val="en-GB"/>
        </w:rPr>
        <w:t>, on the left</w:t>
      </w:r>
      <w:r w:rsidR="00B32F0F" w:rsidRPr="003662E4">
        <w:rPr>
          <w:lang w:val="en-GB"/>
        </w:rPr>
        <w:t>)</w:t>
      </w:r>
      <w:r w:rsidR="00E14914" w:rsidRPr="003662E4">
        <w:rPr>
          <w:lang w:val="en-GB"/>
        </w:rPr>
        <w:t xml:space="preserve"> and HVSC System from shore cabin to ship (ITS Cavour, on the right)</w:t>
      </w:r>
      <w:r w:rsidRPr="003662E4">
        <w:rPr>
          <w:lang w:val="en-GB"/>
        </w:rPr>
        <w:t>.</w:t>
      </w:r>
    </w:p>
    <w:p w:rsidR="001646A8" w:rsidRPr="00881DF5" w:rsidRDefault="00811E68" w:rsidP="007C0F65">
      <w:pPr>
        <w:ind w:firstLine="567"/>
        <w:rPr>
          <w:lang w:val="en-GB"/>
        </w:rPr>
      </w:pPr>
      <w:r w:rsidRPr="00185702">
        <w:rPr>
          <w:lang w:val="en-GB"/>
        </w:rPr>
        <w:t>The use of medium voltage, exclusively for cold ironing only, appeared the best solution</w:t>
      </w:r>
      <w:r w:rsidRPr="00B409B4">
        <w:rPr>
          <w:lang w:val="en-GB"/>
        </w:rPr>
        <w:t xml:space="preserve">. </w:t>
      </w:r>
      <w:r w:rsidR="00223ADA">
        <w:rPr>
          <w:lang w:val="en-GB"/>
        </w:rPr>
        <w:t>Thus, o</w:t>
      </w:r>
      <w:r w:rsidRPr="007C6DFD">
        <w:rPr>
          <w:lang w:val="en-GB"/>
        </w:rPr>
        <w:t xml:space="preserve">n board were installed </w:t>
      </w:r>
      <w:r w:rsidR="007C6DFD" w:rsidRPr="007C6DFD">
        <w:rPr>
          <w:lang w:val="en-GB"/>
        </w:rPr>
        <w:t>two</w:t>
      </w:r>
      <w:r w:rsidRPr="007C6DFD">
        <w:rPr>
          <w:lang w:val="en-GB"/>
        </w:rPr>
        <w:t xml:space="preserve"> 6000/660 V from 4.4 MVA (each) </w:t>
      </w:r>
      <w:r w:rsidR="002C522D">
        <w:rPr>
          <w:lang w:val="en-GB"/>
        </w:rPr>
        <w:t xml:space="preserve">shore connection </w:t>
      </w:r>
      <w:r w:rsidRPr="007C6DFD">
        <w:rPr>
          <w:lang w:val="en-GB"/>
        </w:rPr>
        <w:t>transformers</w:t>
      </w:r>
      <w:r w:rsidR="00223ADA">
        <w:rPr>
          <w:lang w:val="en-GB"/>
        </w:rPr>
        <w:t xml:space="preserve">. On the other hand, </w:t>
      </w:r>
      <w:r w:rsidRPr="007C6DFD">
        <w:rPr>
          <w:lang w:val="en-GB"/>
        </w:rPr>
        <w:t xml:space="preserve">in addition to the </w:t>
      </w:r>
      <w:r w:rsidR="00223ADA">
        <w:rPr>
          <w:lang w:val="en-GB"/>
        </w:rPr>
        <w:t xml:space="preserve">shore </w:t>
      </w:r>
      <w:r w:rsidRPr="007C6DFD">
        <w:rPr>
          <w:lang w:val="en-GB"/>
        </w:rPr>
        <w:t xml:space="preserve">transformer cabin, it was decided to use a cable management system that would have greatly simplified the connection operations. In this way, </w:t>
      </w:r>
      <w:r w:rsidR="00AE3AEB">
        <w:rPr>
          <w:lang w:val="en-GB"/>
        </w:rPr>
        <w:t xml:space="preserve">the ship </w:t>
      </w:r>
      <w:r w:rsidR="007C0F65">
        <w:rPr>
          <w:lang w:val="en-GB"/>
        </w:rPr>
        <w:t>was</w:t>
      </w:r>
      <w:r w:rsidR="00AE3AEB">
        <w:rPr>
          <w:lang w:val="en-GB"/>
        </w:rPr>
        <w:t xml:space="preserve"> freed space for specific dedicated equipment, such as the shore connection cables </w:t>
      </w:r>
      <w:r w:rsidRPr="007C6DFD">
        <w:rPr>
          <w:lang w:val="en-GB"/>
        </w:rPr>
        <w:t xml:space="preserve">(about 3 km estimated) and </w:t>
      </w:r>
      <w:r w:rsidR="00AE3AEB">
        <w:rPr>
          <w:lang w:val="en-GB"/>
        </w:rPr>
        <w:t xml:space="preserve">the </w:t>
      </w:r>
      <w:r w:rsidRPr="007C6DFD">
        <w:rPr>
          <w:lang w:val="en-GB"/>
        </w:rPr>
        <w:t xml:space="preserve">respective </w:t>
      </w:r>
      <w:r w:rsidR="00AE3AEB">
        <w:rPr>
          <w:lang w:val="en-GB"/>
        </w:rPr>
        <w:t xml:space="preserve">motorized reels </w:t>
      </w:r>
      <w:r w:rsidRPr="007C6DFD">
        <w:rPr>
          <w:lang w:val="en-GB"/>
        </w:rPr>
        <w:t>girders</w:t>
      </w:r>
      <w:r w:rsidR="00722AA9">
        <w:rPr>
          <w:lang w:val="en-GB"/>
        </w:rPr>
        <w:t xml:space="preserve"> (traditionally both on board)</w:t>
      </w:r>
      <w:r w:rsidRPr="007C6DFD">
        <w:rPr>
          <w:lang w:val="en-GB"/>
        </w:rPr>
        <w:t xml:space="preserve">, whose volumes and weights would have been superior to those of the </w:t>
      </w:r>
      <w:r w:rsidR="007C6DFD" w:rsidRPr="007C6DFD">
        <w:rPr>
          <w:lang w:val="en-GB"/>
        </w:rPr>
        <w:t>two</w:t>
      </w:r>
      <w:r w:rsidRPr="007C6DFD">
        <w:rPr>
          <w:lang w:val="en-GB"/>
        </w:rPr>
        <w:t xml:space="preserve"> </w:t>
      </w:r>
      <w:r w:rsidR="00722AA9">
        <w:rPr>
          <w:lang w:val="en-GB"/>
        </w:rPr>
        <w:t>shore connection</w:t>
      </w:r>
      <w:r w:rsidRPr="007C6DFD">
        <w:rPr>
          <w:lang w:val="en-GB"/>
        </w:rPr>
        <w:t xml:space="preserve"> transformers. Although marking a new trend, however, the </w:t>
      </w:r>
      <w:r w:rsidR="007C6DFD" w:rsidRPr="007C6DFD">
        <w:rPr>
          <w:lang w:val="en-GB"/>
        </w:rPr>
        <w:t>ITS</w:t>
      </w:r>
      <w:r w:rsidRPr="007C6DFD">
        <w:rPr>
          <w:lang w:val="en-GB"/>
        </w:rPr>
        <w:t xml:space="preserve"> Cavour experience of the beginning of the millennium represented an isolated case, without becoming a policy/constraint for the naval designer and for the infrastructural designer</w:t>
      </w:r>
      <w:r w:rsidR="009C534E">
        <w:rPr>
          <w:lang w:val="en-GB"/>
        </w:rPr>
        <w:t xml:space="preserve">, as indicated in </w:t>
      </w:r>
      <w:proofErr w:type="spellStart"/>
      <w:r w:rsidR="009C534E" w:rsidRPr="009C534E">
        <w:rPr>
          <w:lang w:val="en-GB"/>
        </w:rPr>
        <w:t>Sulligoi</w:t>
      </w:r>
      <w:proofErr w:type="spellEnd"/>
      <w:r w:rsidR="009C534E" w:rsidRPr="009C534E">
        <w:rPr>
          <w:lang w:val="en-GB"/>
        </w:rPr>
        <w:t xml:space="preserve"> et al.</w:t>
      </w:r>
      <w:r w:rsidR="00CD514D">
        <w:rPr>
          <w:lang w:val="en-GB"/>
        </w:rPr>
        <w:t xml:space="preserve"> [3]</w:t>
      </w:r>
      <w:r w:rsidRPr="007C6DFD">
        <w:rPr>
          <w:lang w:val="en-GB"/>
        </w:rPr>
        <w:t>.</w:t>
      </w:r>
      <w:r w:rsidR="009C534E">
        <w:rPr>
          <w:lang w:val="en-GB"/>
        </w:rPr>
        <w:t xml:space="preserve"> </w:t>
      </w:r>
      <w:bookmarkStart w:id="0" w:name="_GoBack"/>
      <w:bookmarkEnd w:id="0"/>
      <w:r w:rsidR="007C6DFD" w:rsidRPr="007C6DFD">
        <w:rPr>
          <w:lang w:val="en-GB"/>
        </w:rPr>
        <w:t xml:space="preserve">The first decade of the new millennium was characterized by the Italian-French </w:t>
      </w:r>
      <w:r w:rsidR="007C0F65" w:rsidRPr="007C6DFD">
        <w:rPr>
          <w:lang w:val="en-GB"/>
        </w:rPr>
        <w:t>Program</w:t>
      </w:r>
      <w:r w:rsidR="007C6DFD" w:rsidRPr="007C6DFD">
        <w:rPr>
          <w:lang w:val="en-GB"/>
        </w:rPr>
        <w:t xml:space="preserve"> European Multi-Mission Frig</w:t>
      </w:r>
      <w:r w:rsidR="007C6DFD">
        <w:rPr>
          <w:lang w:val="en-GB"/>
        </w:rPr>
        <w:t>ate</w:t>
      </w:r>
      <w:r w:rsidR="007C6DFD" w:rsidRPr="007C6DFD">
        <w:rPr>
          <w:lang w:val="en-GB"/>
        </w:rPr>
        <w:t>s (FREMM), for the construction of 10 Naval Units in place of those of the M</w:t>
      </w:r>
      <w:r w:rsidR="007C6DFD">
        <w:rPr>
          <w:lang w:val="en-GB"/>
        </w:rPr>
        <w:t>aestrale C</w:t>
      </w:r>
      <w:r w:rsidR="007C6DFD" w:rsidRPr="007C6DFD">
        <w:rPr>
          <w:lang w:val="en-GB"/>
        </w:rPr>
        <w:t xml:space="preserve">lass. </w:t>
      </w:r>
      <w:r w:rsidR="007C6DFD" w:rsidRPr="00B409B4">
        <w:rPr>
          <w:lang w:val="en-GB"/>
        </w:rPr>
        <w:t>In this case, it was not convenient to manage 50/60 Hz conversion systems to supply power to the combat system and TLC loads</w:t>
      </w:r>
      <w:r w:rsidR="00185702">
        <w:rPr>
          <w:lang w:val="en-GB"/>
        </w:rPr>
        <w:t>. In fact, these systems were</w:t>
      </w:r>
      <w:r w:rsidR="007C6DFD" w:rsidRPr="00B409B4">
        <w:rPr>
          <w:lang w:val="en-GB"/>
        </w:rPr>
        <w:t xml:space="preserve"> much more energy-consuming than in the past. The electrical distribution on board was thus built on two voltage levels, 6600-440 V @ 60 Hz, each with a dedicated shore panel. Also in this case, there was a significant growth in terms of power demand </w:t>
      </w:r>
      <w:r w:rsidR="001F1589">
        <w:rPr>
          <w:lang w:val="en-GB"/>
        </w:rPr>
        <w:t xml:space="preserve">of the ships </w:t>
      </w:r>
      <w:r w:rsidR="007C6DFD" w:rsidRPr="00B409B4">
        <w:rPr>
          <w:lang w:val="en-GB"/>
        </w:rPr>
        <w:t>for the</w:t>
      </w:r>
      <w:r w:rsidR="001F1589">
        <w:rPr>
          <w:lang w:val="en-GB"/>
        </w:rPr>
        <w:t xml:space="preserve"> cold </w:t>
      </w:r>
      <w:r w:rsidR="001F1589" w:rsidRPr="00106BC9">
        <w:rPr>
          <w:lang w:val="en-GB"/>
        </w:rPr>
        <w:t>ironing</w:t>
      </w:r>
      <w:r w:rsidR="00185702">
        <w:rPr>
          <w:lang w:val="en-GB"/>
        </w:rPr>
        <w:t>: f</w:t>
      </w:r>
      <w:r w:rsidR="007C6DFD" w:rsidRPr="00106BC9">
        <w:rPr>
          <w:lang w:val="en-GB"/>
        </w:rPr>
        <w:t>rom the 0.5 MVA required by the M</w:t>
      </w:r>
      <w:r w:rsidR="00881DF5" w:rsidRPr="00106BC9">
        <w:rPr>
          <w:lang w:val="en-GB"/>
        </w:rPr>
        <w:t>ae</w:t>
      </w:r>
      <w:r w:rsidR="005A082B" w:rsidRPr="00106BC9">
        <w:rPr>
          <w:lang w:val="en-GB"/>
        </w:rPr>
        <w:t>s</w:t>
      </w:r>
      <w:r w:rsidR="00881DF5" w:rsidRPr="00106BC9">
        <w:rPr>
          <w:lang w:val="en-GB"/>
        </w:rPr>
        <w:t>trale Frigates</w:t>
      </w:r>
      <w:r w:rsidR="007C6DFD" w:rsidRPr="00106BC9">
        <w:rPr>
          <w:lang w:val="en-GB"/>
        </w:rPr>
        <w:t xml:space="preserve">, </w:t>
      </w:r>
      <w:r w:rsidR="00185702">
        <w:rPr>
          <w:lang w:val="en-GB"/>
        </w:rPr>
        <w:t>it</w:t>
      </w:r>
      <w:r w:rsidR="007C6DFD" w:rsidRPr="00106BC9">
        <w:rPr>
          <w:lang w:val="en-GB"/>
        </w:rPr>
        <w:t xml:space="preserve"> passed to around 1.8 MVA for</w:t>
      </w:r>
      <w:r w:rsidR="007C6DFD" w:rsidRPr="00881DF5">
        <w:rPr>
          <w:lang w:val="en-GB"/>
        </w:rPr>
        <w:t xml:space="preserve"> each FREMM. The infrastructural adaptation of the bases did not require a transition to medium voltage, </w:t>
      </w:r>
      <w:r w:rsidR="00881DF5">
        <w:rPr>
          <w:lang w:val="en-GB"/>
        </w:rPr>
        <w:t>as</w:t>
      </w:r>
      <w:r w:rsidR="007C6DFD" w:rsidRPr="00881DF5">
        <w:rPr>
          <w:lang w:val="en-GB"/>
        </w:rPr>
        <w:t xml:space="preserve"> the existing 440V @ 60Hz shore connection systems were used</w:t>
      </w:r>
      <w:r w:rsidR="00BF0341">
        <w:rPr>
          <w:lang w:val="en-GB"/>
        </w:rPr>
        <w:t xml:space="preserve">. However, the use of electrical power was higher and the </w:t>
      </w:r>
      <w:r w:rsidR="007C6DFD" w:rsidRPr="00881DF5">
        <w:rPr>
          <w:lang w:val="en-GB"/>
        </w:rPr>
        <w:t xml:space="preserve">management </w:t>
      </w:r>
      <w:r w:rsidR="00BF0341">
        <w:rPr>
          <w:lang w:val="en-GB"/>
        </w:rPr>
        <w:t xml:space="preserve">was more complicated </w:t>
      </w:r>
      <w:r w:rsidR="006E0756">
        <w:rPr>
          <w:lang w:val="en-GB"/>
        </w:rPr>
        <w:t xml:space="preserve">for the ship personnel </w:t>
      </w:r>
      <w:r w:rsidR="007C6DFD" w:rsidRPr="00881DF5">
        <w:rPr>
          <w:lang w:val="en-GB"/>
        </w:rPr>
        <w:t>due to the absence of handling automated.</w:t>
      </w:r>
      <w:r w:rsidR="001B3CA9" w:rsidRPr="00881DF5">
        <w:rPr>
          <w:lang w:val="en-GB"/>
        </w:rPr>
        <w:t xml:space="preserve"> </w:t>
      </w:r>
    </w:p>
    <w:p w:rsidR="0073007A" w:rsidRDefault="0073007A" w:rsidP="007C0F65">
      <w:pPr>
        <w:pStyle w:val="NormaleWeb"/>
        <w:shd w:val="clear" w:color="auto" w:fill="FFFFFF"/>
        <w:spacing w:before="0" w:beforeAutospacing="0" w:after="0" w:afterAutospacing="0"/>
        <w:ind w:firstLine="567"/>
        <w:jc w:val="both"/>
        <w:rPr>
          <w:rFonts w:eastAsia="MS Mincho"/>
          <w:sz w:val="20"/>
          <w:lang w:val="en-GB" w:eastAsia="ja-JP"/>
        </w:rPr>
      </w:pPr>
      <w:r w:rsidRPr="0073007A">
        <w:rPr>
          <w:rFonts w:eastAsia="MS Mincho"/>
          <w:sz w:val="20"/>
          <w:lang w:val="en-GB" w:eastAsia="ja-JP"/>
        </w:rPr>
        <w:t>The “</w:t>
      </w:r>
      <w:r w:rsidR="00DB2111" w:rsidRPr="0073007A">
        <w:rPr>
          <w:rFonts w:eastAsia="MS Mincho"/>
          <w:sz w:val="20"/>
          <w:lang w:val="en-GB" w:eastAsia="ja-JP"/>
        </w:rPr>
        <w:t>Programma di Rinnovamento</w:t>
      </w:r>
      <w:r w:rsidRPr="0073007A">
        <w:rPr>
          <w:rFonts w:eastAsia="MS Mincho"/>
          <w:sz w:val="20"/>
          <w:lang w:val="en-GB" w:eastAsia="ja-JP"/>
        </w:rPr>
        <w:t xml:space="preserve">” includes the construction of 7 Multipurpose Patrol </w:t>
      </w:r>
      <w:r>
        <w:rPr>
          <w:rFonts w:eastAsia="MS Mincho"/>
          <w:sz w:val="20"/>
          <w:lang w:val="en-GB" w:eastAsia="ja-JP"/>
        </w:rPr>
        <w:t>Ship</w:t>
      </w:r>
      <w:r w:rsidRPr="0073007A">
        <w:rPr>
          <w:rFonts w:eastAsia="MS Mincho"/>
          <w:sz w:val="20"/>
          <w:lang w:val="en-GB" w:eastAsia="ja-JP"/>
        </w:rPr>
        <w:t xml:space="preserve"> (PPA), an amphibious </w:t>
      </w:r>
      <w:r>
        <w:rPr>
          <w:rFonts w:eastAsia="MS Mincho"/>
          <w:sz w:val="20"/>
          <w:lang w:val="en-GB" w:eastAsia="ja-JP"/>
        </w:rPr>
        <w:t>U</w:t>
      </w:r>
      <w:r w:rsidRPr="0073007A">
        <w:rPr>
          <w:rFonts w:eastAsia="MS Mincho"/>
          <w:sz w:val="20"/>
          <w:lang w:val="en-GB" w:eastAsia="ja-JP"/>
        </w:rPr>
        <w:t>nit (</w:t>
      </w:r>
      <w:r>
        <w:rPr>
          <w:rFonts w:eastAsia="MS Mincho"/>
          <w:sz w:val="20"/>
          <w:lang w:val="en-GB" w:eastAsia="ja-JP"/>
        </w:rPr>
        <w:t xml:space="preserve">LHD, </w:t>
      </w:r>
      <w:r w:rsidRPr="0073007A">
        <w:rPr>
          <w:rFonts w:eastAsia="MS Mincho"/>
          <w:sz w:val="20"/>
          <w:lang w:val="en-GB" w:eastAsia="ja-JP"/>
        </w:rPr>
        <w:t>Landing Helicopter Dock), a</w:t>
      </w:r>
      <w:r>
        <w:rPr>
          <w:rFonts w:eastAsia="MS Mincho"/>
          <w:sz w:val="20"/>
          <w:lang w:val="en-GB" w:eastAsia="ja-JP"/>
        </w:rPr>
        <w:t xml:space="preserve"> logistic Unit (</w:t>
      </w:r>
      <w:r w:rsidRPr="0073007A">
        <w:rPr>
          <w:rFonts w:eastAsia="MS Mincho"/>
          <w:sz w:val="20"/>
          <w:lang w:val="en-GB" w:eastAsia="ja-JP"/>
        </w:rPr>
        <w:t>LSS</w:t>
      </w:r>
      <w:r>
        <w:rPr>
          <w:rFonts w:eastAsia="MS Mincho"/>
          <w:sz w:val="20"/>
          <w:lang w:val="en-GB" w:eastAsia="ja-JP"/>
        </w:rPr>
        <w:t xml:space="preserve">, </w:t>
      </w:r>
      <w:r w:rsidRPr="0073007A">
        <w:rPr>
          <w:rFonts w:eastAsia="MS Mincho"/>
          <w:sz w:val="20"/>
          <w:lang w:val="en-GB" w:eastAsia="ja-JP"/>
        </w:rPr>
        <w:t>Logistic Support Ship). The on-board electrical systems are characterized by voltage and frequency levels once again different from each other and with a considerable increase in power required in port compared to previous constructions:</w:t>
      </w:r>
      <w:r w:rsidR="00DB2111" w:rsidRPr="0073007A">
        <w:rPr>
          <w:rFonts w:eastAsia="MS Mincho"/>
          <w:sz w:val="20"/>
          <w:lang w:val="en-GB" w:eastAsia="ja-JP"/>
        </w:rPr>
        <w:t xml:space="preserve"> </w:t>
      </w:r>
    </w:p>
    <w:p w:rsidR="009C3D8B" w:rsidRPr="00142025" w:rsidRDefault="003D0640" w:rsidP="00D5794D">
      <w:pPr>
        <w:pStyle w:val="NormaleWeb"/>
        <w:numPr>
          <w:ilvl w:val="0"/>
          <w:numId w:val="31"/>
        </w:numPr>
        <w:shd w:val="clear" w:color="auto" w:fill="FFFFFF"/>
        <w:spacing w:before="0" w:beforeAutospacing="0" w:after="0" w:afterAutospacing="0"/>
        <w:jc w:val="both"/>
        <w:rPr>
          <w:rFonts w:eastAsia="MS Mincho"/>
          <w:sz w:val="20"/>
          <w:lang w:val="en-GB" w:eastAsia="ja-JP"/>
        </w:rPr>
      </w:pPr>
      <w:r w:rsidRPr="00142025">
        <w:rPr>
          <w:rFonts w:eastAsia="MS Mincho"/>
          <w:sz w:val="20"/>
          <w:lang w:val="en-GB" w:eastAsia="ja-JP"/>
        </w:rPr>
        <w:t>LH</w:t>
      </w:r>
      <w:r w:rsidR="009C3D8B" w:rsidRPr="00142025">
        <w:rPr>
          <w:rFonts w:eastAsia="MS Mincho"/>
          <w:sz w:val="20"/>
          <w:lang w:val="en-GB" w:eastAsia="ja-JP"/>
        </w:rPr>
        <w:t xml:space="preserve">D </w:t>
      </w:r>
      <w:r w:rsidR="00142025" w:rsidRPr="00142025">
        <w:rPr>
          <w:rFonts w:eastAsia="MS Mincho"/>
          <w:sz w:val="20"/>
          <w:lang w:val="en-GB" w:eastAsia="ja-JP"/>
        </w:rPr>
        <w:t>operating</w:t>
      </w:r>
      <w:r w:rsidR="009C3D8B" w:rsidRPr="00142025">
        <w:rPr>
          <w:rFonts w:eastAsia="MS Mincho"/>
          <w:sz w:val="20"/>
          <w:lang w:val="en-GB" w:eastAsia="ja-JP"/>
        </w:rPr>
        <w:t xml:space="preserve"> a</w:t>
      </w:r>
      <w:r w:rsidR="00142025" w:rsidRPr="00142025">
        <w:rPr>
          <w:rFonts w:eastAsia="MS Mincho"/>
          <w:sz w:val="20"/>
          <w:lang w:val="en-GB" w:eastAsia="ja-JP"/>
        </w:rPr>
        <w:t>t</w:t>
      </w:r>
      <w:r w:rsidR="009C3D8B" w:rsidRPr="00142025">
        <w:rPr>
          <w:rFonts w:eastAsia="MS Mincho"/>
          <w:sz w:val="20"/>
          <w:lang w:val="en-GB" w:eastAsia="ja-JP"/>
        </w:rPr>
        <w:t xml:space="preserve"> 6000 V @ 50 Hz</w:t>
      </w:r>
      <w:r w:rsidR="004336A3" w:rsidRPr="00142025">
        <w:rPr>
          <w:rFonts w:eastAsia="MS Mincho"/>
          <w:sz w:val="20"/>
          <w:lang w:val="en-GB" w:eastAsia="ja-JP"/>
        </w:rPr>
        <w:t xml:space="preserve">, </w:t>
      </w:r>
      <w:r w:rsidR="00142025" w:rsidRPr="00142025">
        <w:rPr>
          <w:rFonts w:eastAsia="MS Mincho"/>
          <w:sz w:val="20"/>
          <w:lang w:val="en-GB" w:eastAsia="ja-JP"/>
        </w:rPr>
        <w:t>for about</w:t>
      </w:r>
      <w:r w:rsidR="004336A3" w:rsidRPr="00142025">
        <w:rPr>
          <w:rFonts w:eastAsia="MS Mincho"/>
          <w:sz w:val="20"/>
          <w:lang w:val="en-GB" w:eastAsia="ja-JP"/>
        </w:rPr>
        <w:t xml:space="preserve"> 6</w:t>
      </w:r>
      <w:r w:rsidR="00142025" w:rsidRPr="00142025">
        <w:rPr>
          <w:rFonts w:eastAsia="MS Mincho"/>
          <w:sz w:val="20"/>
          <w:lang w:val="en-GB" w:eastAsia="ja-JP"/>
        </w:rPr>
        <w:t>.</w:t>
      </w:r>
      <w:r w:rsidR="004336A3" w:rsidRPr="00142025">
        <w:rPr>
          <w:rFonts w:eastAsia="MS Mincho"/>
          <w:sz w:val="20"/>
          <w:lang w:val="en-GB" w:eastAsia="ja-JP"/>
        </w:rPr>
        <w:t>5 MVA</w:t>
      </w:r>
      <w:r w:rsidR="009C3D8B" w:rsidRPr="00142025">
        <w:rPr>
          <w:rFonts w:eastAsia="MS Mincho"/>
          <w:sz w:val="20"/>
          <w:lang w:val="en-GB" w:eastAsia="ja-JP"/>
        </w:rPr>
        <w:t>;</w:t>
      </w:r>
    </w:p>
    <w:p w:rsidR="005D67E4" w:rsidRPr="00142025" w:rsidRDefault="003D0640" w:rsidP="00D5794D">
      <w:pPr>
        <w:pStyle w:val="NormaleWeb"/>
        <w:numPr>
          <w:ilvl w:val="0"/>
          <w:numId w:val="31"/>
        </w:numPr>
        <w:shd w:val="clear" w:color="auto" w:fill="FFFFFF"/>
        <w:spacing w:before="0" w:beforeAutospacing="0" w:after="0" w:afterAutospacing="0"/>
        <w:jc w:val="both"/>
        <w:rPr>
          <w:rFonts w:eastAsia="MS Mincho"/>
          <w:sz w:val="20"/>
          <w:lang w:val="en-GB" w:eastAsia="ja-JP"/>
        </w:rPr>
      </w:pPr>
      <w:r w:rsidRPr="00142025">
        <w:rPr>
          <w:rFonts w:eastAsia="MS Mincho"/>
          <w:sz w:val="20"/>
          <w:lang w:val="en-GB" w:eastAsia="ja-JP"/>
        </w:rPr>
        <w:t xml:space="preserve">LSS </w:t>
      </w:r>
      <w:r w:rsidR="00142025" w:rsidRPr="00142025">
        <w:rPr>
          <w:rFonts w:eastAsia="MS Mincho"/>
          <w:sz w:val="20"/>
          <w:lang w:val="en-GB" w:eastAsia="ja-JP"/>
        </w:rPr>
        <w:t>operating</w:t>
      </w:r>
      <w:r w:rsidRPr="00142025">
        <w:rPr>
          <w:rFonts w:eastAsia="MS Mincho"/>
          <w:sz w:val="20"/>
          <w:lang w:val="en-GB" w:eastAsia="ja-JP"/>
        </w:rPr>
        <w:t xml:space="preserve"> a</w:t>
      </w:r>
      <w:r w:rsidR="00142025" w:rsidRPr="00142025">
        <w:rPr>
          <w:rFonts w:eastAsia="MS Mincho"/>
          <w:sz w:val="20"/>
          <w:lang w:val="en-GB" w:eastAsia="ja-JP"/>
        </w:rPr>
        <w:t>t</w:t>
      </w:r>
      <w:r w:rsidRPr="00142025">
        <w:rPr>
          <w:rFonts w:eastAsia="MS Mincho"/>
          <w:sz w:val="20"/>
          <w:lang w:val="en-GB" w:eastAsia="ja-JP"/>
        </w:rPr>
        <w:t xml:space="preserve"> 690 V @ 50 Hz</w:t>
      </w:r>
      <w:r w:rsidR="004336A3" w:rsidRPr="00142025">
        <w:rPr>
          <w:rFonts w:eastAsia="MS Mincho"/>
          <w:sz w:val="20"/>
          <w:lang w:val="en-GB" w:eastAsia="ja-JP"/>
        </w:rPr>
        <w:t xml:space="preserve">, </w:t>
      </w:r>
      <w:r w:rsidR="00142025" w:rsidRPr="00142025">
        <w:rPr>
          <w:rFonts w:eastAsia="MS Mincho"/>
          <w:sz w:val="20"/>
          <w:lang w:val="en-GB" w:eastAsia="ja-JP"/>
        </w:rPr>
        <w:t>for about</w:t>
      </w:r>
      <w:r w:rsidR="004336A3" w:rsidRPr="00142025">
        <w:rPr>
          <w:rFonts w:eastAsia="MS Mincho"/>
          <w:sz w:val="20"/>
          <w:lang w:val="en-GB" w:eastAsia="ja-JP"/>
        </w:rPr>
        <w:t xml:space="preserve"> 1</w:t>
      </w:r>
      <w:r w:rsidR="00142025" w:rsidRPr="00142025">
        <w:rPr>
          <w:rFonts w:eastAsia="MS Mincho"/>
          <w:sz w:val="20"/>
          <w:lang w:val="en-GB" w:eastAsia="ja-JP"/>
        </w:rPr>
        <w:t>.</w:t>
      </w:r>
      <w:r w:rsidR="004336A3" w:rsidRPr="00142025">
        <w:rPr>
          <w:rFonts w:eastAsia="MS Mincho"/>
          <w:sz w:val="20"/>
          <w:lang w:val="en-GB" w:eastAsia="ja-JP"/>
        </w:rPr>
        <w:t>9 MVA</w:t>
      </w:r>
      <w:r w:rsidR="005D67E4" w:rsidRPr="00142025">
        <w:rPr>
          <w:rFonts w:eastAsia="MS Mincho"/>
          <w:sz w:val="20"/>
          <w:lang w:val="en-GB" w:eastAsia="ja-JP"/>
        </w:rPr>
        <w:t>;</w:t>
      </w:r>
    </w:p>
    <w:p w:rsidR="003D0640" w:rsidRPr="00142025" w:rsidRDefault="003D0640" w:rsidP="00D5794D">
      <w:pPr>
        <w:pStyle w:val="NormaleWeb"/>
        <w:numPr>
          <w:ilvl w:val="0"/>
          <w:numId w:val="31"/>
        </w:numPr>
        <w:shd w:val="clear" w:color="auto" w:fill="FFFFFF"/>
        <w:spacing w:before="0" w:beforeAutospacing="0" w:after="0" w:afterAutospacing="0"/>
        <w:jc w:val="both"/>
        <w:rPr>
          <w:rFonts w:eastAsia="MS Mincho"/>
          <w:sz w:val="20"/>
          <w:lang w:val="en-GB" w:eastAsia="ja-JP"/>
        </w:rPr>
      </w:pPr>
      <w:r w:rsidRPr="00142025">
        <w:rPr>
          <w:rFonts w:eastAsia="MS Mincho"/>
          <w:sz w:val="20"/>
          <w:lang w:val="en-GB" w:eastAsia="ja-JP"/>
        </w:rPr>
        <w:t xml:space="preserve">PPA </w:t>
      </w:r>
      <w:r w:rsidR="00142025" w:rsidRPr="00142025">
        <w:rPr>
          <w:rFonts w:eastAsia="MS Mincho"/>
          <w:sz w:val="20"/>
          <w:lang w:val="en-GB" w:eastAsia="ja-JP"/>
        </w:rPr>
        <w:t xml:space="preserve">operating </w:t>
      </w:r>
      <w:r w:rsidRPr="00142025">
        <w:rPr>
          <w:rFonts w:eastAsia="MS Mincho"/>
          <w:sz w:val="20"/>
          <w:lang w:val="en-GB" w:eastAsia="ja-JP"/>
        </w:rPr>
        <w:t>a</w:t>
      </w:r>
      <w:r w:rsidR="00142025" w:rsidRPr="00142025">
        <w:rPr>
          <w:rFonts w:eastAsia="MS Mincho"/>
          <w:sz w:val="20"/>
          <w:lang w:val="en-GB" w:eastAsia="ja-JP"/>
        </w:rPr>
        <w:t>t</w:t>
      </w:r>
      <w:r w:rsidRPr="00142025">
        <w:rPr>
          <w:rFonts w:eastAsia="MS Mincho"/>
          <w:sz w:val="20"/>
          <w:lang w:val="en-GB" w:eastAsia="ja-JP"/>
        </w:rPr>
        <w:t xml:space="preserve"> 690 V @ 60 Hz</w:t>
      </w:r>
      <w:r w:rsidR="009C3D8B" w:rsidRPr="003662E4">
        <w:rPr>
          <w:rStyle w:val="Rimandonotaapidipagina"/>
          <w:rFonts w:eastAsia="MS Mincho"/>
          <w:sz w:val="20"/>
          <w:lang w:eastAsia="ja-JP"/>
        </w:rPr>
        <w:footnoteReference w:id="2"/>
      </w:r>
      <w:r w:rsidR="004336A3" w:rsidRPr="00142025">
        <w:rPr>
          <w:rFonts w:eastAsia="MS Mincho"/>
          <w:sz w:val="20"/>
          <w:lang w:val="en-GB" w:eastAsia="ja-JP"/>
        </w:rPr>
        <w:t xml:space="preserve">, </w:t>
      </w:r>
      <w:r w:rsidR="00142025" w:rsidRPr="00142025">
        <w:rPr>
          <w:rFonts w:eastAsia="MS Mincho"/>
          <w:sz w:val="20"/>
          <w:lang w:val="en-GB" w:eastAsia="ja-JP"/>
        </w:rPr>
        <w:t>for about</w:t>
      </w:r>
      <w:r w:rsidR="004336A3" w:rsidRPr="00142025">
        <w:rPr>
          <w:rFonts w:eastAsia="MS Mincho"/>
          <w:sz w:val="20"/>
          <w:lang w:val="en-GB" w:eastAsia="ja-JP"/>
        </w:rPr>
        <w:t xml:space="preserve"> 1</w:t>
      </w:r>
      <w:r w:rsidR="00142025" w:rsidRPr="00142025">
        <w:rPr>
          <w:rFonts w:eastAsia="MS Mincho"/>
          <w:sz w:val="20"/>
          <w:lang w:val="en-GB" w:eastAsia="ja-JP"/>
        </w:rPr>
        <w:t>.</w:t>
      </w:r>
      <w:r w:rsidR="004336A3" w:rsidRPr="00142025">
        <w:rPr>
          <w:rFonts w:eastAsia="MS Mincho"/>
          <w:sz w:val="20"/>
          <w:lang w:val="en-GB" w:eastAsia="ja-JP"/>
        </w:rPr>
        <w:t>9 MVA</w:t>
      </w:r>
      <w:r w:rsidRPr="00142025">
        <w:rPr>
          <w:rFonts w:eastAsia="MS Mincho"/>
          <w:sz w:val="20"/>
          <w:lang w:val="en-GB" w:eastAsia="ja-JP"/>
        </w:rPr>
        <w:t>.</w:t>
      </w:r>
    </w:p>
    <w:p w:rsidR="00142025" w:rsidRDefault="00142025" w:rsidP="007C0F65">
      <w:pPr>
        <w:pStyle w:val="NormaleWeb"/>
        <w:shd w:val="clear" w:color="auto" w:fill="FFFFFF"/>
        <w:spacing w:before="0" w:beforeAutospacing="0" w:after="0" w:afterAutospacing="0"/>
        <w:ind w:firstLine="567"/>
        <w:jc w:val="both"/>
        <w:rPr>
          <w:rFonts w:eastAsia="MS Mincho"/>
          <w:sz w:val="20"/>
          <w:lang w:val="en-GB" w:eastAsia="ja-JP"/>
        </w:rPr>
      </w:pPr>
      <w:r w:rsidRPr="00142025">
        <w:rPr>
          <w:rFonts w:eastAsia="MS Mincho"/>
          <w:sz w:val="20"/>
          <w:lang w:val="en-GB" w:eastAsia="ja-JP"/>
        </w:rPr>
        <w:t>The fleet scenario in 2027</w:t>
      </w:r>
      <w:r w:rsidR="00AD5300" w:rsidRPr="003662E4">
        <w:rPr>
          <w:rStyle w:val="Rimandonotaapidipagina"/>
          <w:rFonts w:eastAsia="MS Mincho"/>
          <w:sz w:val="20"/>
          <w:lang w:eastAsia="ja-JP"/>
        </w:rPr>
        <w:footnoteReference w:id="3"/>
      </w:r>
      <w:r w:rsidR="009C3D8B" w:rsidRPr="00142025">
        <w:rPr>
          <w:rFonts w:eastAsia="MS Mincho"/>
          <w:sz w:val="20"/>
          <w:lang w:val="en-GB" w:eastAsia="ja-JP"/>
        </w:rPr>
        <w:t xml:space="preserve"> </w:t>
      </w:r>
      <w:r w:rsidRPr="00142025">
        <w:rPr>
          <w:rFonts w:eastAsia="MS Mincho"/>
          <w:sz w:val="20"/>
          <w:lang w:val="en-GB" w:eastAsia="ja-JP"/>
        </w:rPr>
        <w:t>is therefore composed of Units with high “power load demand”.</w:t>
      </w:r>
      <w:r w:rsidR="00576433" w:rsidRPr="00142025">
        <w:rPr>
          <w:rFonts w:eastAsia="MS Mincho"/>
          <w:sz w:val="20"/>
          <w:lang w:val="en-GB" w:eastAsia="ja-JP"/>
        </w:rPr>
        <w:t xml:space="preserve"> </w:t>
      </w:r>
      <w:r w:rsidRPr="00142025">
        <w:rPr>
          <w:rFonts w:eastAsia="MS Mincho"/>
          <w:sz w:val="20"/>
          <w:lang w:val="en-GB" w:eastAsia="ja-JP"/>
        </w:rPr>
        <w:t>F</w:t>
      </w:r>
      <w:r w:rsidR="00576433" w:rsidRPr="00142025">
        <w:rPr>
          <w:rFonts w:eastAsia="MS Mincho"/>
          <w:sz w:val="20"/>
          <w:lang w:val="en-GB" w:eastAsia="ja-JP"/>
        </w:rPr>
        <w:t>igur</w:t>
      </w:r>
      <w:r w:rsidR="00D50793">
        <w:rPr>
          <w:rFonts w:eastAsia="MS Mincho"/>
          <w:sz w:val="20"/>
          <w:lang w:val="en-GB" w:eastAsia="ja-JP"/>
        </w:rPr>
        <w:t>e</w:t>
      </w:r>
      <w:r w:rsidR="00576433" w:rsidRPr="00142025">
        <w:rPr>
          <w:rFonts w:eastAsia="MS Mincho"/>
          <w:sz w:val="20"/>
          <w:lang w:val="en-GB" w:eastAsia="ja-JP"/>
        </w:rPr>
        <w:t xml:space="preserve"> </w:t>
      </w:r>
      <w:r w:rsidR="007152AF" w:rsidRPr="00142025">
        <w:rPr>
          <w:rFonts w:eastAsia="MS Mincho"/>
          <w:sz w:val="20"/>
          <w:lang w:val="en-GB" w:eastAsia="ja-JP"/>
        </w:rPr>
        <w:t>3</w:t>
      </w:r>
      <w:r w:rsidR="00576433" w:rsidRPr="00142025">
        <w:rPr>
          <w:rFonts w:eastAsia="MS Mincho"/>
          <w:sz w:val="20"/>
          <w:lang w:val="en-GB" w:eastAsia="ja-JP"/>
        </w:rPr>
        <w:t xml:space="preserve"> </w:t>
      </w:r>
      <w:r w:rsidRPr="00142025">
        <w:rPr>
          <w:rFonts w:eastAsia="MS Mincho"/>
          <w:sz w:val="20"/>
          <w:lang w:val="en-GB" w:eastAsia="ja-JP"/>
        </w:rPr>
        <w:t xml:space="preserve">shows the comparison between the trend lines of the total </w:t>
      </w:r>
      <w:r w:rsidRPr="00142025">
        <w:rPr>
          <w:rFonts w:eastAsia="MS Mincho"/>
          <w:sz w:val="20"/>
          <w:lang w:val="en-GB" w:eastAsia="ja-JP"/>
        </w:rPr>
        <w:lastRenderedPageBreak/>
        <w:t xml:space="preserve">powers installed on board the main MMI ships of the last forty years and those of cold ironing requirements for the same ships. </w:t>
      </w:r>
      <w:r>
        <w:rPr>
          <w:rFonts w:eastAsia="MS Mincho"/>
          <w:sz w:val="20"/>
          <w:lang w:val="en-GB" w:eastAsia="ja-JP"/>
        </w:rPr>
        <w:t xml:space="preserve">It’s worth noting that the increase in </w:t>
      </w:r>
      <w:r w:rsidR="00C1475E">
        <w:rPr>
          <w:rFonts w:eastAsia="MS Mincho"/>
          <w:sz w:val="20"/>
          <w:lang w:val="en-GB" w:eastAsia="ja-JP"/>
        </w:rPr>
        <w:t xml:space="preserve">terms of </w:t>
      </w:r>
      <w:r>
        <w:rPr>
          <w:rFonts w:eastAsia="MS Mincho"/>
          <w:sz w:val="20"/>
          <w:lang w:val="en-GB" w:eastAsia="ja-JP"/>
        </w:rPr>
        <w:t>demand for electric power on board is not a prerogative of the propulsion system alone.</w:t>
      </w:r>
    </w:p>
    <w:p w:rsidR="007C0F65" w:rsidRDefault="007C0F65" w:rsidP="0076535B">
      <w:pPr>
        <w:pStyle w:val="NormaleWeb"/>
        <w:shd w:val="clear" w:color="auto" w:fill="FFFFFF"/>
        <w:spacing w:before="0" w:beforeAutospacing="0" w:after="0" w:afterAutospacing="0"/>
        <w:jc w:val="both"/>
        <w:rPr>
          <w:rFonts w:eastAsia="MS Mincho"/>
          <w:sz w:val="20"/>
          <w:lang w:val="en-GB" w:eastAsia="ja-JP"/>
        </w:rPr>
      </w:pPr>
    </w:p>
    <w:p w:rsidR="008326F5" w:rsidRDefault="008326F5" w:rsidP="0076535B">
      <w:pPr>
        <w:pStyle w:val="NormaleWeb"/>
        <w:shd w:val="clear" w:color="auto" w:fill="FFFFFF"/>
        <w:spacing w:before="0" w:beforeAutospacing="0" w:after="0" w:afterAutospacing="0"/>
        <w:jc w:val="both"/>
        <w:rPr>
          <w:rFonts w:eastAsia="MS Mincho"/>
          <w:sz w:val="20"/>
          <w:lang w:val="en-GB" w:eastAsia="ja-JP"/>
        </w:rPr>
      </w:pPr>
      <w:r>
        <w:rPr>
          <w:noProof/>
        </w:rPr>
        <w:drawing>
          <wp:inline distT="0" distB="0" distL="0" distR="0" wp14:anchorId="7C1A072E" wp14:editId="5F4A0BDD">
            <wp:extent cx="4464685" cy="11620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4685" cy="1162050"/>
                    </a:xfrm>
                    <a:prstGeom prst="rect">
                      <a:avLst/>
                    </a:prstGeom>
                  </pic:spPr>
                </pic:pic>
              </a:graphicData>
            </a:graphic>
          </wp:inline>
        </w:drawing>
      </w:r>
    </w:p>
    <w:p w:rsidR="00B32F0F" w:rsidRPr="00B32F0F" w:rsidRDefault="00B32F0F" w:rsidP="00B32F0F">
      <w:pPr>
        <w:pStyle w:val="CaptionShort"/>
        <w:rPr>
          <w:lang w:val="en-GB"/>
        </w:rPr>
      </w:pPr>
      <w:r w:rsidRPr="00B32F0F">
        <w:rPr>
          <w:b/>
          <w:lang w:val="en-GB"/>
        </w:rPr>
        <w:t xml:space="preserve">Figure </w:t>
      </w:r>
      <w:r>
        <w:rPr>
          <w:b/>
          <w:lang w:val="en-GB"/>
        </w:rPr>
        <w:t>3</w:t>
      </w:r>
      <w:r w:rsidRPr="00B32F0F">
        <w:rPr>
          <w:b/>
          <w:lang w:val="en-GB"/>
        </w:rPr>
        <w:t>.</w:t>
      </w:r>
      <w:r w:rsidRPr="00B32F0F">
        <w:rPr>
          <w:lang w:val="en-GB"/>
        </w:rPr>
        <w:t xml:space="preserve"> </w:t>
      </w:r>
      <w:r>
        <w:rPr>
          <w:lang w:val="en-GB"/>
        </w:rPr>
        <w:t>Increase of electrical power on board of Italian Fleet</w:t>
      </w:r>
      <w:r w:rsidRPr="00B32F0F">
        <w:rPr>
          <w:lang w:val="en-GB"/>
        </w:rPr>
        <w:t>.</w:t>
      </w:r>
    </w:p>
    <w:p w:rsidR="0076535B" w:rsidRPr="0095714A" w:rsidRDefault="00161BF3" w:rsidP="002368A8">
      <w:pPr>
        <w:pStyle w:val="Titolo1"/>
        <w:numPr>
          <w:ilvl w:val="0"/>
          <w:numId w:val="24"/>
        </w:numPr>
        <w:ind w:left="454" w:hanging="454"/>
        <w:rPr>
          <w:lang w:val="it-IT"/>
        </w:rPr>
      </w:pPr>
      <w:r>
        <w:rPr>
          <w:lang w:val="it-IT"/>
        </w:rPr>
        <w:t xml:space="preserve">The electrical system of the </w:t>
      </w:r>
      <w:r w:rsidR="0076535B" w:rsidRPr="0095714A">
        <w:rPr>
          <w:lang w:val="it-IT"/>
        </w:rPr>
        <w:t>S</w:t>
      </w:r>
      <w:r w:rsidR="00671DC5" w:rsidRPr="0095714A">
        <w:rPr>
          <w:lang w:val="it-IT"/>
        </w:rPr>
        <w:t xml:space="preserve">tazione </w:t>
      </w:r>
      <w:r w:rsidR="0076535B" w:rsidRPr="0095714A">
        <w:rPr>
          <w:lang w:val="it-IT"/>
        </w:rPr>
        <w:t>N</w:t>
      </w:r>
      <w:r w:rsidR="00671DC5" w:rsidRPr="0095714A">
        <w:rPr>
          <w:lang w:val="it-IT"/>
        </w:rPr>
        <w:t xml:space="preserve">avale </w:t>
      </w:r>
      <w:r w:rsidR="0076535B" w:rsidRPr="0095714A">
        <w:rPr>
          <w:lang w:val="it-IT"/>
        </w:rPr>
        <w:t>M</w:t>
      </w:r>
      <w:r w:rsidR="00671DC5" w:rsidRPr="0095714A">
        <w:rPr>
          <w:lang w:val="it-IT"/>
        </w:rPr>
        <w:t xml:space="preserve">ar </w:t>
      </w:r>
      <w:r w:rsidR="0076535B" w:rsidRPr="0095714A">
        <w:rPr>
          <w:lang w:val="it-IT"/>
        </w:rPr>
        <w:t>G</w:t>
      </w:r>
      <w:r w:rsidR="00671DC5" w:rsidRPr="0095714A">
        <w:rPr>
          <w:lang w:val="it-IT"/>
        </w:rPr>
        <w:t>rande di Taranto (SNMG)</w:t>
      </w:r>
    </w:p>
    <w:p w:rsidR="008326F5" w:rsidRDefault="00161BF3" w:rsidP="00D92919">
      <w:pPr>
        <w:ind w:firstLine="0"/>
        <w:rPr>
          <w:lang w:val="en-GB"/>
        </w:rPr>
      </w:pPr>
      <w:r w:rsidRPr="00B409B4">
        <w:rPr>
          <w:lang w:val="en-GB"/>
        </w:rPr>
        <w:t>The SNMG electrical network is of the simple radial distribution type, divided into two double frequency electrical sub</w:t>
      </w:r>
      <w:r w:rsidR="00C76C4E">
        <w:rPr>
          <w:lang w:val="en-GB"/>
        </w:rPr>
        <w:t>-</w:t>
      </w:r>
      <w:r w:rsidRPr="00B409B4">
        <w:rPr>
          <w:lang w:val="en-GB"/>
        </w:rPr>
        <w:t xml:space="preserve">nets, 50 Hz and 60 Hz (Figure 4). </w:t>
      </w:r>
      <w:r w:rsidRPr="00161BF3">
        <w:rPr>
          <w:lang w:val="en-GB"/>
        </w:rPr>
        <w:t>As can be seen, a 50 Hz network is used to power ITS Cavour (</w:t>
      </w:r>
      <w:r w:rsidR="007D69E1" w:rsidRPr="00161BF3">
        <w:rPr>
          <w:lang w:val="en-GB"/>
        </w:rPr>
        <w:t xml:space="preserve">6000 V @ 50 Hz) </w:t>
      </w:r>
      <w:r w:rsidRPr="00161BF3">
        <w:rPr>
          <w:lang w:val="en-GB"/>
        </w:rPr>
        <w:t xml:space="preserve">and small tonnage vessels </w:t>
      </w:r>
      <w:r w:rsidR="007D69E1" w:rsidRPr="00161BF3">
        <w:rPr>
          <w:lang w:val="en-GB"/>
        </w:rPr>
        <w:t>(</w:t>
      </w:r>
      <w:r>
        <w:rPr>
          <w:lang w:val="en-GB"/>
        </w:rPr>
        <w:t xml:space="preserve">up to </w:t>
      </w:r>
      <w:r w:rsidR="007D69E1" w:rsidRPr="00161BF3">
        <w:rPr>
          <w:lang w:val="en-GB"/>
        </w:rPr>
        <w:t>0</w:t>
      </w:r>
      <w:r>
        <w:rPr>
          <w:lang w:val="en-GB"/>
        </w:rPr>
        <w:t>.</w:t>
      </w:r>
      <w:r w:rsidR="007D69E1" w:rsidRPr="00161BF3">
        <w:rPr>
          <w:lang w:val="en-GB"/>
        </w:rPr>
        <w:t>2 MVA a</w:t>
      </w:r>
      <w:r>
        <w:rPr>
          <w:lang w:val="en-GB"/>
        </w:rPr>
        <w:t>t</w:t>
      </w:r>
      <w:r w:rsidR="007D69E1" w:rsidRPr="00161BF3">
        <w:rPr>
          <w:lang w:val="en-GB"/>
        </w:rPr>
        <w:t xml:space="preserve"> 400 V @ 50 Hz). </w:t>
      </w:r>
      <w:r>
        <w:rPr>
          <w:lang w:val="en-GB"/>
        </w:rPr>
        <w:t>Another 60 Hz sub-network ensures the supply of more naval main Units</w:t>
      </w:r>
      <w:r w:rsidR="007D69E1" w:rsidRPr="00161BF3">
        <w:rPr>
          <w:lang w:val="en-GB"/>
        </w:rPr>
        <w:t xml:space="preserve"> (440 V @ 60 Hz). </w:t>
      </w:r>
      <w:r w:rsidRPr="00161BF3">
        <w:rPr>
          <w:lang w:val="en-GB"/>
        </w:rPr>
        <w:t xml:space="preserve">The third </w:t>
      </w:r>
      <w:r w:rsidR="00402E75" w:rsidRPr="00161BF3">
        <w:rPr>
          <w:lang w:val="en-GB"/>
        </w:rPr>
        <w:t>50 Hz</w:t>
      </w:r>
      <w:r w:rsidR="007D69E1" w:rsidRPr="00161BF3">
        <w:rPr>
          <w:lang w:val="en-GB"/>
        </w:rPr>
        <w:t xml:space="preserve"> </w:t>
      </w:r>
      <w:r w:rsidRPr="00161BF3">
        <w:rPr>
          <w:lang w:val="en-GB"/>
        </w:rPr>
        <w:t>network is dedicated to ground works (workshops, offices and barracks)</w:t>
      </w:r>
      <w:r w:rsidR="00164AC7" w:rsidRPr="00161BF3">
        <w:rPr>
          <w:lang w:val="en-GB"/>
        </w:rPr>
        <w:t xml:space="preserve">. </w:t>
      </w:r>
      <w:r w:rsidR="00D92919" w:rsidRPr="00161BF3">
        <w:rPr>
          <w:lang w:val="en-GB"/>
        </w:rPr>
        <w:t>A</w:t>
      </w:r>
      <w:r w:rsidRPr="00161BF3">
        <w:rPr>
          <w:lang w:val="en-GB"/>
        </w:rPr>
        <w:t>t the X0 power plant, the avai</w:t>
      </w:r>
      <w:r w:rsidR="00D50793">
        <w:rPr>
          <w:lang w:val="en-GB"/>
        </w:rPr>
        <w:t>la</w:t>
      </w:r>
      <w:r w:rsidRPr="00161BF3">
        <w:rPr>
          <w:lang w:val="en-GB"/>
        </w:rPr>
        <w:t xml:space="preserve">bility of the national distributor is </w:t>
      </w:r>
      <w:r w:rsidR="00D92919" w:rsidRPr="00161BF3">
        <w:rPr>
          <w:lang w:val="en-GB"/>
        </w:rPr>
        <w:t xml:space="preserve">325 MVA </w:t>
      </w:r>
      <w:r w:rsidRPr="00161BF3">
        <w:rPr>
          <w:lang w:val="en-GB"/>
        </w:rPr>
        <w:t>whereas in the primary substation X1 it i</w:t>
      </w:r>
      <w:r w:rsidR="00D0096F">
        <w:rPr>
          <w:lang w:val="en-GB"/>
        </w:rPr>
        <w:t>s</w:t>
      </w:r>
      <w:r w:rsidRPr="00161BF3">
        <w:rPr>
          <w:lang w:val="en-GB"/>
        </w:rPr>
        <w:t xml:space="preserve"> dimensioned for the limit power of </w:t>
      </w:r>
      <w:r w:rsidR="00D92919" w:rsidRPr="00161BF3">
        <w:rPr>
          <w:lang w:val="en-GB"/>
        </w:rPr>
        <w:t xml:space="preserve">32 MVA. </w:t>
      </w:r>
      <w:r>
        <w:rPr>
          <w:lang w:val="en-GB"/>
        </w:rPr>
        <w:t>The 60 Hz subnet, on the other hand, is capable of delivering a maximum of</w:t>
      </w:r>
      <w:r w:rsidR="00D92919" w:rsidRPr="00161BF3">
        <w:rPr>
          <w:lang w:val="en-GB"/>
        </w:rPr>
        <w:t xml:space="preserve"> 24 MVA</w:t>
      </w:r>
      <w:r w:rsidR="00CD514D">
        <w:rPr>
          <w:lang w:val="en-GB"/>
        </w:rPr>
        <w:t xml:space="preserve"> [</w:t>
      </w:r>
      <w:r w:rsidR="008D2116">
        <w:rPr>
          <w:lang w:val="en-GB"/>
        </w:rPr>
        <w:t>4</w:t>
      </w:r>
      <w:r w:rsidR="00CD514D">
        <w:rPr>
          <w:lang w:val="en-GB"/>
        </w:rPr>
        <w:t>]</w:t>
      </w:r>
      <w:r w:rsidR="00D92919" w:rsidRPr="00161BF3">
        <w:rPr>
          <w:lang w:val="en-GB"/>
        </w:rPr>
        <w:t xml:space="preserve">. </w:t>
      </w:r>
    </w:p>
    <w:p w:rsidR="00C1475E" w:rsidRDefault="00C1475E" w:rsidP="00D92919">
      <w:pPr>
        <w:ind w:firstLine="0"/>
        <w:rPr>
          <w:lang w:val="en-GB"/>
        </w:rPr>
      </w:pPr>
    </w:p>
    <w:p w:rsidR="00D92919" w:rsidRDefault="008326F5" w:rsidP="008326F5">
      <w:pPr>
        <w:ind w:firstLine="0"/>
        <w:jc w:val="center"/>
        <w:rPr>
          <w:lang w:val="en-GB"/>
        </w:rPr>
      </w:pPr>
      <w:r w:rsidRPr="008326F5">
        <w:rPr>
          <w:noProof/>
          <w:lang w:val="it-IT" w:eastAsia="it-IT"/>
        </w:rPr>
        <w:drawing>
          <wp:inline distT="0" distB="0" distL="0" distR="0">
            <wp:extent cx="3420621" cy="2439636"/>
            <wp:effectExtent l="0" t="0" r="8890" b="0"/>
            <wp:docPr id="12" name="Immagine 12" descr="C:\Users\catan\Desktop\Settimana Leicester\Paper NAV 2018\Rete S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n\Desktop\Settimana Leicester\Paper NAV 2018\Rete SNM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9132" cy="2538424"/>
                    </a:xfrm>
                    <a:prstGeom prst="rect">
                      <a:avLst/>
                    </a:prstGeom>
                    <a:noFill/>
                    <a:ln>
                      <a:noFill/>
                    </a:ln>
                  </pic:spPr>
                </pic:pic>
              </a:graphicData>
            </a:graphic>
          </wp:inline>
        </w:drawing>
      </w:r>
    </w:p>
    <w:p w:rsidR="00E93FA9" w:rsidRPr="0029648D" w:rsidRDefault="00E93FA9" w:rsidP="00E93FA9">
      <w:pPr>
        <w:pStyle w:val="CaptionShort"/>
        <w:rPr>
          <w:lang w:val="it-IT"/>
        </w:rPr>
      </w:pPr>
      <w:r w:rsidRPr="0029648D">
        <w:rPr>
          <w:b/>
          <w:lang w:val="it-IT"/>
        </w:rPr>
        <w:t>Figure 4.</w:t>
      </w:r>
      <w:r w:rsidRPr="0029648D">
        <w:rPr>
          <w:lang w:val="it-IT"/>
        </w:rPr>
        <w:t xml:space="preserve"> SNMG power plant.</w:t>
      </w:r>
    </w:p>
    <w:p w:rsidR="007152AF" w:rsidRPr="000065D8" w:rsidRDefault="007152AF" w:rsidP="002368A8">
      <w:pPr>
        <w:pStyle w:val="Titolo1"/>
        <w:numPr>
          <w:ilvl w:val="0"/>
          <w:numId w:val="24"/>
        </w:numPr>
        <w:ind w:left="454" w:hanging="454"/>
        <w:rPr>
          <w:lang w:val="en-GB"/>
        </w:rPr>
      </w:pPr>
      <w:r w:rsidRPr="000065D8">
        <w:rPr>
          <w:lang w:val="en-GB"/>
        </w:rPr>
        <w:lastRenderedPageBreak/>
        <w:t>Shore-to-</w:t>
      </w:r>
      <w:r w:rsidR="00D0096F">
        <w:rPr>
          <w:lang w:val="en-GB"/>
        </w:rPr>
        <w:t>S</w:t>
      </w:r>
      <w:r w:rsidRPr="000065D8">
        <w:rPr>
          <w:lang w:val="en-GB"/>
        </w:rPr>
        <w:t xml:space="preserve">hip 50/60 Hz </w:t>
      </w:r>
      <w:r w:rsidR="00D0096F">
        <w:rPr>
          <w:lang w:val="en-GB"/>
        </w:rPr>
        <w:t xml:space="preserve">and </w:t>
      </w:r>
      <w:r w:rsidRPr="000065D8">
        <w:rPr>
          <w:lang w:val="en-GB"/>
        </w:rPr>
        <w:t>Ship-to-</w:t>
      </w:r>
      <w:r w:rsidR="00D0096F">
        <w:rPr>
          <w:lang w:val="en-GB"/>
        </w:rPr>
        <w:t>S</w:t>
      </w:r>
      <w:r w:rsidRPr="000065D8">
        <w:rPr>
          <w:lang w:val="en-GB"/>
        </w:rPr>
        <w:t>hore</w:t>
      </w:r>
    </w:p>
    <w:p w:rsidR="00D5794D" w:rsidRDefault="00A5616F" w:rsidP="007152AF">
      <w:pPr>
        <w:ind w:firstLine="0"/>
        <w:rPr>
          <w:lang w:val="en-GB"/>
        </w:rPr>
      </w:pPr>
      <w:r w:rsidRPr="00AF1175">
        <w:rPr>
          <w:lang w:val="en-GB"/>
        </w:rPr>
        <w:t xml:space="preserve">PPA </w:t>
      </w:r>
      <w:r w:rsidR="00D0096F" w:rsidRPr="00AF1175">
        <w:rPr>
          <w:lang w:val="en-GB"/>
        </w:rPr>
        <w:t xml:space="preserve">and </w:t>
      </w:r>
      <w:r w:rsidRPr="00AF1175">
        <w:rPr>
          <w:lang w:val="en-GB"/>
        </w:rPr>
        <w:t xml:space="preserve">LSS </w:t>
      </w:r>
      <w:r w:rsidR="00D0096F" w:rsidRPr="00AF1175">
        <w:rPr>
          <w:lang w:val="en-GB"/>
        </w:rPr>
        <w:t xml:space="preserve">have an innovative system to adapt the </w:t>
      </w:r>
      <w:r w:rsidR="0023754A">
        <w:rPr>
          <w:lang w:val="en-GB"/>
        </w:rPr>
        <w:t>ship</w:t>
      </w:r>
      <w:r w:rsidR="00D0096F" w:rsidRPr="00AF1175">
        <w:rPr>
          <w:lang w:val="en-GB"/>
        </w:rPr>
        <w:t>-</w:t>
      </w:r>
      <w:r w:rsidR="0023754A">
        <w:rPr>
          <w:lang w:val="en-GB"/>
        </w:rPr>
        <w:t>shore</w:t>
      </w:r>
      <w:r w:rsidR="00D0096F" w:rsidRPr="00AF1175">
        <w:rPr>
          <w:lang w:val="en-GB"/>
        </w:rPr>
        <w:t xml:space="preserve"> interface to the frequency </w:t>
      </w:r>
      <w:r w:rsidR="0047615C" w:rsidRPr="00AF1175">
        <w:rPr>
          <w:lang w:val="en-GB"/>
        </w:rPr>
        <w:t>standards</w:t>
      </w:r>
      <w:r w:rsidR="00D0096F" w:rsidRPr="00AF1175">
        <w:rPr>
          <w:lang w:val="en-GB"/>
        </w:rPr>
        <w:t xml:space="preserve"> </w:t>
      </w:r>
      <w:r w:rsidR="00AF1175" w:rsidRPr="00AF1175">
        <w:rPr>
          <w:lang w:val="en-GB"/>
        </w:rPr>
        <w:t>o</w:t>
      </w:r>
      <w:r w:rsidR="00AF1175">
        <w:rPr>
          <w:lang w:val="en-GB"/>
        </w:rPr>
        <w:t>f</w:t>
      </w:r>
      <w:r w:rsidR="00AF1175" w:rsidRPr="00AF1175">
        <w:rPr>
          <w:lang w:val="en-GB"/>
        </w:rPr>
        <w:t xml:space="preserve"> 50 and 60 </w:t>
      </w:r>
      <w:r w:rsidR="007152AF" w:rsidRPr="00AF1175">
        <w:rPr>
          <w:lang w:val="en-GB"/>
        </w:rPr>
        <w:t>Hz us</w:t>
      </w:r>
      <w:r w:rsidR="00AF1175">
        <w:rPr>
          <w:lang w:val="en-GB"/>
        </w:rPr>
        <w:t>ed in all countries around the world</w:t>
      </w:r>
      <w:r w:rsidR="007152AF" w:rsidRPr="00AF1175">
        <w:rPr>
          <w:lang w:val="en-GB"/>
        </w:rPr>
        <w:t xml:space="preserve">. </w:t>
      </w:r>
      <w:r w:rsidR="00AF1175">
        <w:rPr>
          <w:lang w:val="en-GB"/>
        </w:rPr>
        <w:t>The frequency switch is guaranteed</w:t>
      </w:r>
      <w:r w:rsidR="00D50793">
        <w:rPr>
          <w:lang w:val="en-GB"/>
        </w:rPr>
        <w:t xml:space="preserve"> </w:t>
      </w:r>
      <w:r w:rsidR="00AF1175">
        <w:rPr>
          <w:lang w:val="en-GB"/>
        </w:rPr>
        <w:t>by machines already on board: the propulsion converters</w:t>
      </w:r>
      <w:r w:rsidR="007152AF" w:rsidRPr="00AF1175">
        <w:rPr>
          <w:lang w:val="en-GB"/>
        </w:rPr>
        <w:t xml:space="preserve">. </w:t>
      </w:r>
      <w:r w:rsidR="00AF1175" w:rsidRPr="00AF1175">
        <w:rPr>
          <w:lang w:val="en-GB"/>
        </w:rPr>
        <w:t xml:space="preserve">Each </w:t>
      </w:r>
      <w:r w:rsidR="00D50793">
        <w:rPr>
          <w:lang w:val="en-GB"/>
        </w:rPr>
        <w:t xml:space="preserve">converter has </w:t>
      </w:r>
      <w:r w:rsidR="00AF1175" w:rsidRPr="00AF1175">
        <w:rPr>
          <w:lang w:val="en-GB"/>
        </w:rPr>
        <w:t xml:space="preserve">a power of more than </w:t>
      </w:r>
      <w:r w:rsidRPr="00AF1175">
        <w:rPr>
          <w:lang w:val="en-GB"/>
        </w:rPr>
        <w:t>2 MW</w:t>
      </w:r>
      <w:r w:rsidR="00D50793">
        <w:rPr>
          <w:lang w:val="en-GB"/>
        </w:rPr>
        <w:t xml:space="preserve"> and it is</w:t>
      </w:r>
      <w:r w:rsidR="007152AF" w:rsidRPr="00AF1175">
        <w:rPr>
          <w:lang w:val="en-GB"/>
        </w:rPr>
        <w:t xml:space="preserve"> </w:t>
      </w:r>
      <w:r w:rsidR="00AF1175" w:rsidRPr="00AF1175">
        <w:rPr>
          <w:lang w:val="en-GB"/>
        </w:rPr>
        <w:t xml:space="preserve">of the </w:t>
      </w:r>
      <w:r w:rsidR="007152AF" w:rsidRPr="00AF1175">
        <w:rPr>
          <w:i/>
          <w:iCs/>
          <w:lang w:val="en-GB"/>
        </w:rPr>
        <w:t>Active Front-End</w:t>
      </w:r>
      <w:r w:rsidR="007152AF" w:rsidRPr="00AF1175">
        <w:rPr>
          <w:lang w:val="en-GB"/>
        </w:rPr>
        <w:t xml:space="preserve"> (AFE)</w:t>
      </w:r>
      <w:r w:rsidR="00AF1175" w:rsidRPr="00AF1175">
        <w:rPr>
          <w:lang w:val="en-GB"/>
        </w:rPr>
        <w:t xml:space="preserve"> type</w:t>
      </w:r>
      <w:r w:rsidR="00D50793">
        <w:rPr>
          <w:lang w:val="en-GB"/>
        </w:rPr>
        <w:t>. On navigation, they are used to</w:t>
      </w:r>
      <w:r w:rsidR="007152AF" w:rsidRPr="00AF1175">
        <w:rPr>
          <w:lang w:val="en-GB"/>
        </w:rPr>
        <w:t xml:space="preserve"> </w:t>
      </w:r>
      <w:r w:rsidR="00AF1175" w:rsidRPr="00AF1175">
        <w:rPr>
          <w:lang w:val="en-GB"/>
        </w:rPr>
        <w:t xml:space="preserve">control the </w:t>
      </w:r>
      <w:r w:rsidR="007152AF" w:rsidRPr="00AF1175">
        <w:rPr>
          <w:i/>
          <w:iCs/>
          <w:lang w:val="en-GB"/>
        </w:rPr>
        <w:t xml:space="preserve">Electric Propulsion Motor </w:t>
      </w:r>
      <w:r w:rsidR="007152AF" w:rsidRPr="00AF1175">
        <w:rPr>
          <w:lang w:val="en-GB"/>
        </w:rPr>
        <w:t>(EPM)</w:t>
      </w:r>
      <w:r w:rsidR="00D50793">
        <w:rPr>
          <w:lang w:val="en-GB"/>
        </w:rPr>
        <w:t>. D</w:t>
      </w:r>
      <w:r w:rsidR="00AF1175" w:rsidRPr="00AF1175">
        <w:rPr>
          <w:lang w:val="en-GB"/>
        </w:rPr>
        <w:t>uring the</w:t>
      </w:r>
      <w:r w:rsidR="007152AF" w:rsidRPr="00AF1175">
        <w:rPr>
          <w:lang w:val="en-GB"/>
        </w:rPr>
        <w:t xml:space="preserve"> </w:t>
      </w:r>
      <w:r w:rsidR="007152AF" w:rsidRPr="00AF1175">
        <w:rPr>
          <w:i/>
          <w:iCs/>
          <w:lang w:val="en-GB"/>
        </w:rPr>
        <w:t>shore connection</w:t>
      </w:r>
      <w:r w:rsidR="00BF58D4">
        <w:rPr>
          <w:lang w:val="en-GB"/>
        </w:rPr>
        <w:t xml:space="preserve"> period of the ship, they </w:t>
      </w:r>
      <w:r w:rsidR="00AF1175" w:rsidRPr="00AF1175">
        <w:rPr>
          <w:lang w:val="en-GB"/>
        </w:rPr>
        <w:t xml:space="preserve">allow to receive </w:t>
      </w:r>
      <w:r w:rsidR="007152AF" w:rsidRPr="00AF1175">
        <w:rPr>
          <w:lang w:val="en-GB"/>
        </w:rPr>
        <w:t xml:space="preserve">690 V </w:t>
      </w:r>
      <w:r w:rsidR="005D67E4" w:rsidRPr="00AF1175">
        <w:rPr>
          <w:lang w:val="en-GB"/>
        </w:rPr>
        <w:t>@</w:t>
      </w:r>
      <w:r w:rsidR="007152AF" w:rsidRPr="00AF1175">
        <w:rPr>
          <w:lang w:val="en-GB"/>
        </w:rPr>
        <w:t xml:space="preserve"> 50 Hz </w:t>
      </w:r>
      <w:r w:rsidR="00AF1175">
        <w:rPr>
          <w:lang w:val="en-GB"/>
        </w:rPr>
        <w:t xml:space="preserve">electrical power from ground shore panel and convert it to the values of </w:t>
      </w:r>
      <w:r w:rsidR="007152AF" w:rsidRPr="00AF1175">
        <w:rPr>
          <w:lang w:val="en-GB"/>
        </w:rPr>
        <w:t xml:space="preserve">690 V </w:t>
      </w:r>
      <w:r w:rsidR="005D67E4" w:rsidRPr="00AF1175">
        <w:rPr>
          <w:lang w:val="en-GB"/>
        </w:rPr>
        <w:t>@</w:t>
      </w:r>
      <w:r w:rsidR="007152AF" w:rsidRPr="00AF1175">
        <w:rPr>
          <w:lang w:val="en-GB"/>
        </w:rPr>
        <w:t xml:space="preserve"> 60 Hz </w:t>
      </w:r>
      <w:r w:rsidRPr="00AF1175">
        <w:rPr>
          <w:lang w:val="en-GB"/>
        </w:rPr>
        <w:t>(e.</w:t>
      </w:r>
      <w:r w:rsidR="00AF1175">
        <w:rPr>
          <w:lang w:val="en-GB"/>
        </w:rPr>
        <w:t>g.</w:t>
      </w:r>
      <w:r w:rsidRPr="00AF1175">
        <w:rPr>
          <w:lang w:val="en-GB"/>
        </w:rPr>
        <w:t xml:space="preserve"> </w:t>
      </w:r>
      <w:r w:rsidR="00AF1175">
        <w:rPr>
          <w:lang w:val="en-GB"/>
        </w:rPr>
        <w:t xml:space="preserve">in the case of </w:t>
      </w:r>
      <w:r w:rsidR="005D67E4" w:rsidRPr="00AF1175">
        <w:rPr>
          <w:lang w:val="en-GB"/>
        </w:rPr>
        <w:t>PPA</w:t>
      </w:r>
      <w:r w:rsidRPr="00AF1175">
        <w:rPr>
          <w:lang w:val="en-GB"/>
        </w:rPr>
        <w:t>)</w:t>
      </w:r>
      <w:r w:rsidR="005D67E4" w:rsidRPr="00AF1175">
        <w:rPr>
          <w:lang w:val="en-GB"/>
        </w:rPr>
        <w:t xml:space="preserve">, </w:t>
      </w:r>
      <w:r w:rsidR="00AF1175">
        <w:rPr>
          <w:lang w:val="en-GB"/>
        </w:rPr>
        <w:t xml:space="preserve">or receive electricity from the ground </w:t>
      </w:r>
      <w:r w:rsidR="00BF58D4">
        <w:rPr>
          <w:lang w:val="en-GB"/>
        </w:rPr>
        <w:t xml:space="preserve">shore panel </w:t>
      </w:r>
      <w:r w:rsidR="00AF1175">
        <w:rPr>
          <w:lang w:val="en-GB"/>
        </w:rPr>
        <w:t xml:space="preserve">to </w:t>
      </w:r>
      <w:r w:rsidR="005D67E4" w:rsidRPr="00AF1175">
        <w:rPr>
          <w:lang w:val="en-GB"/>
        </w:rPr>
        <w:t>690 V @ 60 Hz</w:t>
      </w:r>
      <w:r w:rsidR="007152AF" w:rsidRPr="00AF1175">
        <w:rPr>
          <w:lang w:val="en-GB"/>
        </w:rPr>
        <w:t xml:space="preserve"> </w:t>
      </w:r>
      <w:r w:rsidR="00AF1175">
        <w:rPr>
          <w:lang w:val="en-GB"/>
        </w:rPr>
        <w:t xml:space="preserve">to convert it to </w:t>
      </w:r>
      <w:r w:rsidR="005D67E4" w:rsidRPr="00AF1175">
        <w:rPr>
          <w:lang w:val="en-GB"/>
        </w:rPr>
        <w:t xml:space="preserve">690 V @ </w:t>
      </w:r>
      <w:r w:rsidR="007152AF" w:rsidRPr="00AF1175">
        <w:rPr>
          <w:lang w:val="en-GB"/>
        </w:rPr>
        <w:t>50 Hz</w:t>
      </w:r>
      <w:r w:rsidRPr="00AF1175">
        <w:rPr>
          <w:lang w:val="en-GB"/>
        </w:rPr>
        <w:t xml:space="preserve"> (</w:t>
      </w:r>
      <w:r w:rsidR="00AF1175">
        <w:rPr>
          <w:lang w:val="en-GB"/>
        </w:rPr>
        <w:t xml:space="preserve">in the case of </w:t>
      </w:r>
      <w:r w:rsidRPr="00AF1175">
        <w:rPr>
          <w:lang w:val="en-GB"/>
        </w:rPr>
        <w:t>LSS).</w:t>
      </w:r>
      <w:r w:rsidR="00E143E8" w:rsidRPr="00AF1175">
        <w:rPr>
          <w:lang w:val="en-GB"/>
        </w:rPr>
        <w:t xml:space="preserve"> </w:t>
      </w:r>
      <w:r w:rsidR="00BF58D4">
        <w:rPr>
          <w:lang w:val="en-GB"/>
        </w:rPr>
        <w:t xml:space="preserve">The supplying electrical power to </w:t>
      </w:r>
      <w:r w:rsidR="00CB5241" w:rsidRPr="00CB5241">
        <w:rPr>
          <w:lang w:val="en-GB"/>
        </w:rPr>
        <w:t>disadvantaged terrestr</w:t>
      </w:r>
      <w:r w:rsidR="00CB5241">
        <w:rPr>
          <w:lang w:val="en-GB"/>
        </w:rPr>
        <w:t>i</w:t>
      </w:r>
      <w:r w:rsidR="00CB5241" w:rsidRPr="00CB5241">
        <w:rPr>
          <w:lang w:val="en-GB"/>
        </w:rPr>
        <w:t xml:space="preserve">al sites </w:t>
      </w:r>
      <w:r w:rsidR="00CB5241">
        <w:rPr>
          <w:lang w:val="en-GB"/>
        </w:rPr>
        <w:t>(disaster relief)</w:t>
      </w:r>
      <w:r w:rsidR="00BF58D4">
        <w:rPr>
          <w:lang w:val="en-GB"/>
        </w:rPr>
        <w:t xml:space="preserve"> or to </w:t>
      </w:r>
      <w:r w:rsidR="00CB5241">
        <w:rPr>
          <w:lang w:val="en-GB"/>
        </w:rPr>
        <w:t>land base camp</w:t>
      </w:r>
      <w:r w:rsidR="00BF58D4">
        <w:rPr>
          <w:lang w:val="en-GB"/>
        </w:rPr>
        <w:t xml:space="preserve"> is a</w:t>
      </w:r>
      <w:r w:rsidR="00BF58D4" w:rsidRPr="00CB5241">
        <w:rPr>
          <w:lang w:val="en-GB"/>
        </w:rPr>
        <w:t>nother aspect that characterizes LHD, LSS and PPA</w:t>
      </w:r>
      <w:r w:rsidR="00CB5241">
        <w:rPr>
          <w:lang w:val="en-GB"/>
        </w:rPr>
        <w:t>. The characteristics and the power of the electric energy vary according to the naval Unit involved</w:t>
      </w:r>
      <w:r w:rsidR="00BF58D4">
        <w:rPr>
          <w:lang w:val="en-GB"/>
        </w:rPr>
        <w:t xml:space="preserve"> </w:t>
      </w:r>
      <w:r w:rsidR="00CB5241">
        <w:rPr>
          <w:lang w:val="en-GB"/>
        </w:rPr>
        <w:t xml:space="preserve">and the possible use of integrative </w:t>
      </w:r>
      <w:r w:rsidR="00E02342">
        <w:rPr>
          <w:lang w:val="en-GB"/>
        </w:rPr>
        <w:t xml:space="preserve">container </w:t>
      </w:r>
      <w:r w:rsidR="00CB5241">
        <w:rPr>
          <w:lang w:val="en-GB"/>
        </w:rPr>
        <w:t>modules</w:t>
      </w:r>
      <w:r w:rsidR="00BF58D4">
        <w:rPr>
          <w:lang w:val="en-GB"/>
        </w:rPr>
        <w:t xml:space="preserve">. It’s possible </w:t>
      </w:r>
      <w:r w:rsidR="00CB5241">
        <w:rPr>
          <w:lang w:val="en-GB"/>
        </w:rPr>
        <w:t>supply e</w:t>
      </w:r>
      <w:r w:rsidR="00B01177">
        <w:rPr>
          <w:lang w:val="en-GB"/>
        </w:rPr>
        <w:t xml:space="preserve">lectricity </w:t>
      </w:r>
      <w:r w:rsidR="00CB5241">
        <w:rPr>
          <w:lang w:val="en-GB"/>
        </w:rPr>
        <w:t>in the hinterland up to about 2 km (Figure 5)</w:t>
      </w:r>
      <w:r w:rsidR="00CD514D">
        <w:rPr>
          <w:lang w:val="en-GB"/>
        </w:rPr>
        <w:t xml:space="preserve"> [</w:t>
      </w:r>
      <w:r w:rsidR="008D2116">
        <w:rPr>
          <w:lang w:val="en-GB"/>
        </w:rPr>
        <w:t>5</w:t>
      </w:r>
      <w:r w:rsidR="00CD514D">
        <w:rPr>
          <w:lang w:val="en-GB"/>
        </w:rPr>
        <w:t>] [</w:t>
      </w:r>
      <w:r w:rsidR="008D2116">
        <w:rPr>
          <w:lang w:val="en-GB"/>
        </w:rPr>
        <w:t>6</w:t>
      </w:r>
      <w:r w:rsidR="00CD514D">
        <w:rPr>
          <w:lang w:val="en-GB"/>
        </w:rPr>
        <w:t>] [</w:t>
      </w:r>
      <w:r w:rsidR="008D2116">
        <w:rPr>
          <w:lang w:val="en-GB"/>
        </w:rPr>
        <w:t>7</w:t>
      </w:r>
      <w:r w:rsidR="00CD514D">
        <w:rPr>
          <w:lang w:val="en-GB"/>
        </w:rPr>
        <w:t>]</w:t>
      </w:r>
      <w:r w:rsidR="00CB5241">
        <w:rPr>
          <w:lang w:val="en-GB"/>
        </w:rPr>
        <w:t>.</w:t>
      </w:r>
    </w:p>
    <w:p w:rsidR="007C6372" w:rsidRPr="00CB5241" w:rsidRDefault="007C6372" w:rsidP="007152AF">
      <w:pPr>
        <w:ind w:firstLine="0"/>
        <w:rPr>
          <w:lang w:val="en-GB"/>
        </w:rPr>
      </w:pPr>
    </w:p>
    <w:p w:rsidR="007152AF" w:rsidRDefault="007152AF" w:rsidP="00F516DB">
      <w:pPr>
        <w:ind w:firstLine="0"/>
        <w:jc w:val="center"/>
        <w:rPr>
          <w:lang w:val="it-IT"/>
        </w:rPr>
      </w:pPr>
      <w:r w:rsidRPr="007152AF">
        <w:rPr>
          <w:noProof/>
          <w:lang w:val="it-IT" w:eastAsia="it-IT"/>
        </w:rPr>
        <w:drawing>
          <wp:inline distT="0" distB="0" distL="0" distR="0" wp14:anchorId="17266EA9" wp14:editId="386FF467">
            <wp:extent cx="1980265" cy="1312697"/>
            <wp:effectExtent l="0" t="0" r="1270" b="1905"/>
            <wp:docPr id="6" name="Picture 3" descr="C:\Users\g.lipardi\Documents\lavoro\specializzazione\presentazioni per Ufficiali GN\conferenza 2016\rendering BS2S\teatro_ok_2.png"/>
            <wp:cNvGraphicFramePr/>
            <a:graphic xmlns:a="http://schemas.openxmlformats.org/drawingml/2006/main">
              <a:graphicData uri="http://schemas.openxmlformats.org/drawingml/2006/picture">
                <pic:pic xmlns:pic="http://schemas.openxmlformats.org/drawingml/2006/picture">
                  <pic:nvPicPr>
                    <pic:cNvPr id="6" name="Picture 3" descr="C:\Users\g.lipardi\Documents\lavoro\specializzazione\presentazioni per Ufficiali GN\conferenza 2016\rendering BS2S\teatro_ok_2.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5792" cy="1316361"/>
                    </a:xfrm>
                    <a:prstGeom prst="rect">
                      <a:avLst/>
                    </a:prstGeom>
                    <a:noFill/>
                    <a:extLst/>
                  </pic:spPr>
                </pic:pic>
              </a:graphicData>
            </a:graphic>
          </wp:inline>
        </w:drawing>
      </w:r>
    </w:p>
    <w:p w:rsidR="00F516DB" w:rsidRDefault="00F516DB" w:rsidP="00F516DB">
      <w:pPr>
        <w:pStyle w:val="CaptionShort"/>
        <w:rPr>
          <w:lang w:val="en-GB"/>
        </w:rPr>
      </w:pPr>
      <w:r w:rsidRPr="00F516DB">
        <w:rPr>
          <w:b/>
          <w:lang w:val="en-GB"/>
        </w:rPr>
        <w:t>Figure 5.</w:t>
      </w:r>
      <w:r w:rsidRPr="00F516DB">
        <w:rPr>
          <w:lang w:val="en-GB"/>
        </w:rPr>
        <w:t xml:space="preserve"> PPA – ship-to-shore mode.</w:t>
      </w:r>
    </w:p>
    <w:p w:rsidR="009425AE" w:rsidRPr="00CB5241" w:rsidRDefault="00CB5241" w:rsidP="002368A8">
      <w:pPr>
        <w:pStyle w:val="Titolo1"/>
        <w:numPr>
          <w:ilvl w:val="0"/>
          <w:numId w:val="24"/>
        </w:numPr>
        <w:ind w:left="454" w:hanging="454"/>
        <w:rPr>
          <w:lang w:val="en-GB"/>
        </w:rPr>
      </w:pPr>
      <w:r w:rsidRPr="00CB5241">
        <w:rPr>
          <w:lang w:val="en-GB"/>
        </w:rPr>
        <w:t xml:space="preserve">Main differences between mercantile and military reality </w:t>
      </w:r>
    </w:p>
    <w:p w:rsidR="00CB5241" w:rsidRDefault="00CB5241" w:rsidP="008728BC">
      <w:pPr>
        <w:ind w:firstLine="0"/>
        <w:rPr>
          <w:lang w:val="en-GB"/>
        </w:rPr>
      </w:pPr>
      <w:r w:rsidRPr="00CB5241">
        <w:rPr>
          <w:lang w:val="en-GB"/>
        </w:rPr>
        <w:t xml:space="preserve">As will be noted, </w:t>
      </w:r>
      <w:r w:rsidR="000D3258" w:rsidRPr="00CB5241">
        <w:rPr>
          <w:lang w:val="en-GB"/>
        </w:rPr>
        <w:t>due to the</w:t>
      </w:r>
      <w:r w:rsidR="000D3258">
        <w:rPr>
          <w:lang w:val="en-GB"/>
        </w:rPr>
        <w:t xml:space="preserve"> ship</w:t>
      </w:r>
      <w:r w:rsidR="000D3258" w:rsidRPr="00CB5241">
        <w:rPr>
          <w:lang w:val="en-GB"/>
        </w:rPr>
        <w:t xml:space="preserve"> power requirements and the mission to be carried out</w:t>
      </w:r>
      <w:r w:rsidR="000D3258">
        <w:rPr>
          <w:lang w:val="en-GB"/>
        </w:rPr>
        <w:t>,</w:t>
      </w:r>
      <w:r w:rsidR="000D3258" w:rsidRPr="00CB5241">
        <w:rPr>
          <w:lang w:val="en-GB"/>
        </w:rPr>
        <w:t xml:space="preserve"> </w:t>
      </w:r>
      <w:r w:rsidRPr="00CB5241">
        <w:rPr>
          <w:lang w:val="en-GB"/>
        </w:rPr>
        <w:t xml:space="preserve">the electrical </w:t>
      </w:r>
      <w:r w:rsidR="000D3258">
        <w:rPr>
          <w:lang w:val="en-GB"/>
        </w:rPr>
        <w:t>networks</w:t>
      </w:r>
      <w:r w:rsidRPr="00CB5241">
        <w:rPr>
          <w:lang w:val="en-GB"/>
        </w:rPr>
        <w:t xml:space="preserve"> of military vessels has changed by V</w:t>
      </w:r>
      <w:r w:rsidR="000D3258">
        <w:rPr>
          <w:lang w:val="en-GB"/>
        </w:rPr>
        <w:t>oltage</w:t>
      </w:r>
      <w:r w:rsidRPr="00CB5241">
        <w:rPr>
          <w:lang w:val="en-GB"/>
        </w:rPr>
        <w:t>/f</w:t>
      </w:r>
      <w:r w:rsidR="000D3258">
        <w:rPr>
          <w:lang w:val="en-GB"/>
        </w:rPr>
        <w:t>requency</w:t>
      </w:r>
      <w:r w:rsidRPr="00CB5241">
        <w:rPr>
          <w:lang w:val="en-GB"/>
        </w:rPr>
        <w:t xml:space="preserve"> levels, imposing reflections on the correspondence of the electrical </w:t>
      </w:r>
      <w:r>
        <w:rPr>
          <w:lang w:val="en-GB"/>
        </w:rPr>
        <w:t xml:space="preserve">shore </w:t>
      </w:r>
      <w:r w:rsidRPr="00CB5241">
        <w:rPr>
          <w:lang w:val="en-GB"/>
        </w:rPr>
        <w:t>interface. The ISO/IEC/IEEE 80005-1 standard attempts to set the use of SCSs with a value of 6.6 kVac or 11 kVac for ships with power demand greater than 1 MVA</w:t>
      </w:r>
      <w:r w:rsidR="00CD514D">
        <w:rPr>
          <w:lang w:val="en-GB"/>
        </w:rPr>
        <w:t xml:space="preserve"> [</w:t>
      </w:r>
      <w:r w:rsidR="008D2116">
        <w:rPr>
          <w:lang w:val="en-GB"/>
        </w:rPr>
        <w:t>7</w:t>
      </w:r>
      <w:r w:rsidR="00CD514D">
        <w:rPr>
          <w:lang w:val="en-GB"/>
        </w:rPr>
        <w:t>]</w:t>
      </w:r>
      <w:r w:rsidRPr="00CB5241">
        <w:rPr>
          <w:lang w:val="en-GB"/>
        </w:rPr>
        <w:t xml:space="preserve">. </w:t>
      </w:r>
      <w:r w:rsidR="00451D34">
        <w:rPr>
          <w:lang w:val="en-GB"/>
        </w:rPr>
        <w:t>However, t</w:t>
      </w:r>
      <w:r w:rsidRPr="00CB5241">
        <w:rPr>
          <w:lang w:val="en-GB"/>
        </w:rPr>
        <w:t>his solution is</w:t>
      </w:r>
      <w:r w:rsidR="00451D34">
        <w:rPr>
          <w:lang w:val="en-GB"/>
        </w:rPr>
        <w:t xml:space="preserve"> </w:t>
      </w:r>
      <w:r w:rsidRPr="00CB5241">
        <w:rPr>
          <w:lang w:val="en-GB"/>
        </w:rPr>
        <w:t>a compromise</w:t>
      </w:r>
      <w:r w:rsidR="00451D34">
        <w:rPr>
          <w:lang w:val="en-GB"/>
        </w:rPr>
        <w:t>. That is</w:t>
      </w:r>
      <w:r w:rsidRPr="00CB5241">
        <w:rPr>
          <w:lang w:val="en-GB"/>
        </w:rPr>
        <w:t xml:space="preserve"> useful for a ship market essentially spot</w:t>
      </w:r>
      <w:r w:rsidR="00451D34">
        <w:rPr>
          <w:lang w:val="en-GB"/>
        </w:rPr>
        <w:t xml:space="preserve">, </w:t>
      </w:r>
      <w:r w:rsidRPr="00CB5241">
        <w:rPr>
          <w:lang w:val="en-GB"/>
        </w:rPr>
        <w:t>with short time spent in port (a few hours) and characterized by different stakeholders (</w:t>
      </w:r>
      <w:r w:rsidR="0047615C" w:rsidRPr="00CB5241">
        <w:rPr>
          <w:lang w:val="en-GB"/>
        </w:rPr>
        <w:t>ship-owners</w:t>
      </w:r>
      <w:r w:rsidRPr="00CB5241">
        <w:rPr>
          <w:lang w:val="en-GB"/>
        </w:rPr>
        <w:t xml:space="preserve">, port authorities): a complete standardization remains more theoretical than practical. </w:t>
      </w:r>
      <w:r w:rsidRPr="00B409B4">
        <w:rPr>
          <w:lang w:val="en-GB"/>
        </w:rPr>
        <w:t xml:space="preserve">The use of Navy ships is very different from that of merchant or cruise ships. </w:t>
      </w:r>
      <w:r w:rsidR="007C6372">
        <w:rPr>
          <w:lang w:val="en-GB"/>
        </w:rPr>
        <w:t>Figure 6</w:t>
      </w:r>
      <w:r w:rsidRPr="00CB5241">
        <w:rPr>
          <w:lang w:val="en-GB"/>
        </w:rPr>
        <w:t xml:space="preserve"> shows some differences </w:t>
      </w:r>
      <w:r w:rsidR="00E0472F">
        <w:rPr>
          <w:lang w:val="en-GB"/>
        </w:rPr>
        <w:t xml:space="preserve">between the Merchant Marine and the Navy. For the Navy only, it emerges the triple role of the </w:t>
      </w:r>
      <w:r w:rsidRPr="00CB5241">
        <w:rPr>
          <w:lang w:val="en-GB"/>
        </w:rPr>
        <w:t xml:space="preserve">“State” as the </w:t>
      </w:r>
      <w:r w:rsidR="0047615C">
        <w:rPr>
          <w:lang w:val="en-GB"/>
        </w:rPr>
        <w:t>Ship-</w:t>
      </w:r>
      <w:r w:rsidR="0047615C" w:rsidRPr="00CB5241">
        <w:rPr>
          <w:lang w:val="en-GB"/>
        </w:rPr>
        <w:t>owner</w:t>
      </w:r>
      <w:r w:rsidRPr="00CB5241">
        <w:rPr>
          <w:lang w:val="en-GB"/>
        </w:rPr>
        <w:t xml:space="preserve">, owner of the port facilities and decision-maker of the ship’s </w:t>
      </w:r>
      <w:r w:rsidR="000D3258">
        <w:rPr>
          <w:lang w:val="en-GB"/>
        </w:rPr>
        <w:t>task</w:t>
      </w:r>
      <w:r w:rsidRPr="00CB5241">
        <w:rPr>
          <w:lang w:val="en-GB"/>
        </w:rPr>
        <w:t xml:space="preserve"> profile.</w:t>
      </w:r>
    </w:p>
    <w:p w:rsidR="00946B16" w:rsidRPr="00CB5241" w:rsidRDefault="00946B16" w:rsidP="00CF7883">
      <w:pPr>
        <w:ind w:firstLine="0"/>
        <w:jc w:val="center"/>
        <w:rPr>
          <w:lang w:val="en-GB"/>
        </w:rPr>
      </w:pPr>
      <w:r>
        <w:rPr>
          <w:noProof/>
          <w:lang w:val="it-IT" w:eastAsia="it-IT"/>
        </w:rPr>
        <w:lastRenderedPageBreak/>
        <w:drawing>
          <wp:inline distT="0" distB="0" distL="0" distR="0" wp14:anchorId="775BCC24" wp14:editId="72945910">
            <wp:extent cx="4500726" cy="126873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0742" cy="1305381"/>
                    </a:xfrm>
                    <a:prstGeom prst="rect">
                      <a:avLst/>
                    </a:prstGeom>
                  </pic:spPr>
                </pic:pic>
              </a:graphicData>
            </a:graphic>
          </wp:inline>
        </w:drawing>
      </w:r>
    </w:p>
    <w:p w:rsidR="00785A27" w:rsidRDefault="007C6372" w:rsidP="00785A27">
      <w:pPr>
        <w:pStyle w:val="CaptionShort"/>
        <w:rPr>
          <w:lang w:val="en-GB"/>
        </w:rPr>
      </w:pPr>
      <w:r>
        <w:rPr>
          <w:b/>
          <w:lang w:val="en-GB"/>
        </w:rPr>
        <w:t>Figure 6</w:t>
      </w:r>
      <w:r w:rsidR="00785A27" w:rsidRPr="00F516DB">
        <w:rPr>
          <w:b/>
          <w:lang w:val="en-GB"/>
        </w:rPr>
        <w:t>.</w:t>
      </w:r>
      <w:r w:rsidR="00785A27" w:rsidRPr="00F516DB">
        <w:rPr>
          <w:lang w:val="en-GB"/>
        </w:rPr>
        <w:t xml:space="preserve"> </w:t>
      </w:r>
      <w:r w:rsidR="00785A27">
        <w:rPr>
          <w:lang w:val="en-GB"/>
        </w:rPr>
        <w:t>Some differences between the Merchant Marine and the Navy (the reference is to a port infrastructure)</w:t>
      </w:r>
      <w:r w:rsidR="00785A27" w:rsidRPr="00F516DB">
        <w:rPr>
          <w:lang w:val="en-GB"/>
        </w:rPr>
        <w:t>.</w:t>
      </w:r>
    </w:p>
    <w:p w:rsidR="009425AE" w:rsidRPr="00752E0A" w:rsidRDefault="007864A9" w:rsidP="00F27C35">
      <w:pPr>
        <w:pStyle w:val="Titolo1"/>
        <w:numPr>
          <w:ilvl w:val="0"/>
          <w:numId w:val="24"/>
        </w:numPr>
        <w:ind w:left="454" w:hanging="454"/>
        <w:rPr>
          <w:lang w:val="it-IT"/>
        </w:rPr>
      </w:pPr>
      <w:r>
        <w:rPr>
          <w:lang w:val="it-IT"/>
        </w:rPr>
        <w:t xml:space="preserve">The SNMG </w:t>
      </w:r>
      <w:r w:rsidR="0095714A">
        <w:rPr>
          <w:lang w:val="it-IT"/>
        </w:rPr>
        <w:t xml:space="preserve">Case Study </w:t>
      </w:r>
    </w:p>
    <w:p w:rsidR="00752177" w:rsidRDefault="007864A9" w:rsidP="002368A8">
      <w:pPr>
        <w:pStyle w:val="CaptionShort"/>
        <w:jc w:val="both"/>
        <w:rPr>
          <w:sz w:val="20"/>
          <w:lang w:val="en-GB"/>
        </w:rPr>
      </w:pPr>
      <w:r w:rsidRPr="007864A9">
        <w:rPr>
          <w:sz w:val="20"/>
          <w:lang w:val="en-GB"/>
        </w:rPr>
        <w:t>The input data</w:t>
      </w:r>
      <w:r w:rsidR="00DF5340">
        <w:rPr>
          <w:sz w:val="20"/>
          <w:lang w:val="en-GB"/>
        </w:rPr>
        <w:t xml:space="preserve"> for the Fleet 2027 shore connecti</w:t>
      </w:r>
      <w:r w:rsidR="007C6372">
        <w:rPr>
          <w:sz w:val="20"/>
          <w:lang w:val="en-GB"/>
        </w:rPr>
        <w:t>on load demand are showed on figure 7</w:t>
      </w:r>
      <w:r w:rsidR="00DF5340">
        <w:rPr>
          <w:sz w:val="20"/>
          <w:lang w:val="en-GB"/>
        </w:rPr>
        <w:t xml:space="preserve">. </w:t>
      </w:r>
      <w:r w:rsidR="00752177">
        <w:rPr>
          <w:sz w:val="20"/>
          <w:lang w:val="en-GB"/>
        </w:rPr>
        <w:t xml:space="preserve">The data are </w:t>
      </w:r>
      <w:r w:rsidR="00DF5340">
        <w:rPr>
          <w:sz w:val="20"/>
          <w:lang w:val="en-GB"/>
        </w:rPr>
        <w:t>to be</w:t>
      </w:r>
      <w:r w:rsidRPr="007864A9">
        <w:rPr>
          <w:sz w:val="20"/>
          <w:lang w:val="en-GB"/>
        </w:rPr>
        <w:t xml:space="preserve"> </w:t>
      </w:r>
      <w:r w:rsidR="003D5620" w:rsidRPr="007864A9">
        <w:rPr>
          <w:sz w:val="20"/>
          <w:lang w:val="en-GB"/>
        </w:rPr>
        <w:t>understood</w:t>
      </w:r>
      <w:r w:rsidRPr="007864A9">
        <w:rPr>
          <w:sz w:val="20"/>
          <w:lang w:val="en-GB"/>
        </w:rPr>
        <w:t xml:space="preserve"> as “peak” </w:t>
      </w:r>
      <w:r w:rsidR="00752177">
        <w:rPr>
          <w:sz w:val="20"/>
          <w:lang w:val="en-GB"/>
        </w:rPr>
        <w:t xml:space="preserve">values </w:t>
      </w:r>
      <w:r w:rsidRPr="007864A9">
        <w:rPr>
          <w:sz w:val="20"/>
          <w:lang w:val="en-GB"/>
        </w:rPr>
        <w:t>and non-</w:t>
      </w:r>
      <w:r w:rsidR="003D5620" w:rsidRPr="007864A9">
        <w:rPr>
          <w:sz w:val="20"/>
          <w:lang w:val="en-GB"/>
        </w:rPr>
        <w:t>continuous</w:t>
      </w:r>
      <w:r w:rsidR="00752177">
        <w:rPr>
          <w:sz w:val="20"/>
          <w:lang w:val="en-GB"/>
        </w:rPr>
        <w:t>.</w:t>
      </w:r>
    </w:p>
    <w:p w:rsidR="001A3E3B" w:rsidRDefault="001A3E3B" w:rsidP="001A3E3B">
      <w:pPr>
        <w:pStyle w:val="CaptionShort"/>
        <w:rPr>
          <w:sz w:val="20"/>
          <w:lang w:val="en-GB"/>
        </w:rPr>
      </w:pPr>
      <w:r>
        <w:rPr>
          <w:noProof/>
          <w:lang w:val="it-IT" w:eastAsia="it-IT"/>
        </w:rPr>
        <w:drawing>
          <wp:inline distT="0" distB="0" distL="0" distR="0" wp14:anchorId="115571D5" wp14:editId="5627778D">
            <wp:extent cx="4445251" cy="99450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5957" cy="1001377"/>
                    </a:xfrm>
                    <a:prstGeom prst="rect">
                      <a:avLst/>
                    </a:prstGeom>
                  </pic:spPr>
                </pic:pic>
              </a:graphicData>
            </a:graphic>
          </wp:inline>
        </w:drawing>
      </w:r>
    </w:p>
    <w:p w:rsidR="00C1475E" w:rsidRPr="001E7B4D" w:rsidRDefault="00C1475E" w:rsidP="00C1475E">
      <w:pPr>
        <w:pStyle w:val="CaptionShort"/>
        <w:rPr>
          <w:lang w:val="en-GB"/>
        </w:rPr>
      </w:pPr>
      <w:r>
        <w:rPr>
          <w:b/>
          <w:lang w:val="en-GB"/>
        </w:rPr>
        <w:t>Figure</w:t>
      </w:r>
      <w:r w:rsidRPr="00D86D7F">
        <w:rPr>
          <w:b/>
          <w:lang w:val="en-GB"/>
        </w:rPr>
        <w:t xml:space="preserve"> </w:t>
      </w:r>
      <w:r w:rsidR="007C6372">
        <w:rPr>
          <w:b/>
          <w:lang w:val="en-GB"/>
        </w:rPr>
        <w:t>7</w:t>
      </w:r>
      <w:r w:rsidRPr="00D86D7F">
        <w:rPr>
          <w:b/>
          <w:lang w:val="en-GB"/>
        </w:rPr>
        <w:t>.</w:t>
      </w:r>
      <w:r w:rsidRPr="00D86D7F">
        <w:rPr>
          <w:lang w:val="en-GB"/>
        </w:rPr>
        <w:t xml:space="preserve"> Input data for the Case Study SNMG power grid (in red, the ships for which the new shore </w:t>
      </w:r>
      <w:r w:rsidRPr="001E7B4D">
        <w:rPr>
          <w:lang w:val="en-GB"/>
        </w:rPr>
        <w:t>connection systems are to be built).</w:t>
      </w:r>
    </w:p>
    <w:p w:rsidR="00453ABE" w:rsidRPr="007864A9" w:rsidRDefault="007864A9" w:rsidP="002368A8">
      <w:pPr>
        <w:pStyle w:val="CaptionShort"/>
        <w:jc w:val="both"/>
        <w:rPr>
          <w:sz w:val="20"/>
          <w:lang w:val="en-GB"/>
        </w:rPr>
      </w:pPr>
      <w:r w:rsidRPr="007864A9">
        <w:rPr>
          <w:sz w:val="20"/>
          <w:lang w:val="en-GB"/>
        </w:rPr>
        <w:t>The results highlighted some “</w:t>
      </w:r>
      <w:r w:rsidR="003D5620">
        <w:rPr>
          <w:sz w:val="20"/>
          <w:lang w:val="en-GB"/>
        </w:rPr>
        <w:t>grid</w:t>
      </w:r>
      <w:r w:rsidRPr="007864A9">
        <w:rPr>
          <w:sz w:val="20"/>
          <w:lang w:val="en-GB"/>
        </w:rPr>
        <w:t xml:space="preserve"> bottlenecks”</w:t>
      </w:r>
      <w:r w:rsidR="00D92919" w:rsidRPr="007864A9">
        <w:rPr>
          <w:sz w:val="20"/>
          <w:lang w:val="en-GB"/>
        </w:rPr>
        <w:t>:</w:t>
      </w:r>
    </w:p>
    <w:p w:rsidR="007864A9" w:rsidRPr="00B409B4" w:rsidRDefault="007864A9" w:rsidP="00E251D8">
      <w:pPr>
        <w:pStyle w:val="CaptionShort"/>
        <w:numPr>
          <w:ilvl w:val="0"/>
          <w:numId w:val="25"/>
        </w:numPr>
        <w:ind w:left="284" w:hanging="284"/>
        <w:jc w:val="both"/>
        <w:rPr>
          <w:sz w:val="20"/>
          <w:lang w:val="en-GB"/>
        </w:rPr>
      </w:pPr>
      <w:r>
        <w:rPr>
          <w:sz w:val="20"/>
          <w:lang w:val="en-GB"/>
        </w:rPr>
        <w:t>“</w:t>
      </w:r>
      <w:r w:rsidR="00453ABE" w:rsidRPr="007864A9">
        <w:rPr>
          <w:sz w:val="20"/>
          <w:lang w:val="en-GB"/>
        </w:rPr>
        <w:t>P</w:t>
      </w:r>
      <w:r>
        <w:rPr>
          <w:sz w:val="20"/>
          <w:lang w:val="en-GB"/>
        </w:rPr>
        <w:t xml:space="preserve">eak” </w:t>
      </w:r>
      <w:r w:rsidR="00453ABE" w:rsidRPr="007864A9">
        <w:rPr>
          <w:sz w:val="20"/>
          <w:lang w:val="en-GB"/>
        </w:rPr>
        <w:t>total</w:t>
      </w:r>
      <w:r>
        <w:rPr>
          <w:sz w:val="20"/>
          <w:lang w:val="en-GB"/>
        </w:rPr>
        <w:t xml:space="preserve"> </w:t>
      </w:r>
      <w:r w:rsidRPr="007864A9">
        <w:rPr>
          <w:sz w:val="20"/>
          <w:lang w:val="en-GB"/>
        </w:rPr>
        <w:t xml:space="preserve">power required ships </w:t>
      </w:r>
      <w:r w:rsidR="00752177">
        <w:rPr>
          <w:sz w:val="20"/>
          <w:lang w:val="en-GB"/>
        </w:rPr>
        <w:t xml:space="preserve">and port buildings is </w:t>
      </w:r>
      <w:r w:rsidRPr="007864A9">
        <w:rPr>
          <w:sz w:val="20"/>
          <w:lang w:val="en-GB"/>
        </w:rPr>
        <w:t>equal to 34.5 MVA</w:t>
      </w:r>
      <w:r w:rsidR="00752177">
        <w:rPr>
          <w:sz w:val="20"/>
          <w:lang w:val="en-GB"/>
        </w:rPr>
        <w:t xml:space="preserve">. It </w:t>
      </w:r>
      <w:r w:rsidRPr="007864A9">
        <w:rPr>
          <w:sz w:val="20"/>
          <w:lang w:val="en-GB"/>
        </w:rPr>
        <w:t xml:space="preserve">exceeds the maximum limit of power that can be supplied from the ground </w:t>
      </w:r>
      <w:r>
        <w:rPr>
          <w:sz w:val="20"/>
          <w:lang w:val="en-GB"/>
        </w:rPr>
        <w:t xml:space="preserve">system </w:t>
      </w:r>
      <w:r w:rsidR="00752177">
        <w:rPr>
          <w:sz w:val="20"/>
          <w:lang w:val="en-GB"/>
        </w:rPr>
        <w:t xml:space="preserve">that is </w:t>
      </w:r>
      <w:r w:rsidRPr="007864A9">
        <w:rPr>
          <w:sz w:val="20"/>
          <w:lang w:val="en-GB"/>
        </w:rPr>
        <w:t xml:space="preserve">32 MVA. </w:t>
      </w:r>
      <w:r w:rsidRPr="00B409B4">
        <w:rPr>
          <w:sz w:val="20"/>
          <w:lang w:val="en-GB"/>
        </w:rPr>
        <w:t xml:space="preserve">However, the average values absorbed by the Units were also investigated. Figure </w:t>
      </w:r>
      <w:r w:rsidR="007C6372">
        <w:rPr>
          <w:sz w:val="20"/>
          <w:lang w:val="en-GB"/>
        </w:rPr>
        <w:t>8 shows an example</w:t>
      </w:r>
      <w:r w:rsidRPr="00B409B4">
        <w:rPr>
          <w:sz w:val="20"/>
          <w:lang w:val="en-GB"/>
        </w:rPr>
        <w:t xml:space="preserve"> the energy performance of ITS Cavour during 6 working days and during a typical working day (standard winter </w:t>
      </w:r>
      <w:r w:rsidR="003D5620" w:rsidRPr="00B409B4">
        <w:rPr>
          <w:sz w:val="20"/>
          <w:lang w:val="en-GB"/>
        </w:rPr>
        <w:t>harbour</w:t>
      </w:r>
      <w:r w:rsidRPr="00B409B4">
        <w:rPr>
          <w:sz w:val="20"/>
          <w:lang w:val="en-GB"/>
        </w:rPr>
        <w:t xml:space="preserve"> setting).</w:t>
      </w:r>
      <w:r w:rsidR="006321B0" w:rsidRPr="00B409B4">
        <w:rPr>
          <w:sz w:val="20"/>
          <w:lang w:val="en-GB"/>
        </w:rPr>
        <w:t xml:space="preserve"> </w:t>
      </w:r>
    </w:p>
    <w:p w:rsidR="008D6DAC" w:rsidRDefault="00E251D8" w:rsidP="006321B0">
      <w:pPr>
        <w:pStyle w:val="CaptionShort"/>
        <w:rPr>
          <w:sz w:val="20"/>
          <w:lang w:val="it-IT"/>
        </w:rPr>
      </w:pPr>
      <w:r>
        <w:rPr>
          <w:noProof/>
          <w:lang w:val="it-IT" w:eastAsia="it-IT"/>
        </w:rPr>
        <w:drawing>
          <wp:inline distT="0" distB="0" distL="0" distR="0" wp14:anchorId="055C869B" wp14:editId="49A49078">
            <wp:extent cx="4341998" cy="1580137"/>
            <wp:effectExtent l="0" t="0" r="190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61520" cy="1587241"/>
                    </a:xfrm>
                    <a:prstGeom prst="rect">
                      <a:avLst/>
                    </a:prstGeom>
                  </pic:spPr>
                </pic:pic>
              </a:graphicData>
            </a:graphic>
          </wp:inline>
        </w:drawing>
      </w:r>
    </w:p>
    <w:p w:rsidR="00E251D8" w:rsidRDefault="00E251D8" w:rsidP="00E251D8">
      <w:pPr>
        <w:pStyle w:val="CaptionShort"/>
        <w:rPr>
          <w:lang w:val="en-GB"/>
        </w:rPr>
      </w:pPr>
      <w:r w:rsidRPr="00F516DB">
        <w:rPr>
          <w:b/>
          <w:lang w:val="en-GB"/>
        </w:rPr>
        <w:t xml:space="preserve">Figure </w:t>
      </w:r>
      <w:r w:rsidR="007C6372">
        <w:rPr>
          <w:b/>
          <w:lang w:val="en-GB"/>
        </w:rPr>
        <w:t>8</w:t>
      </w:r>
      <w:r w:rsidRPr="00F516DB">
        <w:rPr>
          <w:b/>
          <w:lang w:val="en-GB"/>
        </w:rPr>
        <w:t>.</w:t>
      </w:r>
      <w:r w:rsidRPr="00F516DB">
        <w:rPr>
          <w:lang w:val="en-GB"/>
        </w:rPr>
        <w:t xml:space="preserve"> </w:t>
      </w:r>
      <w:r>
        <w:rPr>
          <w:lang w:val="en-GB"/>
        </w:rPr>
        <w:t xml:space="preserve">Power trend for cold ironing of ITS Cavour during 6 working days (on left) and during one </w:t>
      </w:r>
      <w:r w:rsidR="003D5620">
        <w:rPr>
          <w:lang w:val="en-GB"/>
        </w:rPr>
        <w:t>typical</w:t>
      </w:r>
      <w:r>
        <w:rPr>
          <w:lang w:val="en-GB"/>
        </w:rPr>
        <w:t xml:space="preserve"> working day (on right)</w:t>
      </w:r>
      <w:r w:rsidRPr="00F516DB">
        <w:rPr>
          <w:lang w:val="en-GB"/>
        </w:rPr>
        <w:t>.</w:t>
      </w:r>
    </w:p>
    <w:p w:rsidR="00E251D8" w:rsidRPr="00420705" w:rsidRDefault="00420705" w:rsidP="00A25E0D">
      <w:pPr>
        <w:pStyle w:val="CaptionShort"/>
        <w:ind w:left="284"/>
        <w:jc w:val="both"/>
        <w:rPr>
          <w:sz w:val="20"/>
          <w:lang w:val="en-GB"/>
        </w:rPr>
      </w:pPr>
      <w:r w:rsidRPr="00420705">
        <w:rPr>
          <w:sz w:val="20"/>
          <w:lang w:val="en-GB"/>
        </w:rPr>
        <w:t xml:space="preserve">Although trend data refer only to the winter season, they provide </w:t>
      </w:r>
      <w:r w:rsidR="00752177">
        <w:rPr>
          <w:sz w:val="20"/>
          <w:lang w:val="en-GB"/>
        </w:rPr>
        <w:t>significant</w:t>
      </w:r>
      <w:r w:rsidRPr="00420705">
        <w:rPr>
          <w:sz w:val="20"/>
          <w:lang w:val="en-GB"/>
        </w:rPr>
        <w:t xml:space="preserve"> considerations</w:t>
      </w:r>
      <w:r w:rsidR="00E251D8" w:rsidRPr="00420705">
        <w:rPr>
          <w:sz w:val="20"/>
          <w:lang w:val="en-GB"/>
        </w:rPr>
        <w:t>:</w:t>
      </w:r>
    </w:p>
    <w:p w:rsidR="00E251D8" w:rsidRPr="00420705" w:rsidRDefault="00420705" w:rsidP="00D5794D">
      <w:pPr>
        <w:pStyle w:val="CaptionShort"/>
        <w:numPr>
          <w:ilvl w:val="0"/>
          <w:numId w:val="32"/>
        </w:numPr>
        <w:spacing w:before="0" w:after="0"/>
        <w:jc w:val="both"/>
        <w:rPr>
          <w:sz w:val="20"/>
          <w:lang w:val="en-GB"/>
        </w:rPr>
      </w:pPr>
      <w:r w:rsidRPr="00420705">
        <w:rPr>
          <w:sz w:val="20"/>
          <w:lang w:val="en-GB"/>
        </w:rPr>
        <w:lastRenderedPageBreak/>
        <w:t>The power absorbed by the ship in port</w:t>
      </w:r>
      <w:r w:rsidR="0047615C">
        <w:rPr>
          <w:sz w:val="20"/>
          <w:lang w:val="en-GB"/>
        </w:rPr>
        <w:t xml:space="preserve"> </w:t>
      </w:r>
      <w:r w:rsidRPr="00420705">
        <w:rPr>
          <w:sz w:val="20"/>
          <w:lang w:val="en-GB"/>
        </w:rPr>
        <w:t>is not constant but oscillates both in the 24 hours and in the week</w:t>
      </w:r>
      <w:r w:rsidR="00E251D8" w:rsidRPr="00420705">
        <w:rPr>
          <w:sz w:val="20"/>
          <w:lang w:val="en-GB"/>
        </w:rPr>
        <w:t>;</w:t>
      </w:r>
    </w:p>
    <w:p w:rsidR="00E251D8" w:rsidRPr="00420705" w:rsidRDefault="00420705" w:rsidP="00D5794D">
      <w:pPr>
        <w:pStyle w:val="CaptionShort"/>
        <w:numPr>
          <w:ilvl w:val="0"/>
          <w:numId w:val="32"/>
        </w:numPr>
        <w:spacing w:before="0" w:after="0"/>
        <w:jc w:val="both"/>
        <w:rPr>
          <w:sz w:val="20"/>
          <w:lang w:val="en-GB"/>
        </w:rPr>
      </w:pPr>
      <w:r w:rsidRPr="00420705">
        <w:rPr>
          <w:sz w:val="20"/>
          <w:lang w:val="en-GB"/>
        </w:rPr>
        <w:t>The average value of the absorbed power is about 2.7 MVA, that is, less than the 4 MVA estimated in the project</w:t>
      </w:r>
      <w:r w:rsidR="00ED3B7F">
        <w:rPr>
          <w:sz w:val="20"/>
          <w:lang w:val="en-GB"/>
        </w:rPr>
        <w:t xml:space="preserve"> and</w:t>
      </w:r>
      <w:r w:rsidR="00752177">
        <w:rPr>
          <w:sz w:val="20"/>
          <w:lang w:val="en-GB"/>
        </w:rPr>
        <w:t xml:space="preserve"> </w:t>
      </w:r>
      <w:r w:rsidRPr="00420705">
        <w:rPr>
          <w:sz w:val="20"/>
          <w:lang w:val="en-GB"/>
        </w:rPr>
        <w:t>the power values never exceed the peak of the 3 MVA</w:t>
      </w:r>
      <w:r w:rsidR="00ED3B7F">
        <w:rPr>
          <w:sz w:val="20"/>
          <w:lang w:val="en-GB"/>
        </w:rPr>
        <w:t xml:space="preserve"> (</w:t>
      </w:r>
      <w:r w:rsidRPr="00420705">
        <w:rPr>
          <w:sz w:val="20"/>
          <w:lang w:val="en-GB"/>
        </w:rPr>
        <w:t>therefore, below 25 % to the estimate data</w:t>
      </w:r>
      <w:r w:rsidR="00ED3B7F">
        <w:rPr>
          <w:sz w:val="20"/>
          <w:lang w:val="en-GB"/>
        </w:rPr>
        <w:t>)</w:t>
      </w:r>
      <w:r w:rsidR="00E251D8" w:rsidRPr="00420705">
        <w:rPr>
          <w:sz w:val="20"/>
          <w:lang w:val="en-GB"/>
        </w:rPr>
        <w:t>;</w:t>
      </w:r>
    </w:p>
    <w:p w:rsidR="00420705" w:rsidRPr="00420705" w:rsidRDefault="00420705" w:rsidP="00D5794D">
      <w:pPr>
        <w:pStyle w:val="CaptionShort"/>
        <w:numPr>
          <w:ilvl w:val="0"/>
          <w:numId w:val="32"/>
        </w:numPr>
        <w:spacing w:before="0" w:after="0"/>
        <w:jc w:val="both"/>
        <w:rPr>
          <w:sz w:val="20"/>
          <w:lang w:val="en-GB"/>
        </w:rPr>
      </w:pPr>
      <w:r w:rsidRPr="00420705">
        <w:rPr>
          <w:sz w:val="20"/>
          <w:lang w:val="en-GB"/>
        </w:rPr>
        <w:t>The time interval in which the power request is higher coincides with the working day, tha</w:t>
      </w:r>
      <w:r>
        <w:rPr>
          <w:sz w:val="20"/>
          <w:lang w:val="en-GB"/>
        </w:rPr>
        <w:t xml:space="preserve">t </w:t>
      </w:r>
      <w:r w:rsidRPr="00420705">
        <w:rPr>
          <w:sz w:val="20"/>
          <w:lang w:val="en-GB"/>
        </w:rPr>
        <w:t>is, when most of the ship’s crew is present on board;</w:t>
      </w:r>
    </w:p>
    <w:p w:rsidR="00E251D8" w:rsidRPr="00420705" w:rsidRDefault="00420705" w:rsidP="00D5794D">
      <w:pPr>
        <w:pStyle w:val="CaptionShort"/>
        <w:numPr>
          <w:ilvl w:val="0"/>
          <w:numId w:val="32"/>
        </w:numPr>
        <w:spacing w:before="0" w:after="0"/>
        <w:jc w:val="both"/>
        <w:rPr>
          <w:sz w:val="20"/>
          <w:lang w:val="en-GB"/>
        </w:rPr>
      </w:pPr>
      <w:r w:rsidRPr="00420705">
        <w:rPr>
          <w:sz w:val="20"/>
          <w:lang w:val="en-GB"/>
        </w:rPr>
        <w:t xml:space="preserve">The consumption of a standard working day in winter is about 53 </w:t>
      </w:r>
      <w:r w:rsidR="00E251D8" w:rsidRPr="00420705">
        <w:rPr>
          <w:sz w:val="20"/>
          <w:lang w:val="en-GB"/>
        </w:rPr>
        <w:t>MWh;</w:t>
      </w:r>
    </w:p>
    <w:p w:rsidR="00E251D8" w:rsidRPr="00420705" w:rsidRDefault="00420705" w:rsidP="00D5794D">
      <w:pPr>
        <w:pStyle w:val="CaptionShort"/>
        <w:numPr>
          <w:ilvl w:val="0"/>
          <w:numId w:val="32"/>
        </w:numPr>
        <w:spacing w:before="0" w:after="0"/>
        <w:jc w:val="both"/>
        <w:rPr>
          <w:sz w:val="20"/>
          <w:lang w:val="en-GB"/>
        </w:rPr>
      </w:pPr>
      <w:r w:rsidRPr="00420705">
        <w:rPr>
          <w:sz w:val="20"/>
          <w:lang w:val="en-GB"/>
        </w:rPr>
        <w:t xml:space="preserve">The cost of ITS Cavour’s electricity </w:t>
      </w:r>
      <w:r w:rsidR="0047615C" w:rsidRPr="00420705">
        <w:rPr>
          <w:sz w:val="20"/>
          <w:lang w:val="en-GB"/>
        </w:rPr>
        <w:t>consumption</w:t>
      </w:r>
      <w:r w:rsidRPr="00420705">
        <w:rPr>
          <w:sz w:val="20"/>
          <w:lang w:val="en-GB"/>
        </w:rPr>
        <w:t xml:space="preserve"> when in winter cold </w:t>
      </w:r>
      <w:r w:rsidR="00E251D8" w:rsidRPr="00420705">
        <w:rPr>
          <w:sz w:val="20"/>
          <w:lang w:val="en-GB"/>
        </w:rPr>
        <w:t xml:space="preserve">ironing </w:t>
      </w:r>
      <w:r w:rsidR="00ED3B7F">
        <w:rPr>
          <w:sz w:val="20"/>
          <w:lang w:val="en-GB"/>
        </w:rPr>
        <w:t xml:space="preserve">and </w:t>
      </w:r>
      <w:r w:rsidRPr="00420705">
        <w:rPr>
          <w:sz w:val="20"/>
          <w:lang w:val="en-GB"/>
        </w:rPr>
        <w:t xml:space="preserve">for a high-intensity working day is about </w:t>
      </w:r>
      <w:r w:rsidR="00E251D8" w:rsidRPr="00420705">
        <w:rPr>
          <w:sz w:val="20"/>
          <w:lang w:val="en-GB"/>
        </w:rPr>
        <w:t>8 k€ (</w:t>
      </w:r>
      <w:r w:rsidRPr="00420705">
        <w:rPr>
          <w:sz w:val="20"/>
          <w:lang w:val="en-GB"/>
        </w:rPr>
        <w:t xml:space="preserve">if the ship’s </w:t>
      </w:r>
      <w:r>
        <w:rPr>
          <w:sz w:val="20"/>
          <w:lang w:val="en-GB"/>
        </w:rPr>
        <w:t xml:space="preserve">electric </w:t>
      </w:r>
      <w:r w:rsidRPr="00420705">
        <w:rPr>
          <w:sz w:val="20"/>
          <w:lang w:val="en-GB"/>
        </w:rPr>
        <w:t xml:space="preserve">plant </w:t>
      </w:r>
      <w:r>
        <w:rPr>
          <w:sz w:val="20"/>
          <w:lang w:val="en-GB"/>
        </w:rPr>
        <w:t>was built at 60 Hz, it is estimated an increase in cost around 8</w:t>
      </w:r>
      <w:r w:rsidR="00E251D8" w:rsidRPr="00420705">
        <w:rPr>
          <w:sz w:val="20"/>
          <w:lang w:val="en-GB"/>
        </w:rPr>
        <w:t>%).</w:t>
      </w:r>
    </w:p>
    <w:p w:rsidR="00432318" w:rsidRPr="00432318" w:rsidRDefault="00432318" w:rsidP="00237636">
      <w:pPr>
        <w:pStyle w:val="CaptionShort"/>
        <w:numPr>
          <w:ilvl w:val="0"/>
          <w:numId w:val="25"/>
        </w:numPr>
        <w:ind w:left="284" w:hanging="284"/>
        <w:jc w:val="both"/>
        <w:rPr>
          <w:sz w:val="20"/>
          <w:lang w:val="en-GB"/>
        </w:rPr>
      </w:pPr>
      <w:r w:rsidRPr="00432318">
        <w:rPr>
          <w:sz w:val="20"/>
          <w:lang w:val="en-GB"/>
        </w:rPr>
        <w:t>“Peak” total power required by 60 Hz ships equal to 24 MVA, that is, equal to the total nominal power of th</w:t>
      </w:r>
      <w:r w:rsidR="0047615C">
        <w:rPr>
          <w:sz w:val="20"/>
          <w:lang w:val="en-GB"/>
        </w:rPr>
        <w:t>e</w:t>
      </w:r>
      <w:r w:rsidRPr="00432318">
        <w:rPr>
          <w:sz w:val="20"/>
          <w:lang w:val="en-GB"/>
        </w:rPr>
        <w:t xml:space="preserve"> 50/60 Hz conver</w:t>
      </w:r>
      <w:r w:rsidR="0047615C">
        <w:rPr>
          <w:sz w:val="20"/>
          <w:lang w:val="en-GB"/>
        </w:rPr>
        <w:t>s</w:t>
      </w:r>
      <w:r w:rsidRPr="00432318">
        <w:rPr>
          <w:sz w:val="20"/>
          <w:lang w:val="en-GB"/>
        </w:rPr>
        <w:t>ion station. This is an important limitation</w:t>
      </w:r>
      <w:r w:rsidR="00ED3B7F">
        <w:rPr>
          <w:sz w:val="20"/>
          <w:lang w:val="en-GB"/>
        </w:rPr>
        <w:t>. W</w:t>
      </w:r>
      <w:r w:rsidRPr="00432318">
        <w:rPr>
          <w:sz w:val="20"/>
          <w:lang w:val="en-GB"/>
        </w:rPr>
        <w:t>ith the exception of the aforementioned point a., the solution in the case study under review imposes two possibilities:</w:t>
      </w:r>
    </w:p>
    <w:p w:rsidR="00432318" w:rsidRDefault="00432318" w:rsidP="007C6372">
      <w:pPr>
        <w:pStyle w:val="CaptionShort"/>
        <w:numPr>
          <w:ilvl w:val="0"/>
          <w:numId w:val="33"/>
        </w:numPr>
        <w:spacing w:before="0" w:after="0"/>
        <w:ind w:left="714" w:hanging="357"/>
        <w:jc w:val="both"/>
        <w:rPr>
          <w:sz w:val="20"/>
          <w:lang w:val="en-GB"/>
        </w:rPr>
      </w:pPr>
      <w:r w:rsidRPr="00432318">
        <w:rPr>
          <w:sz w:val="20"/>
          <w:lang w:val="en-GB"/>
        </w:rPr>
        <w:t xml:space="preserve">The first requires the use of on-board converters of the PPAs to receive power from the 50 Hz subnet. </w:t>
      </w:r>
      <w:r>
        <w:rPr>
          <w:sz w:val="20"/>
          <w:lang w:val="en-GB"/>
        </w:rPr>
        <w:t>The remaining 60 Hz ships would thus require a total power of just over 12 MVA;</w:t>
      </w:r>
    </w:p>
    <w:p w:rsidR="00432318" w:rsidRDefault="00432318" w:rsidP="00D5794D">
      <w:pPr>
        <w:pStyle w:val="CaptionShort"/>
        <w:numPr>
          <w:ilvl w:val="0"/>
          <w:numId w:val="33"/>
        </w:numPr>
        <w:spacing w:after="0"/>
        <w:jc w:val="both"/>
        <w:rPr>
          <w:sz w:val="20"/>
          <w:lang w:val="en-GB"/>
        </w:rPr>
      </w:pPr>
      <w:r w:rsidRPr="00432318">
        <w:rPr>
          <w:sz w:val="20"/>
          <w:lang w:val="en-GB"/>
        </w:rPr>
        <w:t xml:space="preserve">The second requires the construction of </w:t>
      </w:r>
      <w:r>
        <w:rPr>
          <w:sz w:val="20"/>
          <w:lang w:val="en-GB"/>
        </w:rPr>
        <w:t>SCSs</w:t>
      </w:r>
      <w:r w:rsidRPr="00432318">
        <w:rPr>
          <w:sz w:val="20"/>
          <w:lang w:val="en-GB"/>
        </w:rPr>
        <w:t xml:space="preserve"> equipped with its own static conversion system</w:t>
      </w:r>
      <w:r w:rsidR="00ED3B7F">
        <w:rPr>
          <w:sz w:val="20"/>
          <w:lang w:val="en-GB"/>
        </w:rPr>
        <w:t xml:space="preserve"> and</w:t>
      </w:r>
      <w:r w:rsidRPr="00432318">
        <w:rPr>
          <w:sz w:val="20"/>
          <w:lang w:val="en-GB"/>
        </w:rPr>
        <w:t xml:space="preserve"> capable of providing the dual frequency 50/60 Hz. In reality, such systems would only be a duplication of what the PPA </w:t>
      </w:r>
      <w:r>
        <w:rPr>
          <w:sz w:val="20"/>
          <w:lang w:val="en-GB"/>
        </w:rPr>
        <w:t xml:space="preserve">and LSS </w:t>
      </w:r>
      <w:r w:rsidRPr="00432318">
        <w:rPr>
          <w:sz w:val="20"/>
          <w:lang w:val="en-GB"/>
        </w:rPr>
        <w:t xml:space="preserve">propulsion converters can already do. Rather, it was thought of the acquisition of some multi-platform </w:t>
      </w:r>
      <w:r>
        <w:rPr>
          <w:sz w:val="20"/>
          <w:lang w:val="en-GB"/>
        </w:rPr>
        <w:t>SCSs</w:t>
      </w:r>
      <w:r w:rsidRPr="00432318">
        <w:rPr>
          <w:sz w:val="20"/>
          <w:lang w:val="en-GB"/>
        </w:rPr>
        <w:t>, able to output all voltage levels in use on MMI ships (400 V, 440 V, 690 V) at a frequency of 50 or 60 Hz, to a maximum power of 2.5 MVA</w:t>
      </w:r>
      <w:r>
        <w:rPr>
          <w:sz w:val="20"/>
          <w:lang w:val="en-GB"/>
        </w:rPr>
        <w:t xml:space="preserve"> each</w:t>
      </w:r>
      <w:r w:rsidRPr="00432318">
        <w:rPr>
          <w:sz w:val="20"/>
          <w:lang w:val="en-GB"/>
        </w:rPr>
        <w:t>. These systems represent the most versatile solution to the Case Study, even if economically more expensive.</w:t>
      </w:r>
    </w:p>
    <w:p w:rsidR="004C42CD" w:rsidRPr="00752E0A" w:rsidRDefault="00947866" w:rsidP="004C42CD">
      <w:pPr>
        <w:pStyle w:val="Titolo1"/>
        <w:numPr>
          <w:ilvl w:val="0"/>
          <w:numId w:val="24"/>
        </w:numPr>
        <w:ind w:left="454" w:hanging="454"/>
        <w:rPr>
          <w:lang w:val="it-IT"/>
        </w:rPr>
      </w:pPr>
      <w:r>
        <w:rPr>
          <w:lang w:val="it-IT"/>
        </w:rPr>
        <w:t>Future trends</w:t>
      </w:r>
    </w:p>
    <w:p w:rsidR="00B8725E" w:rsidRPr="00B8725E" w:rsidRDefault="00B8725E" w:rsidP="005A2504">
      <w:pPr>
        <w:pStyle w:val="CaptionShort"/>
        <w:spacing w:before="0" w:after="0"/>
        <w:jc w:val="both"/>
        <w:rPr>
          <w:sz w:val="20"/>
          <w:lang w:val="en-GB"/>
        </w:rPr>
      </w:pPr>
      <w:r w:rsidRPr="00B8725E">
        <w:rPr>
          <w:sz w:val="20"/>
          <w:lang w:val="en-GB"/>
        </w:rPr>
        <w:t xml:space="preserve">The case study highlights, once again, that the use of the 50 Hz frequency on board and for the SCSs is certainly to be preferred for Italian Navy ships. In cases where this </w:t>
      </w:r>
      <w:r w:rsidR="00F36A56" w:rsidRPr="00B8725E">
        <w:rPr>
          <w:sz w:val="20"/>
          <w:lang w:val="en-GB"/>
        </w:rPr>
        <w:t>cannot</w:t>
      </w:r>
      <w:r w:rsidRPr="00B8725E">
        <w:rPr>
          <w:sz w:val="20"/>
          <w:lang w:val="en-GB"/>
        </w:rPr>
        <w:t xml:space="preserve"> be ensured, the on-board conversion systems in switch mode will be used which, as seen for LSS and for PPA, already represent a reality. Certainly, any requests from the international f</w:t>
      </w:r>
      <w:r w:rsidR="00ED3B7F">
        <w:rPr>
          <w:sz w:val="20"/>
          <w:lang w:val="en-GB"/>
        </w:rPr>
        <w:t>orum</w:t>
      </w:r>
      <w:r w:rsidRPr="00B8725E">
        <w:rPr>
          <w:sz w:val="20"/>
          <w:lang w:val="en-GB"/>
        </w:rPr>
        <w:t xml:space="preserve"> in which Italy has chosen to join and for which the current MMI infrastructures already guarantee adequate solutions </w:t>
      </w:r>
      <w:r w:rsidR="00F36A56" w:rsidRPr="00B8725E">
        <w:rPr>
          <w:sz w:val="20"/>
          <w:lang w:val="en-GB"/>
        </w:rPr>
        <w:t>cannot</w:t>
      </w:r>
      <w:r w:rsidRPr="00B8725E">
        <w:rPr>
          <w:sz w:val="20"/>
          <w:lang w:val="en-GB"/>
        </w:rPr>
        <w:t xml:space="preserve"> be ignored.</w:t>
      </w:r>
    </w:p>
    <w:p w:rsidR="00B8725E" w:rsidRDefault="00ED3B7F" w:rsidP="00101629">
      <w:pPr>
        <w:pStyle w:val="CaptionShort"/>
        <w:spacing w:before="0" w:after="0"/>
        <w:ind w:firstLine="567"/>
        <w:jc w:val="both"/>
        <w:rPr>
          <w:sz w:val="20"/>
          <w:lang w:val="en-GB"/>
        </w:rPr>
      </w:pPr>
      <w:r w:rsidRPr="00ED3B7F">
        <w:rPr>
          <w:sz w:val="20"/>
          <w:lang w:val="en-GB"/>
        </w:rPr>
        <w:t xml:space="preserve">Beyond the power limit of 1 MVA, High Voltage SCSs (at 6000 V) will be preferred also thanks to the use of </w:t>
      </w:r>
      <w:r w:rsidR="00984DE8">
        <w:rPr>
          <w:sz w:val="20"/>
          <w:lang w:val="en-GB"/>
        </w:rPr>
        <w:t xml:space="preserve">on-board </w:t>
      </w:r>
      <w:r w:rsidRPr="00ED3B7F">
        <w:rPr>
          <w:sz w:val="20"/>
          <w:lang w:val="en-GB"/>
        </w:rPr>
        <w:t>6000/</w:t>
      </w:r>
      <w:proofErr w:type="spellStart"/>
      <w:r w:rsidRPr="00ED3B7F">
        <w:rPr>
          <w:sz w:val="20"/>
          <w:lang w:val="en-GB"/>
        </w:rPr>
        <w:t>V</w:t>
      </w:r>
      <w:r w:rsidRPr="00984DE8">
        <w:rPr>
          <w:sz w:val="20"/>
          <w:vertAlign w:val="subscript"/>
          <w:lang w:val="en-GB"/>
        </w:rPr>
        <w:t>ship</w:t>
      </w:r>
      <w:proofErr w:type="spellEnd"/>
      <w:r w:rsidRPr="00ED3B7F">
        <w:rPr>
          <w:sz w:val="20"/>
          <w:lang w:val="en-GB"/>
        </w:rPr>
        <w:t xml:space="preserve"> transformers. In such a way, that will permit as to “free” the choices of on-board electrical systems from those on the land shore. </w:t>
      </w:r>
      <w:r w:rsidR="00984DE8">
        <w:rPr>
          <w:sz w:val="20"/>
          <w:lang w:val="en-GB"/>
        </w:rPr>
        <w:t>W</w:t>
      </w:r>
      <w:r w:rsidR="006F5CCF" w:rsidRPr="006F5CCF">
        <w:rPr>
          <w:sz w:val="20"/>
          <w:lang w:val="en-GB"/>
        </w:rPr>
        <w:t xml:space="preserve">here possible, </w:t>
      </w:r>
      <w:r w:rsidR="00984DE8">
        <w:rPr>
          <w:sz w:val="20"/>
          <w:lang w:val="en-GB"/>
        </w:rPr>
        <w:t xml:space="preserve">it will prefer </w:t>
      </w:r>
      <w:r w:rsidR="006F5CCF" w:rsidRPr="006F5CCF">
        <w:rPr>
          <w:sz w:val="20"/>
          <w:lang w:val="en-GB"/>
        </w:rPr>
        <w:t xml:space="preserve">the </w:t>
      </w:r>
      <w:r w:rsidR="00984DE8">
        <w:rPr>
          <w:sz w:val="20"/>
          <w:lang w:val="en-GB"/>
        </w:rPr>
        <w:t xml:space="preserve">double </w:t>
      </w:r>
      <w:r w:rsidR="006F5CCF" w:rsidRPr="006F5CCF">
        <w:rPr>
          <w:sz w:val="20"/>
          <w:lang w:val="en-GB"/>
        </w:rPr>
        <w:t xml:space="preserve">use of </w:t>
      </w:r>
      <w:r w:rsidR="00984DE8">
        <w:rPr>
          <w:sz w:val="20"/>
          <w:lang w:val="en-GB"/>
        </w:rPr>
        <w:t xml:space="preserve">on-board </w:t>
      </w:r>
      <w:r w:rsidR="006F5CCF" w:rsidRPr="006F5CCF">
        <w:rPr>
          <w:sz w:val="20"/>
          <w:lang w:val="en-GB"/>
        </w:rPr>
        <w:t xml:space="preserve">propulsion transformers </w:t>
      </w:r>
      <w:r w:rsidR="00984DE8">
        <w:rPr>
          <w:sz w:val="20"/>
          <w:lang w:val="en-GB"/>
        </w:rPr>
        <w:t xml:space="preserve">even as </w:t>
      </w:r>
      <w:r w:rsidR="006F5CCF">
        <w:rPr>
          <w:sz w:val="20"/>
          <w:lang w:val="en-GB"/>
        </w:rPr>
        <w:t xml:space="preserve">shore connection </w:t>
      </w:r>
      <w:r w:rsidR="00984DE8">
        <w:rPr>
          <w:sz w:val="20"/>
          <w:lang w:val="en-GB"/>
        </w:rPr>
        <w:t xml:space="preserve">transformer </w:t>
      </w:r>
      <w:r w:rsidR="006F5CCF">
        <w:rPr>
          <w:sz w:val="20"/>
          <w:lang w:val="en-GB"/>
        </w:rPr>
        <w:t>(in simil</w:t>
      </w:r>
      <w:r w:rsidR="006F5CCF" w:rsidRPr="006F5CCF">
        <w:rPr>
          <w:sz w:val="20"/>
          <w:lang w:val="en-GB"/>
        </w:rPr>
        <w:t>arity with what has already been done with the use of propulsion converters for the frequency).</w:t>
      </w:r>
    </w:p>
    <w:p w:rsidR="006F5CCF" w:rsidRPr="006F5CCF" w:rsidRDefault="006F5CCF" w:rsidP="00101629">
      <w:pPr>
        <w:pStyle w:val="CaptionShort"/>
        <w:spacing w:before="0" w:after="0"/>
        <w:ind w:firstLine="567"/>
        <w:jc w:val="both"/>
        <w:rPr>
          <w:sz w:val="20"/>
          <w:lang w:val="en-GB"/>
        </w:rPr>
      </w:pPr>
      <w:r w:rsidRPr="006F5CCF">
        <w:rPr>
          <w:sz w:val="20"/>
          <w:lang w:val="en-GB"/>
        </w:rPr>
        <w:t xml:space="preserve">Finally, the on-board shore panels will all be bi-directional, such as to be able to manage the flow of energy in </w:t>
      </w:r>
      <w:r>
        <w:rPr>
          <w:sz w:val="20"/>
          <w:lang w:val="en-GB"/>
        </w:rPr>
        <w:t>S</w:t>
      </w:r>
      <w:r w:rsidRPr="006F5CCF">
        <w:rPr>
          <w:sz w:val="20"/>
          <w:lang w:val="en-GB"/>
        </w:rPr>
        <w:t>hore-to-</w:t>
      </w:r>
      <w:r>
        <w:rPr>
          <w:sz w:val="20"/>
          <w:lang w:val="en-GB"/>
        </w:rPr>
        <w:t>S</w:t>
      </w:r>
      <w:r w:rsidRPr="006F5CCF">
        <w:rPr>
          <w:sz w:val="20"/>
          <w:lang w:val="en-GB"/>
        </w:rPr>
        <w:t xml:space="preserve">hip or </w:t>
      </w:r>
      <w:r>
        <w:rPr>
          <w:sz w:val="20"/>
          <w:lang w:val="en-GB"/>
        </w:rPr>
        <w:t>S</w:t>
      </w:r>
      <w:r w:rsidRPr="006F5CCF">
        <w:rPr>
          <w:sz w:val="20"/>
          <w:lang w:val="en-GB"/>
        </w:rPr>
        <w:t>hip-to-</w:t>
      </w:r>
      <w:r>
        <w:rPr>
          <w:sz w:val="20"/>
          <w:lang w:val="en-GB"/>
        </w:rPr>
        <w:t>S</w:t>
      </w:r>
      <w:r w:rsidRPr="006F5CCF">
        <w:rPr>
          <w:sz w:val="20"/>
          <w:lang w:val="en-GB"/>
        </w:rPr>
        <w:t xml:space="preserve">hore mode. In addition to the </w:t>
      </w:r>
      <w:r>
        <w:rPr>
          <w:sz w:val="20"/>
          <w:lang w:val="en-GB"/>
        </w:rPr>
        <w:t>“</w:t>
      </w:r>
      <w:r w:rsidRPr="006F5CCF">
        <w:rPr>
          <w:sz w:val="20"/>
          <w:lang w:val="en-GB"/>
        </w:rPr>
        <w:t>dual use</w:t>
      </w:r>
      <w:r>
        <w:rPr>
          <w:sz w:val="20"/>
          <w:lang w:val="en-GB"/>
        </w:rPr>
        <w:t>”</w:t>
      </w:r>
      <w:r w:rsidRPr="006F5CCF">
        <w:rPr>
          <w:sz w:val="20"/>
          <w:lang w:val="en-GB"/>
        </w:rPr>
        <w:t xml:space="preserve"> advantages, this possibility also opens up </w:t>
      </w:r>
      <w:r w:rsidR="00FB14F8">
        <w:rPr>
          <w:sz w:val="20"/>
          <w:lang w:val="en-GB"/>
        </w:rPr>
        <w:t xml:space="preserve">to different scenarios, such as </w:t>
      </w:r>
      <w:r w:rsidRPr="006F5CCF">
        <w:rPr>
          <w:sz w:val="20"/>
          <w:lang w:val="en-GB"/>
        </w:rPr>
        <w:t>the use of ships such as Emergency Source to power all the land uses of the Naval Base</w:t>
      </w:r>
      <w:r>
        <w:rPr>
          <w:sz w:val="20"/>
          <w:lang w:val="en-GB"/>
        </w:rPr>
        <w:t>.</w:t>
      </w:r>
    </w:p>
    <w:p w:rsidR="006F5CCF" w:rsidRDefault="00FD4CE3" w:rsidP="00101629">
      <w:pPr>
        <w:pStyle w:val="CaptionShort"/>
        <w:spacing w:before="0" w:after="0"/>
        <w:ind w:firstLine="567"/>
        <w:jc w:val="both"/>
        <w:rPr>
          <w:sz w:val="20"/>
          <w:lang w:val="en-GB"/>
        </w:rPr>
      </w:pPr>
      <w:r w:rsidRPr="00FD4CE3">
        <w:rPr>
          <w:sz w:val="20"/>
          <w:lang w:val="en-GB"/>
        </w:rPr>
        <w:lastRenderedPageBreak/>
        <w:t xml:space="preserve">In addition, </w:t>
      </w:r>
      <w:r w:rsidR="00F9261F">
        <w:rPr>
          <w:sz w:val="20"/>
          <w:lang w:val="en-GB"/>
        </w:rPr>
        <w:t xml:space="preserve">looking again the </w:t>
      </w:r>
      <w:r w:rsidRPr="00FD4CE3">
        <w:rPr>
          <w:sz w:val="20"/>
          <w:lang w:val="en-GB"/>
        </w:rPr>
        <w:t xml:space="preserve">Figure </w:t>
      </w:r>
      <w:r w:rsidR="00FB14F8">
        <w:rPr>
          <w:sz w:val="20"/>
          <w:lang w:val="en-GB"/>
        </w:rPr>
        <w:t>8</w:t>
      </w:r>
      <w:r w:rsidRPr="00FD4CE3">
        <w:rPr>
          <w:sz w:val="20"/>
          <w:lang w:val="en-GB"/>
        </w:rPr>
        <w:t xml:space="preserve">, it is not difficult to think about the use of Energy Storage Systems </w:t>
      </w:r>
      <w:r w:rsidR="00F9261F">
        <w:rPr>
          <w:sz w:val="20"/>
          <w:lang w:val="en-GB"/>
        </w:rPr>
        <w:t xml:space="preserve">(ESS) </w:t>
      </w:r>
      <w:r w:rsidRPr="00FD4CE3">
        <w:rPr>
          <w:sz w:val="20"/>
          <w:lang w:val="en-GB"/>
        </w:rPr>
        <w:t xml:space="preserve">to perform time shift function as well as to improve the network flexibility and the quality of the energy supplied. In detail, the energy profile of </w:t>
      </w:r>
      <w:r>
        <w:rPr>
          <w:sz w:val="20"/>
          <w:lang w:val="en-GB"/>
        </w:rPr>
        <w:t>ITS</w:t>
      </w:r>
      <w:r w:rsidRPr="00FD4CE3">
        <w:rPr>
          <w:sz w:val="20"/>
          <w:lang w:val="en-GB"/>
        </w:rPr>
        <w:t xml:space="preserve"> CAVOUR allows to hypothesize an ESS on a</w:t>
      </w:r>
      <w:r w:rsidR="00F9261F">
        <w:rPr>
          <w:sz w:val="20"/>
          <w:lang w:val="en-GB"/>
        </w:rPr>
        <w:t xml:space="preserve">n average </w:t>
      </w:r>
      <w:r w:rsidRPr="00FD4CE3">
        <w:rPr>
          <w:sz w:val="20"/>
          <w:lang w:val="en-GB"/>
        </w:rPr>
        <w:t>value</w:t>
      </w:r>
      <w:r w:rsidR="00F9261F">
        <w:rPr>
          <w:sz w:val="20"/>
          <w:lang w:val="en-GB"/>
        </w:rPr>
        <w:t xml:space="preserve"> of </w:t>
      </w:r>
      <w:r w:rsidRPr="00FD4CE3">
        <w:rPr>
          <w:sz w:val="20"/>
          <w:lang w:val="en-GB"/>
        </w:rPr>
        <w:t>2750 kVAh</w:t>
      </w:r>
      <w:r w:rsidR="00F9261F">
        <w:rPr>
          <w:sz w:val="20"/>
          <w:lang w:val="en-GB"/>
        </w:rPr>
        <w:t xml:space="preserve"> that could be</w:t>
      </w:r>
      <w:r w:rsidRPr="00FD4CE3">
        <w:rPr>
          <w:sz w:val="20"/>
          <w:lang w:val="en-GB"/>
        </w:rPr>
        <w:t xml:space="preserve"> able to accumulate in the night arc (from 6 pm to 9 am) about 600 kVA</w:t>
      </w:r>
      <w:r w:rsidR="00473918">
        <w:rPr>
          <w:sz w:val="20"/>
          <w:lang w:val="en-GB"/>
        </w:rPr>
        <w:t>h</w:t>
      </w:r>
      <w:r w:rsidRPr="00FD4CE3">
        <w:rPr>
          <w:sz w:val="20"/>
          <w:lang w:val="en-GB"/>
        </w:rPr>
        <w:t xml:space="preserve"> to be released in the moments with higher energy absorption (from 9 am to 6 pm). The use of accumulation could be integrated into an evolutionary idea of SNMG, transforming its electrical network from passive to active (with the inclusion of new plants, coming from </w:t>
      </w:r>
      <w:r w:rsidR="007C1AB9">
        <w:rPr>
          <w:sz w:val="20"/>
          <w:lang w:val="en-GB"/>
        </w:rPr>
        <w:t xml:space="preserve">and </w:t>
      </w:r>
      <w:r w:rsidRPr="00FD4CE3">
        <w:rPr>
          <w:sz w:val="20"/>
          <w:lang w:val="en-GB"/>
        </w:rPr>
        <w:t>Renewable Energy Sources</w:t>
      </w:r>
      <w:r w:rsidR="007C1AB9">
        <w:rPr>
          <w:sz w:val="20"/>
          <w:lang w:val="en-GB"/>
        </w:rPr>
        <w:t xml:space="preserve"> and conventional</w:t>
      </w:r>
      <w:r w:rsidRPr="00FD4CE3">
        <w:rPr>
          <w:sz w:val="20"/>
          <w:lang w:val="en-GB"/>
        </w:rPr>
        <w:t>) and the introduction of a large fleet of service/work/transport electric vehicles</w:t>
      </w:r>
      <w:r>
        <w:rPr>
          <w:sz w:val="20"/>
          <w:lang w:val="en-GB"/>
        </w:rPr>
        <w:t>.</w:t>
      </w:r>
    </w:p>
    <w:p w:rsidR="007C1AB9" w:rsidRPr="00B06293" w:rsidRDefault="007C1AB9" w:rsidP="00101629">
      <w:pPr>
        <w:pStyle w:val="CaptionShort"/>
        <w:spacing w:before="0" w:after="0"/>
        <w:ind w:firstLine="567"/>
        <w:jc w:val="both"/>
        <w:rPr>
          <w:sz w:val="20"/>
          <w:lang w:val="en-GB"/>
        </w:rPr>
      </w:pPr>
      <w:r w:rsidRPr="00B06293">
        <w:rPr>
          <w:sz w:val="20"/>
          <w:lang w:val="en-GB"/>
        </w:rPr>
        <w:t xml:space="preserve">In conclusion, </w:t>
      </w:r>
      <w:r w:rsidR="00F9261F">
        <w:rPr>
          <w:sz w:val="20"/>
          <w:lang w:val="en-GB"/>
        </w:rPr>
        <w:t xml:space="preserve">the process of </w:t>
      </w:r>
      <w:r w:rsidRPr="00B06293">
        <w:rPr>
          <w:sz w:val="20"/>
          <w:lang w:val="en-GB"/>
        </w:rPr>
        <w:t>rethinking the SNMG power grid as a micro Smart Grid</w:t>
      </w:r>
      <w:r w:rsidR="00214E0E">
        <w:rPr>
          <w:sz w:val="20"/>
          <w:lang w:val="en-GB"/>
        </w:rPr>
        <w:t xml:space="preserve"> could be the foundation</w:t>
      </w:r>
      <w:r w:rsidRPr="00B06293">
        <w:rPr>
          <w:sz w:val="20"/>
          <w:lang w:val="en-GB"/>
        </w:rPr>
        <w:t xml:space="preserve"> </w:t>
      </w:r>
      <w:r w:rsidR="00214E0E">
        <w:rPr>
          <w:sz w:val="20"/>
          <w:lang w:val="en-GB"/>
        </w:rPr>
        <w:t>to</w:t>
      </w:r>
      <w:r w:rsidRPr="00B06293">
        <w:rPr>
          <w:sz w:val="20"/>
          <w:lang w:val="en-GB"/>
        </w:rPr>
        <w:t xml:space="preserve"> laid for the integration of diversified energy sources and to </w:t>
      </w:r>
      <w:r w:rsidR="00B06293" w:rsidRPr="00B06293">
        <w:rPr>
          <w:sz w:val="20"/>
          <w:lang w:val="en-GB"/>
        </w:rPr>
        <w:t xml:space="preserve">start </w:t>
      </w:r>
      <w:r w:rsidRPr="00B06293">
        <w:rPr>
          <w:sz w:val="20"/>
          <w:lang w:val="en-GB"/>
        </w:rPr>
        <w:t>an energy transformation process</w:t>
      </w:r>
      <w:r w:rsidR="00214E0E">
        <w:rPr>
          <w:sz w:val="20"/>
          <w:lang w:val="en-GB"/>
        </w:rPr>
        <w:t xml:space="preserve">. The </w:t>
      </w:r>
      <w:r w:rsidRPr="00B06293">
        <w:rPr>
          <w:sz w:val="20"/>
          <w:lang w:val="en-GB"/>
        </w:rPr>
        <w:t>new SNMG could become prosumer of itself</w:t>
      </w:r>
      <w:r w:rsidR="00214E0E">
        <w:rPr>
          <w:sz w:val="20"/>
          <w:lang w:val="en-GB"/>
        </w:rPr>
        <w:t xml:space="preserve"> and</w:t>
      </w:r>
      <w:r w:rsidRPr="00B06293">
        <w:rPr>
          <w:sz w:val="20"/>
          <w:lang w:val="en-GB"/>
        </w:rPr>
        <w:t xml:space="preserve"> </w:t>
      </w:r>
      <w:r w:rsidR="00B06293" w:rsidRPr="00B06293">
        <w:rPr>
          <w:sz w:val="20"/>
          <w:lang w:val="en-GB"/>
        </w:rPr>
        <w:t>self-sufficient</w:t>
      </w:r>
      <w:r w:rsidR="00214E0E">
        <w:rPr>
          <w:sz w:val="20"/>
          <w:lang w:val="en-GB"/>
        </w:rPr>
        <w:t xml:space="preserve"> </w:t>
      </w:r>
      <w:r w:rsidR="00214E0E" w:rsidRPr="00B06293">
        <w:rPr>
          <w:sz w:val="20"/>
          <w:lang w:val="en-GB"/>
        </w:rPr>
        <w:t>in the better hypothesis</w:t>
      </w:r>
      <w:r w:rsidRPr="00B06293">
        <w:rPr>
          <w:sz w:val="20"/>
          <w:lang w:val="en-GB"/>
        </w:rPr>
        <w:t>.</w:t>
      </w:r>
    </w:p>
    <w:p w:rsidR="009425AE" w:rsidRPr="009425AE" w:rsidRDefault="009425AE" w:rsidP="00F27C35">
      <w:pPr>
        <w:pStyle w:val="Titolo1"/>
        <w:numPr>
          <w:ilvl w:val="0"/>
          <w:numId w:val="24"/>
        </w:numPr>
        <w:ind w:left="454" w:hanging="454"/>
        <w:rPr>
          <w:lang w:val="it-IT"/>
        </w:rPr>
      </w:pPr>
      <w:r w:rsidRPr="00E24870">
        <w:rPr>
          <w:lang w:val="it-IT"/>
        </w:rPr>
        <w:t>Conclusion</w:t>
      </w:r>
      <w:r w:rsidR="00BC203E">
        <w:rPr>
          <w:lang w:val="it-IT"/>
        </w:rPr>
        <w:t>s</w:t>
      </w:r>
    </w:p>
    <w:p w:rsidR="00DE1957" w:rsidRDefault="00B409B4" w:rsidP="00B05A8D">
      <w:pPr>
        <w:pStyle w:val="Titolo1"/>
        <w:spacing w:before="0" w:after="0"/>
        <w:jc w:val="both"/>
        <w:rPr>
          <w:rFonts w:cs="Times New Roman"/>
          <w:b w:val="0"/>
          <w:bCs w:val="0"/>
          <w:kern w:val="0"/>
          <w:szCs w:val="24"/>
          <w:lang w:val="en-GB"/>
        </w:rPr>
      </w:pPr>
      <w:r w:rsidRPr="00EC60C2">
        <w:rPr>
          <w:rFonts w:cs="Times New Roman"/>
          <w:b w:val="0"/>
          <w:bCs w:val="0"/>
          <w:kern w:val="0"/>
          <w:szCs w:val="24"/>
          <w:lang w:val="en-GB"/>
        </w:rPr>
        <w:t>The electric power installed on board the MMI ships has increased more and more over the years and so has the cold ironing load demand. Today, it is no longer possible to think of being able to manage shore connection systems only at 440 V @ 60 Hz.</w:t>
      </w:r>
      <w:r w:rsidRPr="00EC60C2">
        <w:rPr>
          <w:rFonts w:cs="Times New Roman"/>
          <w:b w:val="0"/>
          <w:bCs w:val="0"/>
          <w:kern w:val="0"/>
          <w:szCs w:val="24"/>
          <w:lang w:val="en-GB"/>
        </w:rPr>
        <w:br/>
      </w:r>
      <w:r w:rsidRPr="00D701D4">
        <w:rPr>
          <w:rFonts w:cs="Times New Roman"/>
          <w:b w:val="0"/>
          <w:bCs w:val="0"/>
          <w:kern w:val="0"/>
          <w:szCs w:val="24"/>
          <w:lang w:val="en-GB"/>
        </w:rPr>
        <w:t xml:space="preserve">New levels of voltage and frequency characterize the rebuilding of the shore connection systems for the ships of the Fleet 2027. </w:t>
      </w:r>
      <w:r w:rsidRPr="00B409B4">
        <w:rPr>
          <w:rFonts w:cs="Times New Roman"/>
          <w:b w:val="0"/>
          <w:bCs w:val="0"/>
          <w:kern w:val="0"/>
          <w:szCs w:val="24"/>
          <w:lang w:val="en-GB"/>
        </w:rPr>
        <w:t>In response, the MMI has started a process to continue to satisfy the so varied requests of the ships, even with multi-</w:t>
      </w:r>
      <w:r>
        <w:rPr>
          <w:rFonts w:cs="Times New Roman"/>
          <w:b w:val="0"/>
          <w:bCs w:val="0"/>
          <w:kern w:val="0"/>
          <w:szCs w:val="24"/>
          <w:lang w:val="en-GB"/>
        </w:rPr>
        <w:t xml:space="preserve">socket outlet </w:t>
      </w:r>
      <w:r w:rsidRPr="00B409B4">
        <w:rPr>
          <w:rFonts w:cs="Times New Roman"/>
          <w:b w:val="0"/>
          <w:bCs w:val="0"/>
          <w:kern w:val="0"/>
          <w:szCs w:val="24"/>
          <w:lang w:val="en-GB"/>
        </w:rPr>
        <w:t xml:space="preserve">solutions with high flexibility, </w:t>
      </w:r>
      <w:r>
        <w:rPr>
          <w:rFonts w:cs="Times New Roman"/>
          <w:b w:val="0"/>
          <w:bCs w:val="0"/>
          <w:kern w:val="0"/>
          <w:szCs w:val="24"/>
          <w:lang w:val="en-GB"/>
        </w:rPr>
        <w:t xml:space="preserve">able to </w:t>
      </w:r>
      <w:r w:rsidRPr="00B409B4">
        <w:rPr>
          <w:rFonts w:cs="Times New Roman"/>
          <w:b w:val="0"/>
          <w:bCs w:val="0"/>
          <w:kern w:val="0"/>
          <w:szCs w:val="24"/>
          <w:lang w:val="en-GB"/>
        </w:rPr>
        <w:t>accept the demand from international agreements</w:t>
      </w:r>
      <w:r w:rsidR="00007573">
        <w:rPr>
          <w:rFonts w:cs="Times New Roman"/>
          <w:b w:val="0"/>
          <w:bCs w:val="0"/>
          <w:kern w:val="0"/>
          <w:szCs w:val="24"/>
          <w:lang w:val="en-GB"/>
        </w:rPr>
        <w:t>, too</w:t>
      </w:r>
      <w:r w:rsidRPr="00B409B4">
        <w:rPr>
          <w:rFonts w:cs="Times New Roman"/>
          <w:b w:val="0"/>
          <w:bCs w:val="0"/>
          <w:kern w:val="0"/>
          <w:szCs w:val="24"/>
          <w:lang w:val="en-GB"/>
        </w:rPr>
        <w:t xml:space="preserve">. </w:t>
      </w:r>
    </w:p>
    <w:p w:rsidR="002D4366" w:rsidRPr="00EC60C2" w:rsidRDefault="002D4366" w:rsidP="00101629">
      <w:pPr>
        <w:pStyle w:val="NoindentNormal"/>
        <w:ind w:firstLine="567"/>
        <w:rPr>
          <w:lang w:val="en-GB"/>
        </w:rPr>
      </w:pPr>
      <w:r w:rsidRPr="00EC60C2">
        <w:rPr>
          <w:lang w:val="en-GB"/>
        </w:rPr>
        <w:t xml:space="preserve">For cold ironing load demands of more than 1 MVA, the IT Navy policy address reflects the </w:t>
      </w:r>
      <w:r w:rsidR="003C7CAB" w:rsidRPr="00EC60C2">
        <w:rPr>
          <w:lang w:val="en-GB"/>
        </w:rPr>
        <w:t>example</w:t>
      </w:r>
      <w:r w:rsidRPr="00EC60C2">
        <w:rPr>
          <w:lang w:val="en-GB"/>
        </w:rPr>
        <w:t xml:space="preserve"> of ITS Cavour</w:t>
      </w:r>
      <w:r w:rsidR="00564599">
        <w:rPr>
          <w:lang w:val="en-GB"/>
        </w:rPr>
        <w:t>. That is</w:t>
      </w:r>
      <w:r w:rsidRPr="00EC60C2">
        <w:rPr>
          <w:lang w:val="en-GB"/>
        </w:rPr>
        <w:t xml:space="preserve"> based on a 6000 V @ 50 Hz interface standard but also integrated with the latest innovations: the bidirectional capacity of the ships shore panel (</w:t>
      </w:r>
      <w:r w:rsidR="003C7CAB" w:rsidRPr="00FB14F8">
        <w:rPr>
          <w:i/>
          <w:lang w:val="en-GB"/>
        </w:rPr>
        <w:t>i.e.</w:t>
      </w:r>
      <w:r w:rsidRPr="00EC60C2">
        <w:rPr>
          <w:lang w:val="en-GB"/>
        </w:rPr>
        <w:t xml:space="preserve"> LHD, PPA, LSS) and the dual use of the on board conversion systems, both for propulsion and for the shore connection (</w:t>
      </w:r>
      <w:r w:rsidR="003C7CAB" w:rsidRPr="00FB14F8">
        <w:rPr>
          <w:i/>
          <w:lang w:val="en-GB"/>
        </w:rPr>
        <w:t>i.e.</w:t>
      </w:r>
      <w:r w:rsidRPr="00FB14F8">
        <w:rPr>
          <w:i/>
          <w:lang w:val="en-GB"/>
        </w:rPr>
        <w:t xml:space="preserve"> </w:t>
      </w:r>
      <w:r w:rsidRPr="00EC60C2">
        <w:rPr>
          <w:lang w:val="en-GB"/>
        </w:rPr>
        <w:t>PPA, LSS), able to matching to frequency (eventually, even to voltage) in use on board, if necessary.</w:t>
      </w:r>
    </w:p>
    <w:p w:rsidR="00B05A8D" w:rsidRDefault="00B05A8D" w:rsidP="00B05A8D">
      <w:pPr>
        <w:pStyle w:val="NoindentNormal"/>
        <w:rPr>
          <w:lang w:val="en-GB"/>
        </w:rPr>
      </w:pPr>
    </w:p>
    <w:p w:rsidR="000065D8" w:rsidRPr="00CD514D" w:rsidRDefault="000065D8" w:rsidP="000065D8">
      <w:pPr>
        <w:ind w:firstLine="0"/>
        <w:jc w:val="left"/>
        <w:rPr>
          <w:b/>
          <w:szCs w:val="20"/>
          <w:lang w:val="en-GB" w:eastAsia="it-IT"/>
        </w:rPr>
      </w:pPr>
      <w:r w:rsidRPr="00CD514D">
        <w:rPr>
          <w:b/>
          <w:szCs w:val="20"/>
          <w:lang w:val="en-GB" w:eastAsia="it-IT"/>
        </w:rPr>
        <w:t>R</w:t>
      </w:r>
      <w:r w:rsidR="00D5794D" w:rsidRPr="00CD514D">
        <w:rPr>
          <w:b/>
          <w:szCs w:val="20"/>
          <w:lang w:val="en-GB" w:eastAsia="it-IT"/>
        </w:rPr>
        <w:t>eferences</w:t>
      </w:r>
    </w:p>
    <w:p w:rsidR="00D5794D" w:rsidRPr="00CD514D" w:rsidRDefault="00D5794D" w:rsidP="000065D8">
      <w:pPr>
        <w:ind w:firstLine="0"/>
        <w:jc w:val="left"/>
        <w:rPr>
          <w:b/>
          <w:szCs w:val="20"/>
          <w:lang w:val="en-GB" w:eastAsia="it-IT"/>
        </w:rPr>
      </w:pPr>
    </w:p>
    <w:p w:rsidR="00101629" w:rsidRDefault="00101629" w:rsidP="003A3F58">
      <w:pPr>
        <w:autoSpaceDE w:val="0"/>
        <w:autoSpaceDN w:val="0"/>
        <w:adjustRightInd w:val="0"/>
        <w:ind w:firstLine="0"/>
        <w:rPr>
          <w:sz w:val="16"/>
          <w:szCs w:val="16"/>
          <w:lang w:val="en-GB"/>
        </w:rPr>
      </w:pPr>
      <w:r w:rsidRPr="00CD514D">
        <w:rPr>
          <w:sz w:val="16"/>
          <w:szCs w:val="16"/>
          <w:lang w:val="en-GB" w:eastAsia="it-IT"/>
        </w:rPr>
        <w:t xml:space="preserve">[1] </w:t>
      </w:r>
      <w:r w:rsidRPr="00660DFC">
        <w:rPr>
          <w:sz w:val="16"/>
          <w:szCs w:val="16"/>
          <w:lang w:val="en-GB"/>
        </w:rPr>
        <w:t>ANEP 67 “Guidance to Naval Ship Designers on Concepts for the All-Electric Ship”.</w:t>
      </w:r>
    </w:p>
    <w:p w:rsidR="00101629" w:rsidRPr="00CD514D" w:rsidRDefault="00101629" w:rsidP="003A3F58">
      <w:pPr>
        <w:autoSpaceDE w:val="0"/>
        <w:autoSpaceDN w:val="0"/>
        <w:adjustRightInd w:val="0"/>
        <w:ind w:firstLine="0"/>
        <w:rPr>
          <w:sz w:val="16"/>
          <w:szCs w:val="16"/>
          <w:lang w:val="en-GB" w:eastAsia="it-IT"/>
        </w:rPr>
      </w:pPr>
      <w:r>
        <w:rPr>
          <w:sz w:val="16"/>
          <w:szCs w:val="16"/>
          <w:lang w:val="en-GB"/>
        </w:rPr>
        <w:t xml:space="preserve">[2] </w:t>
      </w:r>
      <w:r w:rsidR="007C6372" w:rsidRPr="00D5794D">
        <w:rPr>
          <w:sz w:val="16"/>
          <w:szCs w:val="16"/>
          <w:lang w:val="en-GB" w:eastAsia="it-IT"/>
        </w:rPr>
        <w:t>Characteristics of Shipboard Electrical Power Systems in Warships of the North Atlantic Treaty Navies, STANAG 1008 Ed. 9</w:t>
      </w:r>
    </w:p>
    <w:p w:rsidR="00CD514D" w:rsidRPr="008D2116" w:rsidRDefault="000065D8" w:rsidP="003A3F58">
      <w:pPr>
        <w:autoSpaceDE w:val="0"/>
        <w:autoSpaceDN w:val="0"/>
        <w:adjustRightInd w:val="0"/>
        <w:ind w:firstLine="0"/>
        <w:rPr>
          <w:sz w:val="16"/>
          <w:szCs w:val="16"/>
          <w:lang w:val="en-GB" w:eastAsia="it-IT"/>
        </w:rPr>
      </w:pPr>
      <w:r w:rsidRPr="008D2116">
        <w:rPr>
          <w:sz w:val="16"/>
          <w:szCs w:val="16"/>
          <w:lang w:val="en-GB" w:eastAsia="it-IT"/>
        </w:rPr>
        <w:t>[</w:t>
      </w:r>
      <w:r w:rsidR="00CD514D" w:rsidRPr="008D2116">
        <w:rPr>
          <w:sz w:val="16"/>
          <w:szCs w:val="16"/>
          <w:lang w:val="en-GB" w:eastAsia="it-IT"/>
        </w:rPr>
        <w:t>3</w:t>
      </w:r>
      <w:r w:rsidRPr="008D2116">
        <w:rPr>
          <w:sz w:val="16"/>
          <w:szCs w:val="16"/>
          <w:lang w:val="en-GB" w:eastAsia="it-IT"/>
        </w:rPr>
        <w:t xml:space="preserve">] </w:t>
      </w:r>
      <w:r w:rsidR="00CD514D" w:rsidRPr="008D2116">
        <w:rPr>
          <w:sz w:val="16"/>
          <w:szCs w:val="16"/>
          <w:lang w:val="en-GB" w:eastAsia="it-IT"/>
        </w:rPr>
        <w:t xml:space="preserve">G. </w:t>
      </w:r>
      <w:proofErr w:type="spellStart"/>
      <w:r w:rsidR="00CD514D" w:rsidRPr="008D2116">
        <w:rPr>
          <w:sz w:val="16"/>
          <w:szCs w:val="16"/>
          <w:lang w:val="en-GB" w:eastAsia="it-IT"/>
        </w:rPr>
        <w:t>Sulligoi</w:t>
      </w:r>
      <w:proofErr w:type="spellEnd"/>
      <w:r w:rsidR="00CD514D" w:rsidRPr="008D2116">
        <w:rPr>
          <w:sz w:val="16"/>
          <w:szCs w:val="16"/>
          <w:lang w:val="en-GB" w:eastAsia="it-IT"/>
        </w:rPr>
        <w:t xml:space="preserve">, D. </w:t>
      </w:r>
      <w:proofErr w:type="spellStart"/>
      <w:r w:rsidR="00CD514D" w:rsidRPr="008D2116">
        <w:rPr>
          <w:sz w:val="16"/>
          <w:szCs w:val="16"/>
          <w:lang w:val="en-GB" w:eastAsia="it-IT"/>
        </w:rPr>
        <w:t>Bosich</w:t>
      </w:r>
      <w:proofErr w:type="spellEnd"/>
      <w:r w:rsidR="00CD514D" w:rsidRPr="008D2116">
        <w:rPr>
          <w:sz w:val="16"/>
          <w:szCs w:val="16"/>
          <w:lang w:val="en-GB" w:eastAsia="it-IT"/>
        </w:rPr>
        <w:t xml:space="preserve">, R. </w:t>
      </w:r>
      <w:proofErr w:type="spellStart"/>
      <w:r w:rsidR="00CD514D" w:rsidRPr="008D2116">
        <w:rPr>
          <w:sz w:val="16"/>
          <w:szCs w:val="16"/>
          <w:lang w:val="en-GB" w:eastAsia="it-IT"/>
        </w:rPr>
        <w:t>Pelaschiar</w:t>
      </w:r>
      <w:proofErr w:type="spellEnd"/>
      <w:r w:rsidR="00CD514D" w:rsidRPr="008D2116">
        <w:rPr>
          <w:sz w:val="16"/>
          <w:szCs w:val="16"/>
          <w:lang w:val="en-GB" w:eastAsia="it-IT"/>
        </w:rPr>
        <w:t xml:space="preserve">, G. Lipardi and F. </w:t>
      </w:r>
      <w:proofErr w:type="spellStart"/>
      <w:r w:rsidR="00CD514D" w:rsidRPr="008D2116">
        <w:rPr>
          <w:sz w:val="16"/>
          <w:szCs w:val="16"/>
          <w:lang w:val="en-GB" w:eastAsia="it-IT"/>
        </w:rPr>
        <w:t>Tosato</w:t>
      </w:r>
      <w:proofErr w:type="spellEnd"/>
      <w:r w:rsidR="00CD514D" w:rsidRPr="008D2116">
        <w:rPr>
          <w:sz w:val="16"/>
          <w:szCs w:val="16"/>
          <w:lang w:val="en-GB" w:eastAsia="it-IT"/>
        </w:rPr>
        <w:t xml:space="preserve">, ‘‘Shore-to-Ship Power’’ </w:t>
      </w:r>
      <w:proofErr w:type="spellStart"/>
      <w:r w:rsidR="00CD514D" w:rsidRPr="008D2116">
        <w:rPr>
          <w:sz w:val="16"/>
          <w:szCs w:val="16"/>
          <w:lang w:val="en-GB" w:eastAsia="it-IT"/>
        </w:rPr>
        <w:t>Procedings</w:t>
      </w:r>
      <w:proofErr w:type="spellEnd"/>
      <w:r w:rsidR="00CD514D" w:rsidRPr="008D2116">
        <w:rPr>
          <w:sz w:val="16"/>
          <w:szCs w:val="16"/>
          <w:lang w:val="en-GB" w:eastAsia="it-IT"/>
        </w:rPr>
        <w:t xml:space="preserve"> of the IEEE Vol. 103, No.12, </w:t>
      </w:r>
      <w:proofErr w:type="spellStart"/>
      <w:r w:rsidR="00CD514D" w:rsidRPr="008D2116">
        <w:rPr>
          <w:sz w:val="16"/>
          <w:szCs w:val="16"/>
          <w:lang w:val="en-GB" w:eastAsia="it-IT"/>
        </w:rPr>
        <w:t>Decembre</w:t>
      </w:r>
      <w:proofErr w:type="spellEnd"/>
      <w:r w:rsidR="00CD514D" w:rsidRPr="008D2116">
        <w:rPr>
          <w:sz w:val="16"/>
          <w:szCs w:val="16"/>
          <w:lang w:val="en-GB" w:eastAsia="it-IT"/>
        </w:rPr>
        <w:t xml:space="preserve"> 2015</w:t>
      </w:r>
    </w:p>
    <w:p w:rsidR="00CD514D" w:rsidRPr="00CD514D" w:rsidRDefault="00EC60C2" w:rsidP="00CD514D">
      <w:pPr>
        <w:autoSpaceDE w:val="0"/>
        <w:autoSpaceDN w:val="0"/>
        <w:adjustRightInd w:val="0"/>
        <w:ind w:firstLine="0"/>
        <w:rPr>
          <w:sz w:val="16"/>
          <w:szCs w:val="16"/>
          <w:lang w:val="it-IT" w:eastAsia="it-IT"/>
        </w:rPr>
      </w:pPr>
      <w:r w:rsidRPr="00CD514D">
        <w:rPr>
          <w:sz w:val="16"/>
          <w:szCs w:val="16"/>
          <w:lang w:val="it-IT" w:eastAsia="it-IT"/>
        </w:rPr>
        <w:t>[</w:t>
      </w:r>
      <w:r w:rsidR="00CD514D" w:rsidRPr="00CD514D">
        <w:rPr>
          <w:sz w:val="16"/>
          <w:szCs w:val="16"/>
          <w:lang w:val="it-IT" w:eastAsia="it-IT"/>
        </w:rPr>
        <w:t>4</w:t>
      </w:r>
      <w:r w:rsidRPr="00CD514D">
        <w:rPr>
          <w:sz w:val="16"/>
          <w:szCs w:val="16"/>
          <w:lang w:val="it-IT" w:eastAsia="it-IT"/>
        </w:rPr>
        <w:t xml:space="preserve">] </w:t>
      </w:r>
      <w:r w:rsidR="00CD514D" w:rsidRPr="00CD514D">
        <w:rPr>
          <w:sz w:val="16"/>
          <w:szCs w:val="16"/>
          <w:lang w:val="it-IT" w:eastAsia="it-IT"/>
        </w:rPr>
        <w:t xml:space="preserve">Consorzio Arsenale, “Relazione tecnica illustrativa - FASE 3 SLICE 43/3NB4371”, gennaio 1992, </w:t>
      </w:r>
      <w:proofErr w:type="gramStart"/>
      <w:r w:rsidR="00CD514D" w:rsidRPr="00CD514D">
        <w:rPr>
          <w:sz w:val="16"/>
          <w:szCs w:val="16"/>
          <w:lang w:val="it-IT" w:eastAsia="it-IT"/>
        </w:rPr>
        <w:t>e “</w:t>
      </w:r>
      <w:proofErr w:type="gramEnd"/>
      <w:r w:rsidR="00CD514D" w:rsidRPr="00CD514D">
        <w:rPr>
          <w:sz w:val="16"/>
          <w:szCs w:val="16"/>
          <w:lang w:val="it-IT" w:eastAsia="it-IT"/>
        </w:rPr>
        <w:t xml:space="preserve">Progettazione esecutiva impianto elettrico – Nuova Stazione Navale Taranto – </w:t>
      </w:r>
      <w:proofErr w:type="spellStart"/>
      <w:r w:rsidR="00CD514D" w:rsidRPr="00CD514D">
        <w:rPr>
          <w:sz w:val="16"/>
          <w:szCs w:val="16"/>
          <w:lang w:val="it-IT" w:eastAsia="it-IT"/>
        </w:rPr>
        <w:t>Provide</w:t>
      </w:r>
      <w:proofErr w:type="spellEnd"/>
      <w:r w:rsidR="00CD514D" w:rsidRPr="00CD514D">
        <w:rPr>
          <w:sz w:val="16"/>
          <w:szCs w:val="16"/>
          <w:lang w:val="it-IT" w:eastAsia="it-IT"/>
        </w:rPr>
        <w:t xml:space="preserve"> </w:t>
      </w:r>
      <w:proofErr w:type="spellStart"/>
      <w:r w:rsidR="00CD514D" w:rsidRPr="00CD514D">
        <w:rPr>
          <w:sz w:val="16"/>
          <w:szCs w:val="16"/>
          <w:lang w:val="it-IT" w:eastAsia="it-IT"/>
        </w:rPr>
        <w:t>Naval</w:t>
      </w:r>
      <w:proofErr w:type="spellEnd"/>
      <w:r w:rsidR="00CD514D" w:rsidRPr="00CD514D">
        <w:rPr>
          <w:sz w:val="16"/>
          <w:szCs w:val="16"/>
          <w:lang w:val="it-IT" w:eastAsia="it-IT"/>
        </w:rPr>
        <w:t xml:space="preserve"> Base FASE 3 SLICE 43/3NB4371” (1997-1998).</w:t>
      </w:r>
    </w:p>
    <w:p w:rsidR="00CD514D" w:rsidRPr="00CD514D" w:rsidRDefault="00EC60C2" w:rsidP="00CD514D">
      <w:pPr>
        <w:autoSpaceDE w:val="0"/>
        <w:autoSpaceDN w:val="0"/>
        <w:adjustRightInd w:val="0"/>
        <w:ind w:firstLine="0"/>
        <w:rPr>
          <w:sz w:val="16"/>
          <w:szCs w:val="16"/>
          <w:lang w:val="it-IT" w:eastAsia="it-IT"/>
        </w:rPr>
      </w:pPr>
      <w:r w:rsidRPr="00CD514D">
        <w:rPr>
          <w:sz w:val="16"/>
          <w:szCs w:val="16"/>
          <w:lang w:val="it-IT" w:eastAsia="it-IT"/>
        </w:rPr>
        <w:t>[</w:t>
      </w:r>
      <w:r w:rsidR="00CD514D" w:rsidRPr="00CD514D">
        <w:rPr>
          <w:sz w:val="16"/>
          <w:szCs w:val="16"/>
          <w:lang w:val="it-IT" w:eastAsia="it-IT"/>
        </w:rPr>
        <w:t>5</w:t>
      </w:r>
      <w:r w:rsidRPr="00CD514D">
        <w:rPr>
          <w:sz w:val="16"/>
          <w:szCs w:val="16"/>
          <w:lang w:val="it-IT" w:eastAsia="it-IT"/>
        </w:rPr>
        <w:t xml:space="preserve">] </w:t>
      </w:r>
      <w:r w:rsidR="00CD514D" w:rsidRPr="00CD514D">
        <w:rPr>
          <w:sz w:val="16"/>
          <w:szCs w:val="16"/>
          <w:lang w:val="it-IT" w:eastAsia="it-IT"/>
        </w:rPr>
        <w:t xml:space="preserve">SEGREDIFESA/NAVARM, </w:t>
      </w:r>
      <w:proofErr w:type="spellStart"/>
      <w:r w:rsidR="00CD514D" w:rsidRPr="00CD514D">
        <w:rPr>
          <w:sz w:val="16"/>
          <w:szCs w:val="16"/>
          <w:lang w:val="it-IT" w:eastAsia="it-IT"/>
        </w:rPr>
        <w:t>C.tto</w:t>
      </w:r>
      <w:proofErr w:type="spellEnd"/>
      <w:r w:rsidR="00CD514D" w:rsidRPr="00CD514D">
        <w:rPr>
          <w:sz w:val="16"/>
          <w:szCs w:val="16"/>
          <w:lang w:val="it-IT" w:eastAsia="it-IT"/>
        </w:rPr>
        <w:t xml:space="preserve"> Rep. N. 20340 in data 16 giugno 2015 per la progettazione, costruzione e fornitura di una Unità anfibia multiruolo Landing </w:t>
      </w:r>
      <w:proofErr w:type="spellStart"/>
      <w:r w:rsidR="00CD514D" w:rsidRPr="00CD514D">
        <w:rPr>
          <w:sz w:val="16"/>
          <w:szCs w:val="16"/>
          <w:lang w:val="it-IT" w:eastAsia="it-IT"/>
        </w:rPr>
        <w:t>Helicopter</w:t>
      </w:r>
      <w:proofErr w:type="spellEnd"/>
      <w:r w:rsidR="00CD514D" w:rsidRPr="00CD514D">
        <w:rPr>
          <w:sz w:val="16"/>
          <w:szCs w:val="16"/>
          <w:lang w:val="it-IT" w:eastAsia="it-IT"/>
        </w:rPr>
        <w:t xml:space="preserve"> Dock (LHD).</w:t>
      </w:r>
    </w:p>
    <w:p w:rsidR="00CD514D" w:rsidRDefault="00EC60C2" w:rsidP="00CD514D">
      <w:pPr>
        <w:pStyle w:val="Default"/>
        <w:jc w:val="both"/>
        <w:rPr>
          <w:rFonts w:ascii="Times New Roman" w:hAnsi="Times New Roman" w:cs="Times New Roman"/>
          <w:color w:val="auto"/>
          <w:sz w:val="16"/>
          <w:szCs w:val="16"/>
          <w:lang w:val="en-GB" w:eastAsia="it-IT"/>
        </w:rPr>
      </w:pPr>
      <w:r w:rsidRPr="00CD514D">
        <w:rPr>
          <w:rFonts w:ascii="Times New Roman" w:hAnsi="Times New Roman" w:cs="Times New Roman"/>
          <w:color w:val="auto"/>
          <w:sz w:val="16"/>
          <w:szCs w:val="16"/>
          <w:lang w:val="en-GB" w:eastAsia="it-IT"/>
        </w:rPr>
        <w:t>[</w:t>
      </w:r>
      <w:r w:rsidR="00CD514D" w:rsidRPr="00CD514D">
        <w:rPr>
          <w:rFonts w:ascii="Times New Roman" w:hAnsi="Times New Roman" w:cs="Times New Roman"/>
          <w:color w:val="auto"/>
          <w:sz w:val="16"/>
          <w:szCs w:val="16"/>
          <w:lang w:val="en-GB" w:eastAsia="it-IT"/>
        </w:rPr>
        <w:t>6</w:t>
      </w:r>
      <w:r w:rsidRPr="00CD514D">
        <w:rPr>
          <w:rFonts w:ascii="Times New Roman" w:hAnsi="Times New Roman" w:cs="Times New Roman"/>
          <w:color w:val="auto"/>
          <w:sz w:val="16"/>
          <w:szCs w:val="16"/>
          <w:lang w:val="en-GB" w:eastAsia="it-IT"/>
        </w:rPr>
        <w:t xml:space="preserve">] </w:t>
      </w:r>
      <w:r w:rsidR="00CD514D" w:rsidRPr="00CD514D">
        <w:rPr>
          <w:rFonts w:ascii="Times New Roman" w:hAnsi="Times New Roman" w:cs="Times New Roman"/>
          <w:sz w:val="16"/>
          <w:szCs w:val="16"/>
          <w:lang w:val="en-GB" w:eastAsia="it-IT"/>
        </w:rPr>
        <w:t>OCCAR, LSS Contract No.LSS</w:t>
      </w:r>
      <w:r w:rsidR="00CD514D" w:rsidRPr="00CD514D">
        <w:rPr>
          <w:rFonts w:ascii="Times New Roman" w:eastAsia="MS Mincho" w:hAnsi="Times New Roman" w:cs="Times New Roman"/>
          <w:color w:val="auto"/>
          <w:sz w:val="16"/>
          <w:szCs w:val="16"/>
          <w:lang w:val="en-GB" w:eastAsia="it-IT"/>
        </w:rPr>
        <w:t>.</w:t>
      </w:r>
      <w:r w:rsidR="009C534E" w:rsidRPr="00CD514D">
        <w:rPr>
          <w:rFonts w:ascii="Times New Roman" w:eastAsia="MS Mincho" w:hAnsi="Times New Roman" w:cs="Times New Roman"/>
          <w:color w:val="auto"/>
          <w:sz w:val="16"/>
          <w:szCs w:val="16"/>
          <w:lang w:val="en-GB" w:eastAsia="it-IT"/>
        </w:rPr>
        <w:t>14. PROD.</w:t>
      </w:r>
      <w:r w:rsidR="00CD514D" w:rsidRPr="00CD514D">
        <w:rPr>
          <w:rFonts w:ascii="Times New Roman" w:eastAsia="MS Mincho" w:hAnsi="Times New Roman" w:cs="Times New Roman"/>
          <w:color w:val="auto"/>
          <w:sz w:val="16"/>
          <w:szCs w:val="16"/>
          <w:lang w:val="en-GB" w:eastAsia="it-IT"/>
        </w:rPr>
        <w:t xml:space="preserve">001 </w:t>
      </w:r>
      <w:r w:rsidR="00CD514D">
        <w:rPr>
          <w:rFonts w:ascii="Times New Roman" w:eastAsia="MS Mincho" w:hAnsi="Times New Roman" w:cs="Times New Roman"/>
          <w:color w:val="auto"/>
          <w:sz w:val="16"/>
          <w:szCs w:val="16"/>
          <w:lang w:val="en-GB" w:eastAsia="it-IT"/>
        </w:rPr>
        <w:t xml:space="preserve">e </w:t>
      </w:r>
      <w:r w:rsidR="00CD514D" w:rsidRPr="00CD514D">
        <w:rPr>
          <w:rFonts w:ascii="Times New Roman" w:hAnsi="Times New Roman" w:cs="Times New Roman"/>
          <w:sz w:val="16"/>
          <w:szCs w:val="16"/>
          <w:lang w:val="en-GB" w:eastAsia="it-IT"/>
        </w:rPr>
        <w:t>PPA Contract No.PPA</w:t>
      </w:r>
      <w:r w:rsidR="00CD514D" w:rsidRPr="00CD514D">
        <w:rPr>
          <w:rFonts w:ascii="Times New Roman" w:eastAsia="MS Mincho" w:hAnsi="Times New Roman" w:cs="Times New Roman"/>
          <w:color w:val="auto"/>
          <w:sz w:val="16"/>
          <w:szCs w:val="16"/>
          <w:lang w:val="en-GB" w:eastAsia="it-IT"/>
        </w:rPr>
        <w:t>.</w:t>
      </w:r>
      <w:r w:rsidR="009C534E" w:rsidRPr="00CD514D">
        <w:rPr>
          <w:rFonts w:ascii="Times New Roman" w:eastAsia="MS Mincho" w:hAnsi="Times New Roman" w:cs="Times New Roman"/>
          <w:color w:val="auto"/>
          <w:sz w:val="16"/>
          <w:szCs w:val="16"/>
          <w:lang w:val="en-GB" w:eastAsia="it-IT"/>
        </w:rPr>
        <w:t>14. PROD.</w:t>
      </w:r>
      <w:r w:rsidR="00CD514D" w:rsidRPr="00CD514D">
        <w:rPr>
          <w:rFonts w:ascii="Times New Roman" w:eastAsia="MS Mincho" w:hAnsi="Times New Roman" w:cs="Times New Roman"/>
          <w:color w:val="auto"/>
          <w:sz w:val="16"/>
          <w:szCs w:val="16"/>
          <w:lang w:val="en-GB" w:eastAsia="it-IT"/>
        </w:rPr>
        <w:t xml:space="preserve">001 </w:t>
      </w:r>
      <w:r w:rsidR="00CD514D" w:rsidRPr="00CD514D">
        <w:rPr>
          <w:rFonts w:ascii="Times New Roman" w:hAnsi="Times New Roman" w:cs="Times New Roman"/>
          <w:color w:val="auto"/>
          <w:sz w:val="16"/>
          <w:szCs w:val="16"/>
          <w:lang w:val="en-GB" w:eastAsia="it-IT"/>
        </w:rPr>
        <w:t xml:space="preserve">For the Design, Development, Production, and In-Service Support of 1 (one) Logistic Support Ship (LSS) </w:t>
      </w:r>
      <w:r w:rsidR="00CD514D">
        <w:rPr>
          <w:rFonts w:ascii="Times New Roman" w:hAnsi="Times New Roman" w:cs="Times New Roman"/>
          <w:color w:val="auto"/>
          <w:sz w:val="16"/>
          <w:szCs w:val="16"/>
          <w:lang w:val="en-GB" w:eastAsia="it-IT"/>
        </w:rPr>
        <w:t xml:space="preserve">e of </w:t>
      </w:r>
      <w:r w:rsidR="00CD514D" w:rsidRPr="00CD514D">
        <w:rPr>
          <w:rFonts w:ascii="Times New Roman" w:hAnsi="Times New Roman" w:cs="Times New Roman"/>
          <w:color w:val="auto"/>
          <w:sz w:val="16"/>
          <w:szCs w:val="16"/>
          <w:lang w:val="en-GB" w:eastAsia="it-IT"/>
        </w:rPr>
        <w:t xml:space="preserve">6 </w:t>
      </w:r>
      <w:r w:rsidR="00CD514D">
        <w:rPr>
          <w:rFonts w:ascii="Times New Roman" w:hAnsi="Times New Roman" w:cs="Times New Roman"/>
          <w:color w:val="auto"/>
          <w:sz w:val="16"/>
          <w:szCs w:val="16"/>
          <w:lang w:val="en-GB" w:eastAsia="it-IT"/>
        </w:rPr>
        <w:t xml:space="preserve">(six) </w:t>
      </w:r>
      <w:r w:rsidR="00CD514D" w:rsidRPr="00CD514D">
        <w:rPr>
          <w:rFonts w:ascii="Times New Roman" w:hAnsi="Times New Roman" w:cs="Times New Roman"/>
          <w:color w:val="auto"/>
          <w:sz w:val="16"/>
          <w:szCs w:val="16"/>
          <w:lang w:val="en-GB" w:eastAsia="it-IT"/>
        </w:rPr>
        <w:t>Multipurpose Patrol Ship (PPA) for the Italian Republic (and Amendment</w:t>
      </w:r>
      <w:r w:rsidR="00CD514D">
        <w:rPr>
          <w:rFonts w:ascii="Times New Roman" w:hAnsi="Times New Roman" w:cs="Times New Roman"/>
          <w:color w:val="auto"/>
          <w:sz w:val="16"/>
          <w:szCs w:val="16"/>
          <w:lang w:val="en-GB" w:eastAsia="it-IT"/>
        </w:rPr>
        <w:t>s</w:t>
      </w:r>
      <w:r w:rsidR="00CD514D" w:rsidRPr="00CD514D">
        <w:rPr>
          <w:rFonts w:ascii="Times New Roman" w:hAnsi="Times New Roman" w:cs="Times New Roman"/>
          <w:color w:val="auto"/>
          <w:sz w:val="16"/>
          <w:szCs w:val="16"/>
          <w:lang w:val="en-GB" w:eastAsia="it-IT"/>
        </w:rPr>
        <w:t xml:space="preserve"> No.1).</w:t>
      </w:r>
    </w:p>
    <w:p w:rsidR="009137B6" w:rsidRPr="00D5794D" w:rsidRDefault="005B4D8D" w:rsidP="007C6372">
      <w:pPr>
        <w:ind w:firstLine="0"/>
        <w:rPr>
          <w:sz w:val="16"/>
          <w:szCs w:val="16"/>
          <w:lang w:val="en-GB" w:eastAsia="it-IT"/>
        </w:rPr>
      </w:pPr>
      <w:r w:rsidRPr="00D5794D">
        <w:rPr>
          <w:sz w:val="16"/>
          <w:szCs w:val="16"/>
          <w:lang w:val="en-GB" w:eastAsia="it-IT"/>
        </w:rPr>
        <w:t>[</w:t>
      </w:r>
      <w:r w:rsidR="008D2116">
        <w:rPr>
          <w:sz w:val="16"/>
          <w:szCs w:val="16"/>
          <w:lang w:val="en-GB" w:eastAsia="it-IT"/>
        </w:rPr>
        <w:t>7</w:t>
      </w:r>
      <w:r w:rsidRPr="00D5794D">
        <w:rPr>
          <w:sz w:val="16"/>
          <w:szCs w:val="16"/>
          <w:lang w:val="en-GB" w:eastAsia="it-IT"/>
        </w:rPr>
        <w:t xml:space="preserve">] Utility Connection in Port Part 1: High Voltage Shore Connection (HVSC) Systems General </w:t>
      </w:r>
      <w:r w:rsidR="00D5794D">
        <w:rPr>
          <w:sz w:val="16"/>
          <w:szCs w:val="16"/>
          <w:lang w:val="en-GB" w:eastAsia="it-IT"/>
        </w:rPr>
        <w:t>r</w:t>
      </w:r>
      <w:r w:rsidRPr="00D5794D">
        <w:rPr>
          <w:sz w:val="16"/>
          <w:szCs w:val="16"/>
          <w:lang w:val="en-GB" w:eastAsia="it-IT"/>
        </w:rPr>
        <w:t>equirements,</w:t>
      </w:r>
      <w:r w:rsidR="00D5794D">
        <w:rPr>
          <w:sz w:val="16"/>
          <w:szCs w:val="16"/>
          <w:lang w:val="en-GB" w:eastAsia="it-IT"/>
        </w:rPr>
        <w:t xml:space="preserve"> </w:t>
      </w:r>
      <w:r w:rsidRPr="00D5794D">
        <w:rPr>
          <w:sz w:val="16"/>
          <w:szCs w:val="16"/>
          <w:lang w:val="en-GB" w:eastAsia="it-IT"/>
        </w:rPr>
        <w:t>IEC/ISO/IEEE Standard 80005-1, 2016, ed. 2.0.</w:t>
      </w:r>
      <w:r w:rsidR="00D5794D" w:rsidRPr="00D5794D">
        <w:rPr>
          <w:sz w:val="16"/>
          <w:szCs w:val="16"/>
          <w:lang w:val="en-GB" w:eastAsia="it-IT"/>
        </w:rPr>
        <w:t xml:space="preserve">, and </w:t>
      </w:r>
      <w:r w:rsidRPr="00D5794D">
        <w:rPr>
          <w:sz w:val="16"/>
          <w:szCs w:val="16"/>
          <w:lang w:val="en-GB" w:eastAsia="it-IT"/>
        </w:rPr>
        <w:t>Utility Connection in Port Part 3: Low Voltage Shore Connection (LVSC) Systems General Requirements,</w:t>
      </w:r>
      <w:r w:rsidR="00D5794D" w:rsidRPr="00D5794D">
        <w:rPr>
          <w:sz w:val="16"/>
          <w:szCs w:val="16"/>
          <w:lang w:val="en-GB" w:eastAsia="it-IT"/>
        </w:rPr>
        <w:t xml:space="preserve"> </w:t>
      </w:r>
      <w:r w:rsidRPr="00D5794D">
        <w:rPr>
          <w:sz w:val="16"/>
          <w:szCs w:val="16"/>
          <w:lang w:val="en-GB" w:eastAsia="it-IT"/>
        </w:rPr>
        <w:t>IEC/ISO/IEEE Standard 80005-3, 2016, ed. 1.0 – draft edition.</w:t>
      </w:r>
    </w:p>
    <w:sectPr w:rsidR="009137B6" w:rsidRPr="00D5794D">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51" w:rsidRDefault="00631F51">
      <w:r>
        <w:separator/>
      </w:r>
    </w:p>
  </w:endnote>
  <w:endnote w:type="continuationSeparator" w:id="0">
    <w:p w:rsidR="00631F51" w:rsidRDefault="0063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Ex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51" w:rsidRDefault="00631F51">
      <w:r>
        <w:separator/>
      </w:r>
    </w:p>
  </w:footnote>
  <w:footnote w:type="continuationSeparator" w:id="0">
    <w:p w:rsidR="00631F51" w:rsidRDefault="00631F51">
      <w:r>
        <w:continuationSeparator/>
      </w:r>
    </w:p>
  </w:footnote>
  <w:footnote w:id="1">
    <w:p w:rsidR="007C0F65" w:rsidRPr="007C0F65" w:rsidRDefault="007C0F65" w:rsidP="007C0F65">
      <w:pPr>
        <w:pStyle w:val="Testonotaapidipagina"/>
        <w:rPr>
          <w:sz w:val="16"/>
        </w:rPr>
      </w:pPr>
      <w:r>
        <w:rPr>
          <w:rStyle w:val="Rimandonotaapidipagina"/>
        </w:rPr>
        <w:footnoteRef/>
      </w:r>
      <w:r>
        <w:t xml:space="preserve"> </w:t>
      </w:r>
      <w:r w:rsidRPr="009F2686">
        <w:rPr>
          <w:sz w:val="16"/>
        </w:rPr>
        <w:t xml:space="preserve">Corresponding author: </w:t>
      </w:r>
      <w:hyperlink r:id="rId1" w:history="1">
        <w:r w:rsidRPr="008D7090">
          <w:rPr>
            <w:rStyle w:val="Collegamentoipertestuale"/>
            <w:sz w:val="16"/>
          </w:rPr>
          <w:t>michele.cataneo@marina.difesa.it</w:t>
        </w:r>
      </w:hyperlink>
    </w:p>
  </w:footnote>
  <w:footnote w:id="2">
    <w:p w:rsidR="009C3D8B" w:rsidRPr="00B409B4" w:rsidRDefault="009C3D8B">
      <w:pPr>
        <w:pStyle w:val="Testonotaapidipagina"/>
        <w:rPr>
          <w:lang w:val="en-GB"/>
        </w:rPr>
      </w:pPr>
      <w:r>
        <w:rPr>
          <w:rStyle w:val="Rimandonotaapidipagina"/>
        </w:rPr>
        <w:footnoteRef/>
      </w:r>
      <w:r w:rsidRPr="00B409B4">
        <w:rPr>
          <w:lang w:val="en-GB"/>
        </w:rPr>
        <w:t xml:space="preserve"> </w:t>
      </w:r>
      <w:r w:rsidR="00725323" w:rsidRPr="00D5794D">
        <w:rPr>
          <w:sz w:val="16"/>
          <w:szCs w:val="16"/>
          <w:lang w:val="en-GB"/>
        </w:rPr>
        <w:t>The choice of the 60 Hz frequency, once again, was dictated by reasons of design compromise, linked above all to the power required by on-board users operating at 60 Hz.</w:t>
      </w:r>
    </w:p>
  </w:footnote>
  <w:footnote w:id="3">
    <w:p w:rsidR="00AD5300" w:rsidRPr="00161BF3" w:rsidRDefault="00AD5300" w:rsidP="00AD5300">
      <w:pPr>
        <w:pStyle w:val="Testonotaapidipagina"/>
        <w:rPr>
          <w:lang w:val="en-GB"/>
        </w:rPr>
      </w:pPr>
      <w:r>
        <w:rPr>
          <w:rStyle w:val="Rimandonotaapidipagina"/>
        </w:rPr>
        <w:footnoteRef/>
      </w:r>
      <w:r w:rsidRPr="00725323">
        <w:rPr>
          <w:lang w:val="en-GB"/>
        </w:rPr>
        <w:t xml:space="preserve"> </w:t>
      </w:r>
      <w:r w:rsidR="00725323" w:rsidRPr="00D5794D">
        <w:rPr>
          <w:sz w:val="16"/>
          <w:szCs w:val="16"/>
          <w:lang w:val="en-GB"/>
        </w:rPr>
        <w:t xml:space="preserve">It is ITS </w:t>
      </w:r>
      <w:r w:rsidRPr="00D5794D">
        <w:rPr>
          <w:sz w:val="16"/>
          <w:szCs w:val="16"/>
          <w:lang w:val="en-GB"/>
        </w:rPr>
        <w:t xml:space="preserve">CAVOUR, LHD, LSS, FREMM </w:t>
      </w:r>
      <w:r w:rsidR="00725323" w:rsidRPr="00D5794D">
        <w:rPr>
          <w:sz w:val="16"/>
          <w:szCs w:val="16"/>
          <w:lang w:val="en-GB"/>
        </w:rPr>
        <w:t>and</w:t>
      </w:r>
      <w:r w:rsidRPr="00D5794D">
        <w:rPr>
          <w:sz w:val="16"/>
          <w:szCs w:val="16"/>
          <w:lang w:val="en-GB"/>
        </w:rPr>
        <w:t xml:space="preserve"> PPA. </w:t>
      </w:r>
      <w:r w:rsidR="00725323" w:rsidRPr="00D5794D">
        <w:rPr>
          <w:sz w:val="16"/>
          <w:szCs w:val="16"/>
          <w:lang w:val="en-GB"/>
        </w:rPr>
        <w:t xml:space="preserve">The year coincides with the delivery date of the last </w:t>
      </w:r>
      <w:r w:rsidRPr="00D5794D">
        <w:rPr>
          <w:sz w:val="16"/>
          <w:szCs w:val="16"/>
          <w:lang w:val="en-GB"/>
        </w:rPr>
        <w:t>PPA.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0266438"/>
    <w:multiLevelType w:val="hybridMultilevel"/>
    <w:tmpl w:val="05480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112CA"/>
    <w:multiLevelType w:val="hybridMultilevel"/>
    <w:tmpl w:val="FFE815A0"/>
    <w:lvl w:ilvl="0" w:tplc="B276D28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8A458B"/>
    <w:multiLevelType w:val="hybridMultilevel"/>
    <w:tmpl w:val="5E8EC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233DF"/>
    <w:multiLevelType w:val="multilevel"/>
    <w:tmpl w:val="ABC8A7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4B6E6C"/>
    <w:multiLevelType w:val="hybridMultilevel"/>
    <w:tmpl w:val="31F62C3E"/>
    <w:lvl w:ilvl="0" w:tplc="9C82C85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3310E8"/>
    <w:multiLevelType w:val="hybridMultilevel"/>
    <w:tmpl w:val="3CE6A9C8"/>
    <w:lvl w:ilvl="0" w:tplc="D1ECD3EE">
      <w:start w:val="1"/>
      <w:numFmt w:val="bullet"/>
      <w:lvlText w:val="-"/>
      <w:lvlJc w:val="left"/>
      <w:pPr>
        <w:ind w:left="1080" w:hanging="360"/>
      </w:pPr>
      <w:rPr>
        <w:rFonts w:ascii="Courier" w:eastAsia="Times New Roman" w:hAnsi="Courier" w:cs="Times New Roman"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B77661"/>
    <w:multiLevelType w:val="hybridMultilevel"/>
    <w:tmpl w:val="21C4DFE8"/>
    <w:lvl w:ilvl="0" w:tplc="5748E2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6A2060"/>
    <w:multiLevelType w:val="multilevel"/>
    <w:tmpl w:val="69869E60"/>
    <w:lvl w:ilvl="0">
      <w:start w:val="4"/>
      <w:numFmt w:val="bullet"/>
      <w:lvlText w:val="-"/>
      <w:lvlJc w:val="left"/>
      <w:rPr>
        <w:rFonts w:ascii="Times New Roman" w:eastAsia="Times New Roman" w:hAnsi="Times New Roman" w:cs="Times New Roman" w:hint="default"/>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58233E5"/>
    <w:multiLevelType w:val="hybridMultilevel"/>
    <w:tmpl w:val="4FA84A2E"/>
    <w:lvl w:ilvl="0" w:tplc="A00EAC0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8E0E8A"/>
    <w:multiLevelType w:val="hybridMultilevel"/>
    <w:tmpl w:val="A2064FA6"/>
    <w:lvl w:ilvl="0" w:tplc="B9F47C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9B772E"/>
    <w:multiLevelType w:val="hybridMultilevel"/>
    <w:tmpl w:val="FC6A1804"/>
    <w:lvl w:ilvl="0" w:tplc="A00EAC0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977B6C"/>
    <w:multiLevelType w:val="hybridMultilevel"/>
    <w:tmpl w:val="3CEC8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6B6835"/>
    <w:multiLevelType w:val="hybridMultilevel"/>
    <w:tmpl w:val="924E458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153656"/>
    <w:multiLevelType w:val="hybridMultilevel"/>
    <w:tmpl w:val="DF3A596C"/>
    <w:lvl w:ilvl="0" w:tplc="A38E2BA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1" w15:restartNumberingAfterBreak="0">
    <w:nsid w:val="65D01EDA"/>
    <w:multiLevelType w:val="hybridMultilevel"/>
    <w:tmpl w:val="924E458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627D52"/>
    <w:multiLevelType w:val="hybridMultilevel"/>
    <w:tmpl w:val="F836E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ED3C6A"/>
    <w:multiLevelType w:val="hybridMultilevel"/>
    <w:tmpl w:val="F3E64CB8"/>
    <w:lvl w:ilvl="0" w:tplc="46E8A204">
      <w:start w:val="1"/>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729A472C"/>
    <w:multiLevelType w:val="hybridMultilevel"/>
    <w:tmpl w:val="30D6F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9D7927"/>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6"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74226"/>
    <w:multiLevelType w:val="hybridMultilevel"/>
    <w:tmpl w:val="FBB26E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471873"/>
    <w:multiLevelType w:val="hybridMultilevel"/>
    <w:tmpl w:val="052228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5D5EF8"/>
    <w:multiLevelType w:val="hybridMultilevel"/>
    <w:tmpl w:val="4EDE2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25"/>
  </w:num>
  <w:num w:numId="5">
    <w:abstractNumId w:val="15"/>
  </w:num>
  <w:num w:numId="6">
    <w:abstractNumId w:val="20"/>
  </w:num>
  <w:num w:numId="7">
    <w:abstractNumId w:val="26"/>
  </w:num>
  <w:num w:numId="8">
    <w:abstractNumId w:val="17"/>
  </w:num>
  <w:num w:numId="9">
    <w:abstractNumId w:val="26"/>
  </w:num>
  <w:num w:numId="10">
    <w:abstractNumId w:val="10"/>
  </w:num>
  <w:num w:numId="11">
    <w:abstractNumId w:val="26"/>
    <w:lvlOverride w:ilvl="0">
      <w:startOverride w:val="1"/>
    </w:lvlOverride>
  </w:num>
  <w:num w:numId="12">
    <w:abstractNumId w:val="11"/>
  </w:num>
  <w:num w:numId="13">
    <w:abstractNumId w:val="2"/>
  </w:num>
  <w:num w:numId="14">
    <w:abstractNumId w:val="6"/>
  </w:num>
  <w:num w:numId="15">
    <w:abstractNumId w:val="12"/>
  </w:num>
  <w:num w:numId="16">
    <w:abstractNumId w:val="9"/>
  </w:num>
  <w:num w:numId="17">
    <w:abstractNumId w:val="25"/>
    <w:lvlOverride w:ilvl="0">
      <w:startOverride w:val="4"/>
    </w:lvlOverride>
  </w:num>
  <w:num w:numId="18">
    <w:abstractNumId w:val="7"/>
  </w:num>
  <w:num w:numId="19">
    <w:abstractNumId w:val="23"/>
  </w:num>
  <w:num w:numId="20">
    <w:abstractNumId w:val="1"/>
  </w:num>
  <w:num w:numId="21">
    <w:abstractNumId w:val="22"/>
  </w:num>
  <w:num w:numId="22">
    <w:abstractNumId w:val="5"/>
  </w:num>
  <w:num w:numId="23">
    <w:abstractNumId w:val="14"/>
  </w:num>
  <w:num w:numId="24">
    <w:abstractNumId w:val="4"/>
  </w:num>
  <w:num w:numId="25">
    <w:abstractNumId w:val="21"/>
  </w:num>
  <w:num w:numId="26">
    <w:abstractNumId w:val="29"/>
  </w:num>
  <w:num w:numId="27">
    <w:abstractNumId w:val="28"/>
  </w:num>
  <w:num w:numId="28">
    <w:abstractNumId w:val="18"/>
  </w:num>
  <w:num w:numId="29">
    <w:abstractNumId w:val="27"/>
  </w:num>
  <w:num w:numId="30">
    <w:abstractNumId w:val="8"/>
  </w:num>
  <w:num w:numId="31">
    <w:abstractNumId w:val="13"/>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4"/>
    <w:rsid w:val="000065D8"/>
    <w:rsid w:val="00007573"/>
    <w:rsid w:val="000110B6"/>
    <w:rsid w:val="00021A31"/>
    <w:rsid w:val="000251B5"/>
    <w:rsid w:val="00026507"/>
    <w:rsid w:val="000367C5"/>
    <w:rsid w:val="00041FD0"/>
    <w:rsid w:val="00047074"/>
    <w:rsid w:val="000519DD"/>
    <w:rsid w:val="00057F29"/>
    <w:rsid w:val="00071CC3"/>
    <w:rsid w:val="0007387A"/>
    <w:rsid w:val="00075D65"/>
    <w:rsid w:val="000808C9"/>
    <w:rsid w:val="000918E8"/>
    <w:rsid w:val="00096640"/>
    <w:rsid w:val="000A3C5E"/>
    <w:rsid w:val="000B232F"/>
    <w:rsid w:val="000B38F9"/>
    <w:rsid w:val="000B5A4A"/>
    <w:rsid w:val="000B6B78"/>
    <w:rsid w:val="000C721C"/>
    <w:rsid w:val="000C75D9"/>
    <w:rsid w:val="000D14A9"/>
    <w:rsid w:val="000D3258"/>
    <w:rsid w:val="000D491D"/>
    <w:rsid w:val="000E7CD6"/>
    <w:rsid w:val="000F3AD8"/>
    <w:rsid w:val="000F5A77"/>
    <w:rsid w:val="00101629"/>
    <w:rsid w:val="0010245A"/>
    <w:rsid w:val="00106BC9"/>
    <w:rsid w:val="00114A9E"/>
    <w:rsid w:val="00115277"/>
    <w:rsid w:val="001153FC"/>
    <w:rsid w:val="00124A29"/>
    <w:rsid w:val="00127B98"/>
    <w:rsid w:val="00133332"/>
    <w:rsid w:val="00142025"/>
    <w:rsid w:val="00146281"/>
    <w:rsid w:val="00150FB8"/>
    <w:rsid w:val="00155256"/>
    <w:rsid w:val="00161BF3"/>
    <w:rsid w:val="001646A8"/>
    <w:rsid w:val="00164AC7"/>
    <w:rsid w:val="00172BDF"/>
    <w:rsid w:val="001778CE"/>
    <w:rsid w:val="001811DD"/>
    <w:rsid w:val="0018231E"/>
    <w:rsid w:val="0018563D"/>
    <w:rsid w:val="00185702"/>
    <w:rsid w:val="00190CC7"/>
    <w:rsid w:val="00192E82"/>
    <w:rsid w:val="001A3D96"/>
    <w:rsid w:val="001A3E3B"/>
    <w:rsid w:val="001B25B5"/>
    <w:rsid w:val="001B3CA9"/>
    <w:rsid w:val="001C08FA"/>
    <w:rsid w:val="001C2598"/>
    <w:rsid w:val="001C5207"/>
    <w:rsid w:val="001E527D"/>
    <w:rsid w:val="001E7B4D"/>
    <w:rsid w:val="001F1589"/>
    <w:rsid w:val="00204ACA"/>
    <w:rsid w:val="0021029A"/>
    <w:rsid w:val="00213155"/>
    <w:rsid w:val="00214E0E"/>
    <w:rsid w:val="00217CD2"/>
    <w:rsid w:val="00223ADA"/>
    <w:rsid w:val="00231992"/>
    <w:rsid w:val="00236766"/>
    <w:rsid w:val="002368A8"/>
    <w:rsid w:val="0023754A"/>
    <w:rsid w:val="00237636"/>
    <w:rsid w:val="00241168"/>
    <w:rsid w:val="00242DE2"/>
    <w:rsid w:val="00251178"/>
    <w:rsid w:val="00255F56"/>
    <w:rsid w:val="002812D7"/>
    <w:rsid w:val="002905DA"/>
    <w:rsid w:val="00290F1A"/>
    <w:rsid w:val="00293781"/>
    <w:rsid w:val="00293CAC"/>
    <w:rsid w:val="0029648D"/>
    <w:rsid w:val="002A120B"/>
    <w:rsid w:val="002A38CD"/>
    <w:rsid w:val="002A66CC"/>
    <w:rsid w:val="002C522D"/>
    <w:rsid w:val="002D375C"/>
    <w:rsid w:val="002D4366"/>
    <w:rsid w:val="002E3121"/>
    <w:rsid w:val="002E598D"/>
    <w:rsid w:val="003147CD"/>
    <w:rsid w:val="00315F43"/>
    <w:rsid w:val="003267FC"/>
    <w:rsid w:val="0032692F"/>
    <w:rsid w:val="00354B58"/>
    <w:rsid w:val="0036316F"/>
    <w:rsid w:val="003662E4"/>
    <w:rsid w:val="0038186C"/>
    <w:rsid w:val="003833EE"/>
    <w:rsid w:val="00383DE3"/>
    <w:rsid w:val="00394061"/>
    <w:rsid w:val="003A004A"/>
    <w:rsid w:val="003A01B9"/>
    <w:rsid w:val="003A3F58"/>
    <w:rsid w:val="003B5E1F"/>
    <w:rsid w:val="003B74D2"/>
    <w:rsid w:val="003C13A8"/>
    <w:rsid w:val="003C7CAB"/>
    <w:rsid w:val="003D0640"/>
    <w:rsid w:val="003D5620"/>
    <w:rsid w:val="003F22D5"/>
    <w:rsid w:val="003F6881"/>
    <w:rsid w:val="00402E75"/>
    <w:rsid w:val="0040613E"/>
    <w:rsid w:val="004065A7"/>
    <w:rsid w:val="00406EA7"/>
    <w:rsid w:val="00415CC9"/>
    <w:rsid w:val="00420705"/>
    <w:rsid w:val="00421115"/>
    <w:rsid w:val="00430006"/>
    <w:rsid w:val="00432318"/>
    <w:rsid w:val="004336A3"/>
    <w:rsid w:val="00433B08"/>
    <w:rsid w:val="00434977"/>
    <w:rsid w:val="00434C6F"/>
    <w:rsid w:val="00451D34"/>
    <w:rsid w:val="00453ABE"/>
    <w:rsid w:val="00455B92"/>
    <w:rsid w:val="004709D0"/>
    <w:rsid w:val="00470DDB"/>
    <w:rsid w:val="00471D28"/>
    <w:rsid w:val="00473918"/>
    <w:rsid w:val="0047615C"/>
    <w:rsid w:val="004811A7"/>
    <w:rsid w:val="00481EAF"/>
    <w:rsid w:val="00485B35"/>
    <w:rsid w:val="004B74E3"/>
    <w:rsid w:val="004C0A59"/>
    <w:rsid w:val="004C42CD"/>
    <w:rsid w:val="004D20A7"/>
    <w:rsid w:val="004D29C3"/>
    <w:rsid w:val="004D7748"/>
    <w:rsid w:val="004E3907"/>
    <w:rsid w:val="004F2518"/>
    <w:rsid w:val="004F49E3"/>
    <w:rsid w:val="00501FA6"/>
    <w:rsid w:val="005060B9"/>
    <w:rsid w:val="00516697"/>
    <w:rsid w:val="005212DA"/>
    <w:rsid w:val="005228F4"/>
    <w:rsid w:val="00531FFB"/>
    <w:rsid w:val="005401FB"/>
    <w:rsid w:val="00560E68"/>
    <w:rsid w:val="00564599"/>
    <w:rsid w:val="005763C7"/>
    <w:rsid w:val="00576433"/>
    <w:rsid w:val="00594A7E"/>
    <w:rsid w:val="005A082B"/>
    <w:rsid w:val="005A2504"/>
    <w:rsid w:val="005B1DF8"/>
    <w:rsid w:val="005B2EF7"/>
    <w:rsid w:val="005B4D8D"/>
    <w:rsid w:val="005D67E4"/>
    <w:rsid w:val="005E0BF7"/>
    <w:rsid w:val="00605766"/>
    <w:rsid w:val="006161C2"/>
    <w:rsid w:val="00623115"/>
    <w:rsid w:val="00631672"/>
    <w:rsid w:val="00631F51"/>
    <w:rsid w:val="006321B0"/>
    <w:rsid w:val="00660DFC"/>
    <w:rsid w:val="00670214"/>
    <w:rsid w:val="00671DC5"/>
    <w:rsid w:val="006722E9"/>
    <w:rsid w:val="00674163"/>
    <w:rsid w:val="00676B12"/>
    <w:rsid w:val="00681F80"/>
    <w:rsid w:val="006913B1"/>
    <w:rsid w:val="0069606A"/>
    <w:rsid w:val="006B0ED0"/>
    <w:rsid w:val="006B6A32"/>
    <w:rsid w:val="006E0756"/>
    <w:rsid w:val="006E1B18"/>
    <w:rsid w:val="006F0485"/>
    <w:rsid w:val="006F27E7"/>
    <w:rsid w:val="006F5CCF"/>
    <w:rsid w:val="007152AF"/>
    <w:rsid w:val="00722AA9"/>
    <w:rsid w:val="00725323"/>
    <w:rsid w:val="0073007A"/>
    <w:rsid w:val="007432F1"/>
    <w:rsid w:val="0075077E"/>
    <w:rsid w:val="00752177"/>
    <w:rsid w:val="00752E0A"/>
    <w:rsid w:val="0076535B"/>
    <w:rsid w:val="0078132C"/>
    <w:rsid w:val="00785A27"/>
    <w:rsid w:val="007864A9"/>
    <w:rsid w:val="00791773"/>
    <w:rsid w:val="00797784"/>
    <w:rsid w:val="007B3DCA"/>
    <w:rsid w:val="007C0F65"/>
    <w:rsid w:val="007C1AB9"/>
    <w:rsid w:val="007C6372"/>
    <w:rsid w:val="007C6DFD"/>
    <w:rsid w:val="007D0A50"/>
    <w:rsid w:val="007D227A"/>
    <w:rsid w:val="007D69E1"/>
    <w:rsid w:val="007E5F6F"/>
    <w:rsid w:val="007F5DAA"/>
    <w:rsid w:val="0080089D"/>
    <w:rsid w:val="00800F2E"/>
    <w:rsid w:val="00807899"/>
    <w:rsid w:val="00811E68"/>
    <w:rsid w:val="0081568E"/>
    <w:rsid w:val="00817498"/>
    <w:rsid w:val="0082470F"/>
    <w:rsid w:val="00830DC9"/>
    <w:rsid w:val="00830FB5"/>
    <w:rsid w:val="008326F5"/>
    <w:rsid w:val="00832D1E"/>
    <w:rsid w:val="008476E6"/>
    <w:rsid w:val="00847C1C"/>
    <w:rsid w:val="00852142"/>
    <w:rsid w:val="008564EA"/>
    <w:rsid w:val="00862759"/>
    <w:rsid w:val="008728BC"/>
    <w:rsid w:val="00881DF5"/>
    <w:rsid w:val="00891FD2"/>
    <w:rsid w:val="00896594"/>
    <w:rsid w:val="008A2601"/>
    <w:rsid w:val="008A51E1"/>
    <w:rsid w:val="008D2116"/>
    <w:rsid w:val="008D3322"/>
    <w:rsid w:val="008D52F9"/>
    <w:rsid w:val="008D6DAC"/>
    <w:rsid w:val="009119F0"/>
    <w:rsid w:val="009137B6"/>
    <w:rsid w:val="009318C4"/>
    <w:rsid w:val="0094003D"/>
    <w:rsid w:val="009425AE"/>
    <w:rsid w:val="00946B16"/>
    <w:rsid w:val="00947866"/>
    <w:rsid w:val="00953B3D"/>
    <w:rsid w:val="0095714A"/>
    <w:rsid w:val="00960EC5"/>
    <w:rsid w:val="009727EA"/>
    <w:rsid w:val="00982C77"/>
    <w:rsid w:val="00984DE8"/>
    <w:rsid w:val="009940CE"/>
    <w:rsid w:val="009946FA"/>
    <w:rsid w:val="009B2365"/>
    <w:rsid w:val="009C3D8B"/>
    <w:rsid w:val="009C4174"/>
    <w:rsid w:val="009C534E"/>
    <w:rsid w:val="009D082A"/>
    <w:rsid w:val="009E3D17"/>
    <w:rsid w:val="009F4ED1"/>
    <w:rsid w:val="00A03EBA"/>
    <w:rsid w:val="00A25E0D"/>
    <w:rsid w:val="00A3427C"/>
    <w:rsid w:val="00A34D8E"/>
    <w:rsid w:val="00A52131"/>
    <w:rsid w:val="00A5616F"/>
    <w:rsid w:val="00A65036"/>
    <w:rsid w:val="00A66315"/>
    <w:rsid w:val="00A72CA9"/>
    <w:rsid w:val="00A73339"/>
    <w:rsid w:val="00A80137"/>
    <w:rsid w:val="00A86CAE"/>
    <w:rsid w:val="00A86EB2"/>
    <w:rsid w:val="00AA36F3"/>
    <w:rsid w:val="00AB2322"/>
    <w:rsid w:val="00AB32F6"/>
    <w:rsid w:val="00AD0933"/>
    <w:rsid w:val="00AD224A"/>
    <w:rsid w:val="00AD5300"/>
    <w:rsid w:val="00AE2872"/>
    <w:rsid w:val="00AE3841"/>
    <w:rsid w:val="00AE3AEB"/>
    <w:rsid w:val="00AF0108"/>
    <w:rsid w:val="00AF1174"/>
    <w:rsid w:val="00AF1175"/>
    <w:rsid w:val="00AF4CB6"/>
    <w:rsid w:val="00B01177"/>
    <w:rsid w:val="00B05A8D"/>
    <w:rsid w:val="00B05D6E"/>
    <w:rsid w:val="00B06293"/>
    <w:rsid w:val="00B218EB"/>
    <w:rsid w:val="00B32F0F"/>
    <w:rsid w:val="00B33801"/>
    <w:rsid w:val="00B409B4"/>
    <w:rsid w:val="00B442DC"/>
    <w:rsid w:val="00B453EB"/>
    <w:rsid w:val="00B50390"/>
    <w:rsid w:val="00B67DD7"/>
    <w:rsid w:val="00B8725E"/>
    <w:rsid w:val="00BA7641"/>
    <w:rsid w:val="00BB01CE"/>
    <w:rsid w:val="00BC203E"/>
    <w:rsid w:val="00BF0341"/>
    <w:rsid w:val="00BF1741"/>
    <w:rsid w:val="00BF58D4"/>
    <w:rsid w:val="00C07214"/>
    <w:rsid w:val="00C12D4D"/>
    <w:rsid w:val="00C1475E"/>
    <w:rsid w:val="00C15CC0"/>
    <w:rsid w:val="00C16101"/>
    <w:rsid w:val="00C22E64"/>
    <w:rsid w:val="00C31A77"/>
    <w:rsid w:val="00C373CB"/>
    <w:rsid w:val="00C46360"/>
    <w:rsid w:val="00C46F97"/>
    <w:rsid w:val="00C65BF7"/>
    <w:rsid w:val="00C7371E"/>
    <w:rsid w:val="00C76C4E"/>
    <w:rsid w:val="00C76EFB"/>
    <w:rsid w:val="00C806B5"/>
    <w:rsid w:val="00C82104"/>
    <w:rsid w:val="00C915D3"/>
    <w:rsid w:val="00C925F7"/>
    <w:rsid w:val="00C97D11"/>
    <w:rsid w:val="00CB02D7"/>
    <w:rsid w:val="00CB111F"/>
    <w:rsid w:val="00CB1C83"/>
    <w:rsid w:val="00CB5241"/>
    <w:rsid w:val="00CC3E87"/>
    <w:rsid w:val="00CD0444"/>
    <w:rsid w:val="00CD514D"/>
    <w:rsid w:val="00CE1FAF"/>
    <w:rsid w:val="00CF5C91"/>
    <w:rsid w:val="00CF73DE"/>
    <w:rsid w:val="00CF7883"/>
    <w:rsid w:val="00D0096F"/>
    <w:rsid w:val="00D21534"/>
    <w:rsid w:val="00D21CAB"/>
    <w:rsid w:val="00D34F97"/>
    <w:rsid w:val="00D36915"/>
    <w:rsid w:val="00D50793"/>
    <w:rsid w:val="00D533E8"/>
    <w:rsid w:val="00D5753D"/>
    <w:rsid w:val="00D5794D"/>
    <w:rsid w:val="00D701D4"/>
    <w:rsid w:val="00D82BC9"/>
    <w:rsid w:val="00D86D7F"/>
    <w:rsid w:val="00D86E92"/>
    <w:rsid w:val="00D92919"/>
    <w:rsid w:val="00D946E2"/>
    <w:rsid w:val="00DB0C02"/>
    <w:rsid w:val="00DB2111"/>
    <w:rsid w:val="00DB47A4"/>
    <w:rsid w:val="00DD7A3B"/>
    <w:rsid w:val="00DE1957"/>
    <w:rsid w:val="00DF2803"/>
    <w:rsid w:val="00DF4330"/>
    <w:rsid w:val="00DF5340"/>
    <w:rsid w:val="00E02342"/>
    <w:rsid w:val="00E0472F"/>
    <w:rsid w:val="00E143E8"/>
    <w:rsid w:val="00E14914"/>
    <w:rsid w:val="00E24870"/>
    <w:rsid w:val="00E251D8"/>
    <w:rsid w:val="00E35E1E"/>
    <w:rsid w:val="00E3734A"/>
    <w:rsid w:val="00E45568"/>
    <w:rsid w:val="00E46385"/>
    <w:rsid w:val="00E50326"/>
    <w:rsid w:val="00E56F62"/>
    <w:rsid w:val="00E627BD"/>
    <w:rsid w:val="00E673F7"/>
    <w:rsid w:val="00E7197D"/>
    <w:rsid w:val="00E77FED"/>
    <w:rsid w:val="00E80993"/>
    <w:rsid w:val="00E93FA9"/>
    <w:rsid w:val="00E9572D"/>
    <w:rsid w:val="00EA7E83"/>
    <w:rsid w:val="00EC5EA3"/>
    <w:rsid w:val="00EC60C2"/>
    <w:rsid w:val="00ED3B7F"/>
    <w:rsid w:val="00EF2998"/>
    <w:rsid w:val="00EF34F7"/>
    <w:rsid w:val="00EF6DAB"/>
    <w:rsid w:val="00F050D0"/>
    <w:rsid w:val="00F07FC3"/>
    <w:rsid w:val="00F1050F"/>
    <w:rsid w:val="00F1334B"/>
    <w:rsid w:val="00F14E9C"/>
    <w:rsid w:val="00F2283E"/>
    <w:rsid w:val="00F27C35"/>
    <w:rsid w:val="00F330D5"/>
    <w:rsid w:val="00F36A56"/>
    <w:rsid w:val="00F516DB"/>
    <w:rsid w:val="00F72563"/>
    <w:rsid w:val="00F766C1"/>
    <w:rsid w:val="00F829B0"/>
    <w:rsid w:val="00F85D38"/>
    <w:rsid w:val="00F9261F"/>
    <w:rsid w:val="00FB14F8"/>
    <w:rsid w:val="00FB6B38"/>
    <w:rsid w:val="00FD4CE3"/>
    <w:rsid w:val="00FF6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0AC27"/>
  <w15:docId w15:val="{7C2D7C8F-9511-4B46-82EE-FE7E8E0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suppressAutoHyphens/>
      <w:spacing w:before="480" w:after="240"/>
      <w:ind w:firstLine="0"/>
      <w:jc w:val="left"/>
      <w:outlineLvl w:val="0"/>
    </w:pPr>
    <w:rPr>
      <w:rFonts w:cs="Arial"/>
      <w:b/>
      <w:bCs/>
      <w:kern w:val="32"/>
      <w:szCs w:val="32"/>
    </w:rPr>
  </w:style>
  <w:style w:type="paragraph" w:styleId="Titolo2">
    <w:name w:val="heading 2"/>
    <w:basedOn w:val="Normale"/>
    <w:next w:val="NoindentNormal"/>
    <w:qFormat/>
    <w:pPr>
      <w:keepNext/>
      <w:keepLines/>
      <w:suppressAutoHyphens/>
      <w:spacing w:before="240" w:after="240"/>
      <w:ind w:firstLine="0"/>
      <w:jc w:val="left"/>
      <w:outlineLvl w:val="1"/>
    </w:pPr>
    <w:rPr>
      <w:rFonts w:cs="Arial"/>
      <w:bCs/>
      <w:i/>
      <w:iCs/>
      <w:szCs w:val="28"/>
    </w:rPr>
  </w:style>
  <w:style w:type="paragraph" w:styleId="Titolo3">
    <w:name w:val="heading 3"/>
    <w:basedOn w:val="Normale"/>
    <w:next w:val="NoindentNormal"/>
    <w:qFormat/>
    <w:pPr>
      <w:keepNext/>
      <w:keepLines/>
      <w:suppressAutoHyphens/>
      <w:spacing w:before="240" w:after="120"/>
      <w:ind w:firstLine="0"/>
      <w:jc w:val="left"/>
      <w:outlineLvl w:val="2"/>
    </w:pPr>
    <w:rPr>
      <w:rFonts w:cs="Arial"/>
      <w:bCs/>
      <w:i/>
      <w:szCs w:val="26"/>
    </w:rPr>
  </w:style>
  <w:style w:type="paragraph" w:styleId="Titolo4">
    <w:name w:val="heading 4"/>
    <w:basedOn w:val="Normale"/>
    <w:next w:val="NoindentNormal"/>
    <w:qFormat/>
    <w:pPr>
      <w:keepNext/>
      <w:suppressAutoHyphens/>
      <w:spacing w:before="120"/>
      <w:ind w:firstLine="0"/>
      <w:jc w:val="left"/>
      <w:outlineLvl w:val="3"/>
    </w:pPr>
    <w:rPr>
      <w:bCs/>
      <w:i/>
      <w:szCs w:val="28"/>
    </w:rPr>
  </w:style>
  <w:style w:type="paragraph" w:styleId="Titolo5">
    <w:name w:val="heading 5"/>
    <w:basedOn w:val="Normale"/>
    <w:next w:val="NoindentNormal"/>
    <w:qFormat/>
    <w:pPr>
      <w:ind w:firstLine="0"/>
      <w:jc w:val="left"/>
      <w:outlineLvl w:val="4"/>
    </w:pPr>
    <w:rPr>
      <w:bCs/>
      <w:i/>
      <w:iCs/>
      <w:szCs w:val="26"/>
    </w:rPr>
  </w:style>
  <w:style w:type="paragraph" w:styleId="Titolo6">
    <w:name w:val="heading 6"/>
    <w:basedOn w:val="Normale"/>
    <w:next w:val="Normale"/>
    <w:qFormat/>
    <w:pPr>
      <w:spacing w:before="240"/>
      <w:ind w:firstLine="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rPr>
      <w:bCs w:val="0"/>
    </w:rPr>
  </w:style>
  <w:style w:type="paragraph" w:customStyle="1" w:styleId="HeadingUnn2">
    <w:name w:val="HeadingUnn2"/>
    <w:basedOn w:val="Titolo2"/>
    <w:next w:val="NoindentNormal"/>
  </w:style>
  <w:style w:type="paragraph" w:customStyle="1" w:styleId="HeadingUnn3">
    <w:name w:val="HeadingUnn3"/>
    <w:basedOn w:val="Titolo3"/>
    <w:next w:val="NoindentNormal"/>
  </w:style>
  <w:style w:type="paragraph" w:customStyle="1" w:styleId="HeadingUnn4">
    <w:name w:val="HeadingUnn4"/>
    <w:basedOn w:val="Titolo4"/>
    <w:next w:val="NoindentNormal"/>
  </w:style>
  <w:style w:type="paragraph" w:customStyle="1" w:styleId="HeadingUnn5">
    <w:name w:val="HeadingUnn5"/>
    <w:basedOn w:val="Titolo5"/>
    <w:next w:val="Normale"/>
    <w:p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uiPriority w:val="99"/>
    <w:rPr>
      <w:szCs w:val="20"/>
    </w:rPr>
  </w:style>
  <w:style w:type="character" w:styleId="Rimandonotaapidipagina">
    <w:name w:val="footnote reference"/>
    <w:uiPriority w:val="99"/>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3818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86C"/>
    <w:rPr>
      <w:rFonts w:ascii="Tahoma" w:hAnsi="Tahoma" w:cs="Tahoma"/>
      <w:sz w:val="16"/>
      <w:szCs w:val="16"/>
      <w:lang w:val="en-US" w:eastAsia="ja-JP"/>
    </w:rPr>
  </w:style>
  <w:style w:type="character" w:customStyle="1" w:styleId="TestonotaapidipaginaCarattere">
    <w:name w:val="Testo nota a piè di pagina Carattere"/>
    <w:basedOn w:val="Carpredefinitoparagrafo"/>
    <w:link w:val="Testonotaapidipagina"/>
    <w:uiPriority w:val="99"/>
    <w:rsid w:val="00AF1174"/>
    <w:rPr>
      <w:lang w:val="en-US" w:eastAsia="ja-JP"/>
    </w:rPr>
  </w:style>
  <w:style w:type="paragraph" w:styleId="NormaleWeb">
    <w:name w:val="Normal (Web)"/>
    <w:basedOn w:val="Normale"/>
    <w:uiPriority w:val="99"/>
    <w:unhideWhenUsed/>
    <w:rsid w:val="00AF1174"/>
    <w:pPr>
      <w:spacing w:before="100" w:beforeAutospacing="1" w:after="100" w:afterAutospacing="1"/>
      <w:ind w:firstLine="0"/>
      <w:jc w:val="left"/>
    </w:pPr>
    <w:rPr>
      <w:rFonts w:eastAsia="Times New Roman"/>
      <w:sz w:val="24"/>
      <w:lang w:val="it-IT" w:eastAsia="it-IT"/>
    </w:rPr>
  </w:style>
  <w:style w:type="table" w:styleId="Grigliatabella">
    <w:name w:val="Table Grid"/>
    <w:basedOn w:val="Tabellanormale"/>
    <w:uiPriority w:val="59"/>
    <w:rsid w:val="00C821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82104"/>
    <w:pPr>
      <w:spacing w:after="200" w:line="276" w:lineRule="auto"/>
      <w:ind w:left="720" w:firstLine="0"/>
      <w:contextualSpacing/>
      <w:jc w:val="left"/>
    </w:pPr>
    <w:rPr>
      <w:rFonts w:asciiTheme="minorHAnsi" w:eastAsiaTheme="minorHAnsi" w:hAnsiTheme="minorHAnsi" w:cstheme="minorBidi"/>
      <w:sz w:val="22"/>
      <w:szCs w:val="22"/>
      <w:lang w:val="it-IT" w:eastAsia="en-US"/>
    </w:rPr>
  </w:style>
  <w:style w:type="paragraph" w:customStyle="1" w:styleId="Default">
    <w:name w:val="Default"/>
    <w:rsid w:val="00C82104"/>
    <w:pPr>
      <w:autoSpaceDE w:val="0"/>
      <w:autoSpaceDN w:val="0"/>
      <w:adjustRightInd w:val="0"/>
    </w:pPr>
    <w:rPr>
      <w:rFonts w:ascii="Exo" w:eastAsiaTheme="minorHAnsi" w:hAnsi="Exo" w:cs="Exo"/>
      <w:color w:val="000000"/>
      <w:sz w:val="24"/>
      <w:szCs w:val="24"/>
      <w:lang w:eastAsia="en-US"/>
    </w:rPr>
  </w:style>
  <w:style w:type="paragraph" w:styleId="Iniziomodulo-z">
    <w:name w:val="HTML Top of Form"/>
    <w:basedOn w:val="Normale"/>
    <w:next w:val="Normale"/>
    <w:link w:val="Iniziomodulo-zCarattere"/>
    <w:hidden/>
    <w:uiPriority w:val="99"/>
    <w:semiHidden/>
    <w:unhideWhenUsed/>
    <w:rsid w:val="00785A27"/>
    <w:pPr>
      <w:pBdr>
        <w:bottom w:val="single" w:sz="6" w:space="1" w:color="auto"/>
      </w:pBdr>
      <w:ind w:firstLine="0"/>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785A27"/>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unhideWhenUsed/>
    <w:rsid w:val="00785A27"/>
    <w:pPr>
      <w:pBdr>
        <w:top w:val="single" w:sz="6" w:space="1" w:color="auto"/>
      </w:pBdr>
      <w:ind w:firstLine="0"/>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rsid w:val="00785A27"/>
    <w:rPr>
      <w:rFonts w:ascii="Arial" w:eastAsia="Times New Roman" w:hAnsi="Arial" w:cs="Arial"/>
      <w:vanish/>
      <w:sz w:val="16"/>
      <w:szCs w:val="16"/>
    </w:rPr>
  </w:style>
  <w:style w:type="paragraph" w:styleId="Sommario2">
    <w:name w:val="toc 2"/>
    <w:basedOn w:val="Normale"/>
    <w:next w:val="Normale"/>
    <w:autoRedefine/>
    <w:uiPriority w:val="39"/>
    <w:unhideWhenUsed/>
    <w:rsid w:val="00E673F7"/>
    <w:pPr>
      <w:spacing w:after="100" w:line="276" w:lineRule="auto"/>
      <w:ind w:left="220" w:firstLine="0"/>
      <w:jc w:val="left"/>
    </w:pPr>
    <w:rPr>
      <w:rFonts w:asciiTheme="minorHAnsi" w:eastAsiaTheme="minorHAnsi" w:hAnsiTheme="minorHAnsi" w:cstheme="minorBidi"/>
      <w:sz w:val="22"/>
      <w:szCs w:val="22"/>
      <w:lang w:val="it-IT" w:eastAsia="en-US"/>
    </w:rPr>
  </w:style>
  <w:style w:type="character" w:customStyle="1" w:styleId="ms-rtefontface-81">
    <w:name w:val="ms-rtefontface-81"/>
    <w:basedOn w:val="Carpredefinitoparagrafo"/>
    <w:rsid w:val="009F4ED1"/>
    <w:rPr>
      <w:rFonts w:ascii="Trebuchet MS" w:hAnsi="Trebuchet MS" w:hint="default"/>
    </w:rPr>
  </w:style>
  <w:style w:type="character" w:styleId="Collegamentoipertestuale">
    <w:name w:val="Hyperlink"/>
    <w:basedOn w:val="Carpredefinitoparagrafo"/>
    <w:uiPriority w:val="99"/>
    <w:unhideWhenUsed/>
    <w:rsid w:val="00516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367">
      <w:bodyDiv w:val="1"/>
      <w:marLeft w:val="0"/>
      <w:marRight w:val="0"/>
      <w:marTop w:val="0"/>
      <w:marBottom w:val="0"/>
      <w:divBdr>
        <w:top w:val="none" w:sz="0" w:space="0" w:color="auto"/>
        <w:left w:val="none" w:sz="0" w:space="0" w:color="auto"/>
        <w:bottom w:val="none" w:sz="0" w:space="0" w:color="auto"/>
        <w:right w:val="none" w:sz="0" w:space="0" w:color="auto"/>
      </w:divBdr>
    </w:div>
    <w:div w:id="515584146">
      <w:bodyDiv w:val="1"/>
      <w:marLeft w:val="0"/>
      <w:marRight w:val="0"/>
      <w:marTop w:val="0"/>
      <w:marBottom w:val="0"/>
      <w:divBdr>
        <w:top w:val="none" w:sz="0" w:space="0" w:color="auto"/>
        <w:left w:val="none" w:sz="0" w:space="0" w:color="auto"/>
        <w:bottom w:val="none" w:sz="0" w:space="0" w:color="auto"/>
        <w:right w:val="none" w:sz="0" w:space="0" w:color="auto"/>
      </w:divBdr>
    </w:div>
    <w:div w:id="609707094">
      <w:bodyDiv w:val="1"/>
      <w:marLeft w:val="0"/>
      <w:marRight w:val="0"/>
      <w:marTop w:val="0"/>
      <w:marBottom w:val="0"/>
      <w:divBdr>
        <w:top w:val="none" w:sz="0" w:space="0" w:color="auto"/>
        <w:left w:val="none" w:sz="0" w:space="0" w:color="auto"/>
        <w:bottom w:val="none" w:sz="0" w:space="0" w:color="auto"/>
        <w:right w:val="none" w:sz="0" w:space="0" w:color="auto"/>
      </w:divBdr>
      <w:divsChild>
        <w:div w:id="1006059675">
          <w:marLeft w:val="0"/>
          <w:marRight w:val="0"/>
          <w:marTop w:val="0"/>
          <w:marBottom w:val="0"/>
          <w:divBdr>
            <w:top w:val="none" w:sz="0" w:space="0" w:color="auto"/>
            <w:left w:val="none" w:sz="0" w:space="0" w:color="auto"/>
            <w:bottom w:val="none" w:sz="0" w:space="0" w:color="auto"/>
            <w:right w:val="none" w:sz="0" w:space="0" w:color="auto"/>
          </w:divBdr>
          <w:divsChild>
            <w:div w:id="1885478442">
              <w:marLeft w:val="0"/>
              <w:marRight w:val="0"/>
              <w:marTop w:val="0"/>
              <w:marBottom w:val="0"/>
              <w:divBdr>
                <w:top w:val="none" w:sz="0" w:space="0" w:color="auto"/>
                <w:left w:val="none" w:sz="0" w:space="0" w:color="auto"/>
                <w:bottom w:val="none" w:sz="0" w:space="0" w:color="auto"/>
                <w:right w:val="none" w:sz="0" w:space="0" w:color="auto"/>
              </w:divBdr>
              <w:divsChild>
                <w:div w:id="1396902772">
                  <w:marLeft w:val="0"/>
                  <w:marRight w:val="0"/>
                  <w:marTop w:val="0"/>
                  <w:marBottom w:val="0"/>
                  <w:divBdr>
                    <w:top w:val="none" w:sz="0" w:space="0" w:color="auto"/>
                    <w:left w:val="none" w:sz="0" w:space="0" w:color="auto"/>
                    <w:bottom w:val="none" w:sz="0" w:space="0" w:color="auto"/>
                    <w:right w:val="none" w:sz="0" w:space="0" w:color="auto"/>
                  </w:divBdr>
                  <w:divsChild>
                    <w:div w:id="777797228">
                      <w:marLeft w:val="0"/>
                      <w:marRight w:val="0"/>
                      <w:marTop w:val="0"/>
                      <w:marBottom w:val="0"/>
                      <w:divBdr>
                        <w:top w:val="none" w:sz="0" w:space="0" w:color="auto"/>
                        <w:left w:val="none" w:sz="0" w:space="0" w:color="auto"/>
                        <w:bottom w:val="none" w:sz="0" w:space="0" w:color="auto"/>
                        <w:right w:val="none" w:sz="0" w:space="0" w:color="auto"/>
                      </w:divBdr>
                      <w:divsChild>
                        <w:div w:id="454369200">
                          <w:marLeft w:val="0"/>
                          <w:marRight w:val="0"/>
                          <w:marTop w:val="0"/>
                          <w:marBottom w:val="0"/>
                          <w:divBdr>
                            <w:top w:val="none" w:sz="0" w:space="0" w:color="auto"/>
                            <w:left w:val="none" w:sz="0" w:space="0" w:color="auto"/>
                            <w:bottom w:val="none" w:sz="0" w:space="0" w:color="auto"/>
                            <w:right w:val="none" w:sz="0" w:space="0" w:color="auto"/>
                          </w:divBdr>
                          <w:divsChild>
                            <w:div w:id="732855749">
                              <w:marLeft w:val="0"/>
                              <w:marRight w:val="0"/>
                              <w:marTop w:val="0"/>
                              <w:marBottom w:val="0"/>
                              <w:divBdr>
                                <w:top w:val="none" w:sz="0" w:space="0" w:color="auto"/>
                                <w:left w:val="none" w:sz="0" w:space="0" w:color="auto"/>
                                <w:bottom w:val="none" w:sz="0" w:space="0" w:color="auto"/>
                                <w:right w:val="none" w:sz="0" w:space="0" w:color="auto"/>
                              </w:divBdr>
                              <w:divsChild>
                                <w:div w:id="1075473223">
                                  <w:marLeft w:val="0"/>
                                  <w:marRight w:val="0"/>
                                  <w:marTop w:val="0"/>
                                  <w:marBottom w:val="0"/>
                                  <w:divBdr>
                                    <w:top w:val="none" w:sz="0" w:space="0" w:color="auto"/>
                                    <w:left w:val="none" w:sz="0" w:space="0" w:color="auto"/>
                                    <w:bottom w:val="none" w:sz="0" w:space="0" w:color="auto"/>
                                    <w:right w:val="none" w:sz="0" w:space="0" w:color="auto"/>
                                  </w:divBdr>
                                  <w:divsChild>
                                    <w:div w:id="48380500">
                                      <w:marLeft w:val="60"/>
                                      <w:marRight w:val="0"/>
                                      <w:marTop w:val="0"/>
                                      <w:marBottom w:val="0"/>
                                      <w:divBdr>
                                        <w:top w:val="none" w:sz="0" w:space="0" w:color="auto"/>
                                        <w:left w:val="none" w:sz="0" w:space="0" w:color="auto"/>
                                        <w:bottom w:val="none" w:sz="0" w:space="0" w:color="auto"/>
                                        <w:right w:val="none" w:sz="0" w:space="0" w:color="auto"/>
                                      </w:divBdr>
                                      <w:divsChild>
                                        <w:div w:id="1505633666">
                                          <w:marLeft w:val="0"/>
                                          <w:marRight w:val="0"/>
                                          <w:marTop w:val="0"/>
                                          <w:marBottom w:val="0"/>
                                          <w:divBdr>
                                            <w:top w:val="none" w:sz="0" w:space="0" w:color="auto"/>
                                            <w:left w:val="none" w:sz="0" w:space="0" w:color="auto"/>
                                            <w:bottom w:val="none" w:sz="0" w:space="0" w:color="auto"/>
                                            <w:right w:val="none" w:sz="0" w:space="0" w:color="auto"/>
                                          </w:divBdr>
                                          <w:divsChild>
                                            <w:div w:id="94207274">
                                              <w:marLeft w:val="0"/>
                                              <w:marRight w:val="0"/>
                                              <w:marTop w:val="0"/>
                                              <w:marBottom w:val="120"/>
                                              <w:divBdr>
                                                <w:top w:val="single" w:sz="6" w:space="0" w:color="F5F5F5"/>
                                                <w:left w:val="single" w:sz="6" w:space="0" w:color="F5F5F5"/>
                                                <w:bottom w:val="single" w:sz="6" w:space="0" w:color="F5F5F5"/>
                                                <w:right w:val="single" w:sz="6" w:space="0" w:color="F5F5F5"/>
                                              </w:divBdr>
                                              <w:divsChild>
                                                <w:div w:id="862284798">
                                                  <w:marLeft w:val="0"/>
                                                  <w:marRight w:val="0"/>
                                                  <w:marTop w:val="0"/>
                                                  <w:marBottom w:val="0"/>
                                                  <w:divBdr>
                                                    <w:top w:val="none" w:sz="0" w:space="0" w:color="auto"/>
                                                    <w:left w:val="none" w:sz="0" w:space="0" w:color="auto"/>
                                                    <w:bottom w:val="none" w:sz="0" w:space="0" w:color="auto"/>
                                                    <w:right w:val="none" w:sz="0" w:space="0" w:color="auto"/>
                                                  </w:divBdr>
                                                  <w:divsChild>
                                                    <w:div w:id="642781890">
                                                      <w:marLeft w:val="0"/>
                                                      <w:marRight w:val="0"/>
                                                      <w:marTop w:val="0"/>
                                                      <w:marBottom w:val="0"/>
                                                      <w:divBdr>
                                                        <w:top w:val="none" w:sz="0" w:space="0" w:color="auto"/>
                                                        <w:left w:val="none" w:sz="0" w:space="0" w:color="auto"/>
                                                        <w:bottom w:val="none" w:sz="0" w:space="0" w:color="auto"/>
                                                        <w:right w:val="none" w:sz="0" w:space="0" w:color="auto"/>
                                                      </w:divBdr>
                                                    </w:div>
                                                  </w:divsChild>
                                                </w:div>
                                                <w:div w:id="868681455">
                                                  <w:marLeft w:val="0"/>
                                                  <w:marRight w:val="0"/>
                                                  <w:marTop w:val="0"/>
                                                  <w:marBottom w:val="0"/>
                                                  <w:divBdr>
                                                    <w:top w:val="none" w:sz="0" w:space="0" w:color="auto"/>
                                                    <w:left w:val="none" w:sz="0" w:space="0" w:color="auto"/>
                                                    <w:bottom w:val="none" w:sz="0" w:space="0" w:color="auto"/>
                                                    <w:right w:val="none" w:sz="0" w:space="0" w:color="auto"/>
                                                  </w:divBdr>
                                                  <w:divsChild>
                                                    <w:div w:id="6236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505256">
      <w:bodyDiv w:val="1"/>
      <w:marLeft w:val="0"/>
      <w:marRight w:val="0"/>
      <w:marTop w:val="0"/>
      <w:marBottom w:val="0"/>
      <w:divBdr>
        <w:top w:val="none" w:sz="0" w:space="0" w:color="auto"/>
        <w:left w:val="none" w:sz="0" w:space="0" w:color="auto"/>
        <w:bottom w:val="none" w:sz="0" w:space="0" w:color="auto"/>
        <w:right w:val="none" w:sz="0" w:space="0" w:color="auto"/>
      </w:divBdr>
    </w:div>
    <w:div w:id="702218654">
      <w:bodyDiv w:val="1"/>
      <w:marLeft w:val="0"/>
      <w:marRight w:val="0"/>
      <w:marTop w:val="0"/>
      <w:marBottom w:val="0"/>
      <w:divBdr>
        <w:top w:val="none" w:sz="0" w:space="0" w:color="auto"/>
        <w:left w:val="none" w:sz="0" w:space="0" w:color="auto"/>
        <w:bottom w:val="none" w:sz="0" w:space="0" w:color="auto"/>
        <w:right w:val="none" w:sz="0" w:space="0" w:color="auto"/>
      </w:divBdr>
      <w:divsChild>
        <w:div w:id="1546136190">
          <w:marLeft w:val="0"/>
          <w:marRight w:val="0"/>
          <w:marTop w:val="0"/>
          <w:marBottom w:val="0"/>
          <w:divBdr>
            <w:top w:val="none" w:sz="0" w:space="0" w:color="auto"/>
            <w:left w:val="none" w:sz="0" w:space="0" w:color="auto"/>
            <w:bottom w:val="none" w:sz="0" w:space="0" w:color="auto"/>
            <w:right w:val="none" w:sz="0" w:space="0" w:color="auto"/>
          </w:divBdr>
          <w:divsChild>
            <w:div w:id="942301733">
              <w:marLeft w:val="0"/>
              <w:marRight w:val="0"/>
              <w:marTop w:val="0"/>
              <w:marBottom w:val="0"/>
              <w:divBdr>
                <w:top w:val="none" w:sz="0" w:space="0" w:color="auto"/>
                <w:left w:val="none" w:sz="0" w:space="0" w:color="auto"/>
                <w:bottom w:val="none" w:sz="0" w:space="0" w:color="auto"/>
                <w:right w:val="none" w:sz="0" w:space="0" w:color="auto"/>
              </w:divBdr>
              <w:divsChild>
                <w:div w:id="836312638">
                  <w:marLeft w:val="0"/>
                  <w:marRight w:val="0"/>
                  <w:marTop w:val="0"/>
                  <w:marBottom w:val="0"/>
                  <w:divBdr>
                    <w:top w:val="none" w:sz="0" w:space="0" w:color="auto"/>
                    <w:left w:val="none" w:sz="0" w:space="0" w:color="auto"/>
                    <w:bottom w:val="none" w:sz="0" w:space="0" w:color="auto"/>
                    <w:right w:val="none" w:sz="0" w:space="0" w:color="auto"/>
                  </w:divBdr>
                  <w:divsChild>
                    <w:div w:id="1022320948">
                      <w:marLeft w:val="0"/>
                      <w:marRight w:val="0"/>
                      <w:marTop w:val="0"/>
                      <w:marBottom w:val="0"/>
                      <w:divBdr>
                        <w:top w:val="none" w:sz="0" w:space="0" w:color="auto"/>
                        <w:left w:val="none" w:sz="0" w:space="0" w:color="auto"/>
                        <w:bottom w:val="none" w:sz="0" w:space="0" w:color="auto"/>
                        <w:right w:val="none" w:sz="0" w:space="0" w:color="auto"/>
                      </w:divBdr>
                      <w:divsChild>
                        <w:div w:id="378751716">
                          <w:marLeft w:val="0"/>
                          <w:marRight w:val="0"/>
                          <w:marTop w:val="0"/>
                          <w:marBottom w:val="0"/>
                          <w:divBdr>
                            <w:top w:val="none" w:sz="0" w:space="0" w:color="auto"/>
                            <w:left w:val="none" w:sz="0" w:space="0" w:color="auto"/>
                            <w:bottom w:val="none" w:sz="0" w:space="0" w:color="auto"/>
                            <w:right w:val="none" w:sz="0" w:space="0" w:color="auto"/>
                          </w:divBdr>
                          <w:divsChild>
                            <w:div w:id="1061488050">
                              <w:marLeft w:val="0"/>
                              <w:marRight w:val="0"/>
                              <w:marTop w:val="0"/>
                              <w:marBottom w:val="0"/>
                              <w:divBdr>
                                <w:top w:val="none" w:sz="0" w:space="0" w:color="auto"/>
                                <w:left w:val="none" w:sz="0" w:space="0" w:color="auto"/>
                                <w:bottom w:val="none" w:sz="0" w:space="0" w:color="auto"/>
                                <w:right w:val="none" w:sz="0" w:space="0" w:color="auto"/>
                              </w:divBdr>
                              <w:divsChild>
                                <w:div w:id="1802649970">
                                  <w:marLeft w:val="0"/>
                                  <w:marRight w:val="0"/>
                                  <w:marTop w:val="0"/>
                                  <w:marBottom w:val="0"/>
                                  <w:divBdr>
                                    <w:top w:val="none" w:sz="0" w:space="0" w:color="auto"/>
                                    <w:left w:val="none" w:sz="0" w:space="0" w:color="auto"/>
                                    <w:bottom w:val="none" w:sz="0" w:space="0" w:color="auto"/>
                                    <w:right w:val="none" w:sz="0" w:space="0" w:color="auto"/>
                                  </w:divBdr>
                                  <w:divsChild>
                                    <w:div w:id="744690195">
                                      <w:marLeft w:val="60"/>
                                      <w:marRight w:val="0"/>
                                      <w:marTop w:val="0"/>
                                      <w:marBottom w:val="0"/>
                                      <w:divBdr>
                                        <w:top w:val="none" w:sz="0" w:space="0" w:color="auto"/>
                                        <w:left w:val="none" w:sz="0" w:space="0" w:color="auto"/>
                                        <w:bottom w:val="none" w:sz="0" w:space="0" w:color="auto"/>
                                        <w:right w:val="none" w:sz="0" w:space="0" w:color="auto"/>
                                      </w:divBdr>
                                      <w:divsChild>
                                        <w:div w:id="1166744075">
                                          <w:marLeft w:val="0"/>
                                          <w:marRight w:val="0"/>
                                          <w:marTop w:val="0"/>
                                          <w:marBottom w:val="0"/>
                                          <w:divBdr>
                                            <w:top w:val="none" w:sz="0" w:space="0" w:color="auto"/>
                                            <w:left w:val="none" w:sz="0" w:space="0" w:color="auto"/>
                                            <w:bottom w:val="none" w:sz="0" w:space="0" w:color="auto"/>
                                            <w:right w:val="none" w:sz="0" w:space="0" w:color="auto"/>
                                          </w:divBdr>
                                          <w:divsChild>
                                            <w:div w:id="1866862234">
                                              <w:marLeft w:val="0"/>
                                              <w:marRight w:val="0"/>
                                              <w:marTop w:val="0"/>
                                              <w:marBottom w:val="120"/>
                                              <w:divBdr>
                                                <w:top w:val="single" w:sz="6" w:space="0" w:color="F5F5F5"/>
                                                <w:left w:val="single" w:sz="6" w:space="0" w:color="F5F5F5"/>
                                                <w:bottom w:val="single" w:sz="6" w:space="0" w:color="F5F5F5"/>
                                                <w:right w:val="single" w:sz="6" w:space="0" w:color="F5F5F5"/>
                                              </w:divBdr>
                                              <w:divsChild>
                                                <w:div w:id="639068931">
                                                  <w:marLeft w:val="0"/>
                                                  <w:marRight w:val="0"/>
                                                  <w:marTop w:val="0"/>
                                                  <w:marBottom w:val="0"/>
                                                  <w:divBdr>
                                                    <w:top w:val="none" w:sz="0" w:space="0" w:color="auto"/>
                                                    <w:left w:val="none" w:sz="0" w:space="0" w:color="auto"/>
                                                    <w:bottom w:val="none" w:sz="0" w:space="0" w:color="auto"/>
                                                    <w:right w:val="none" w:sz="0" w:space="0" w:color="auto"/>
                                                  </w:divBdr>
                                                  <w:divsChild>
                                                    <w:div w:id="12922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514698">
      <w:bodyDiv w:val="1"/>
      <w:marLeft w:val="0"/>
      <w:marRight w:val="0"/>
      <w:marTop w:val="0"/>
      <w:marBottom w:val="0"/>
      <w:divBdr>
        <w:top w:val="none" w:sz="0" w:space="0" w:color="auto"/>
        <w:left w:val="none" w:sz="0" w:space="0" w:color="auto"/>
        <w:bottom w:val="none" w:sz="0" w:space="0" w:color="auto"/>
        <w:right w:val="none" w:sz="0" w:space="0" w:color="auto"/>
      </w:divBdr>
      <w:divsChild>
        <w:div w:id="1244800532">
          <w:marLeft w:val="0"/>
          <w:marRight w:val="0"/>
          <w:marTop w:val="0"/>
          <w:marBottom w:val="0"/>
          <w:divBdr>
            <w:top w:val="none" w:sz="0" w:space="0" w:color="auto"/>
            <w:left w:val="none" w:sz="0" w:space="0" w:color="auto"/>
            <w:bottom w:val="none" w:sz="0" w:space="0" w:color="auto"/>
            <w:right w:val="none" w:sz="0" w:space="0" w:color="auto"/>
          </w:divBdr>
        </w:div>
      </w:divsChild>
    </w:div>
    <w:div w:id="976304696">
      <w:bodyDiv w:val="1"/>
      <w:marLeft w:val="0"/>
      <w:marRight w:val="0"/>
      <w:marTop w:val="0"/>
      <w:marBottom w:val="0"/>
      <w:divBdr>
        <w:top w:val="none" w:sz="0" w:space="0" w:color="auto"/>
        <w:left w:val="none" w:sz="0" w:space="0" w:color="auto"/>
        <w:bottom w:val="none" w:sz="0" w:space="0" w:color="auto"/>
        <w:right w:val="none" w:sz="0" w:space="0" w:color="auto"/>
      </w:divBdr>
    </w:div>
    <w:div w:id="1222599723">
      <w:bodyDiv w:val="1"/>
      <w:marLeft w:val="0"/>
      <w:marRight w:val="0"/>
      <w:marTop w:val="0"/>
      <w:marBottom w:val="0"/>
      <w:divBdr>
        <w:top w:val="none" w:sz="0" w:space="0" w:color="auto"/>
        <w:left w:val="none" w:sz="0" w:space="0" w:color="auto"/>
        <w:bottom w:val="none" w:sz="0" w:space="0" w:color="auto"/>
        <w:right w:val="none" w:sz="0" w:space="0" w:color="auto"/>
      </w:divBdr>
    </w:div>
    <w:div w:id="1551839261">
      <w:bodyDiv w:val="1"/>
      <w:marLeft w:val="0"/>
      <w:marRight w:val="0"/>
      <w:marTop w:val="0"/>
      <w:marBottom w:val="0"/>
      <w:divBdr>
        <w:top w:val="none" w:sz="0" w:space="0" w:color="auto"/>
        <w:left w:val="none" w:sz="0" w:space="0" w:color="auto"/>
        <w:bottom w:val="none" w:sz="0" w:space="0" w:color="auto"/>
        <w:right w:val="none" w:sz="0" w:space="0" w:color="auto"/>
      </w:divBdr>
    </w:div>
    <w:div w:id="20065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michele.cataneo@marina.difes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taneo\Desktop\Paper%20NAV%202018\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36D6-CB8E-4374-898D-5BBDF276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0</TotalTime>
  <Pages>8</Pages>
  <Words>2891</Words>
  <Characters>16485</Characters>
  <Application>Microsoft Office Word</Application>
  <DocSecurity>0</DocSecurity>
  <Lines>137</Lines>
  <Paragraphs>38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Cataneo Michele - C.F.</dc:creator>
  <cp:lastModifiedBy>Simone Mancini</cp:lastModifiedBy>
  <cp:revision>2</cp:revision>
  <cp:lastPrinted>2018-03-21T15:24:00Z</cp:lastPrinted>
  <dcterms:created xsi:type="dcterms:W3CDTF">2018-04-24T12:26:00Z</dcterms:created>
  <dcterms:modified xsi:type="dcterms:W3CDTF">2018-04-24T12:26:00Z</dcterms:modified>
</cp:coreProperties>
</file>