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39C43" w14:textId="77777777" w:rsidR="004B49D8" w:rsidRPr="0007342D" w:rsidRDefault="004B49D8" w:rsidP="004B49D8">
      <w:pPr>
        <w:pStyle w:val="Title"/>
        <w:rPr>
          <w:lang w:val="it-IT"/>
        </w:rPr>
      </w:pPr>
      <w:r w:rsidRPr="000642D0">
        <w:rPr>
          <w:lang w:val="it-IT"/>
        </w:rPr>
        <w:t>Innova</w:t>
      </w:r>
      <w:r w:rsidRPr="0007342D">
        <w:rPr>
          <w:lang w:val="it-IT"/>
        </w:rPr>
        <w:t>tive Material Design for Marine Engine Non-Structural Components</w:t>
      </w:r>
    </w:p>
    <w:p w14:paraId="7EACD7B5" w14:textId="1527C3B3" w:rsidR="004B49D8" w:rsidRPr="00E121BF" w:rsidRDefault="004B49D8" w:rsidP="004B49D8">
      <w:pPr>
        <w:pStyle w:val="Author"/>
        <w:rPr>
          <w:lang w:val="it-IT"/>
        </w:rPr>
      </w:pPr>
      <w:r w:rsidRPr="00F0142E">
        <w:rPr>
          <w:lang w:val="it-IT"/>
        </w:rPr>
        <w:t>Serena</w:t>
      </w:r>
      <w:r w:rsidR="00B05D6E" w:rsidRPr="00F0142E">
        <w:rPr>
          <w:lang w:val="it-IT"/>
        </w:rPr>
        <w:t xml:space="preserve"> </w:t>
      </w:r>
      <w:r w:rsidRPr="00F0142E">
        <w:rPr>
          <w:lang w:val="it-IT"/>
        </w:rPr>
        <w:t>BERTAGNA</w:t>
      </w:r>
      <w:r w:rsidR="00B05D6E" w:rsidRPr="00F0142E">
        <w:rPr>
          <w:vertAlign w:val="superscript"/>
          <w:lang w:val="it-IT"/>
        </w:rPr>
        <w:t>a,</w:t>
      </w:r>
      <w:r w:rsidR="00B05D6E" w:rsidRPr="00F0142E">
        <w:rPr>
          <w:rStyle w:val="FootnoteReference"/>
          <w:lang w:val="en-GB"/>
        </w:rPr>
        <w:footnoteReference w:id="1"/>
      </w:r>
      <w:r w:rsidR="00F0142E">
        <w:rPr>
          <w:lang w:val="it-IT"/>
        </w:rPr>
        <w:t xml:space="preserve">, </w:t>
      </w:r>
      <w:r w:rsidRPr="00F0142E">
        <w:rPr>
          <w:lang w:val="it-IT"/>
        </w:rPr>
        <w:t>Erik LAURINI</w:t>
      </w:r>
      <w:r w:rsidR="000642D0" w:rsidRPr="00F0142E">
        <w:rPr>
          <w:vertAlign w:val="superscript"/>
          <w:lang w:val="it-IT"/>
        </w:rPr>
        <w:t>a</w:t>
      </w:r>
      <w:r w:rsidR="00C10F61">
        <w:rPr>
          <w:lang w:val="it-IT"/>
        </w:rPr>
        <w:t>,</w:t>
      </w:r>
      <w:r w:rsidR="00E121BF">
        <w:rPr>
          <w:lang w:val="it-IT"/>
        </w:rPr>
        <w:t xml:space="preserve"> </w:t>
      </w:r>
      <w:r w:rsidR="00C10F61" w:rsidRPr="00F0142E">
        <w:rPr>
          <w:lang w:val="it-IT"/>
        </w:rPr>
        <w:t>Alberto MARINÒ</w:t>
      </w:r>
      <w:r w:rsidR="00C10F61" w:rsidRPr="00F0142E">
        <w:rPr>
          <w:vertAlign w:val="superscript"/>
          <w:lang w:val="it-IT"/>
        </w:rPr>
        <w:t>a</w:t>
      </w:r>
      <w:r w:rsidR="00C10F61">
        <w:rPr>
          <w:lang w:val="it-IT"/>
        </w:rPr>
        <w:t xml:space="preserve">, </w:t>
      </w:r>
      <w:r w:rsidRPr="00E121BF">
        <w:rPr>
          <w:lang w:val="it-IT"/>
        </w:rPr>
        <w:t>Sabrina PRICL</w:t>
      </w:r>
      <w:r w:rsidR="000642D0" w:rsidRPr="00E121BF">
        <w:rPr>
          <w:vertAlign w:val="superscript"/>
          <w:lang w:val="it-IT"/>
        </w:rPr>
        <w:t>a</w:t>
      </w:r>
      <w:r w:rsidR="00C10F61">
        <w:rPr>
          <w:lang w:val="it-IT"/>
        </w:rPr>
        <w:t xml:space="preserve"> </w:t>
      </w:r>
      <w:r w:rsidR="00F0142E" w:rsidRPr="00E121BF">
        <w:rPr>
          <w:lang w:val="it-IT"/>
        </w:rPr>
        <w:t>and Vittorio BUCCI</w:t>
      </w:r>
      <w:r w:rsidR="00F0142E" w:rsidRPr="00E121BF">
        <w:rPr>
          <w:vertAlign w:val="superscript"/>
          <w:lang w:val="it-IT"/>
        </w:rPr>
        <w:t>a</w:t>
      </w:r>
    </w:p>
    <w:p w14:paraId="47DC49A4" w14:textId="77777777" w:rsidR="00B05D6E" w:rsidRPr="00F0142E" w:rsidRDefault="00B05D6E">
      <w:pPr>
        <w:pStyle w:val="Affiliation"/>
        <w:rPr>
          <w:lang w:val="en-GB"/>
        </w:rPr>
      </w:pPr>
      <w:r w:rsidRPr="00F0142E">
        <w:rPr>
          <w:i w:val="0"/>
          <w:vertAlign w:val="superscript"/>
          <w:lang w:val="en-GB"/>
        </w:rPr>
        <w:t>a</w:t>
      </w:r>
      <w:r w:rsidRPr="00F0142E">
        <w:rPr>
          <w:sz w:val="8"/>
          <w:szCs w:val="8"/>
          <w:lang w:val="en-GB"/>
        </w:rPr>
        <w:t xml:space="preserve"> </w:t>
      </w:r>
      <w:r w:rsidR="006A3A85" w:rsidRPr="00F0142E">
        <w:rPr>
          <w:lang w:val="en-GB"/>
        </w:rPr>
        <w:t>Department of Engineering and Architecture, University of Trieste</w:t>
      </w:r>
    </w:p>
    <w:p w14:paraId="4E6A383E" w14:textId="0D7786E5" w:rsidR="004B49D8" w:rsidRPr="00F0142E" w:rsidRDefault="00B05D6E" w:rsidP="002063AD">
      <w:pPr>
        <w:pStyle w:val="Abstract"/>
        <w:rPr>
          <w:lang w:val="en-GB"/>
        </w:rPr>
      </w:pPr>
      <w:r w:rsidRPr="00F0142E">
        <w:rPr>
          <w:b/>
          <w:lang w:val="en-GB"/>
        </w:rPr>
        <w:t>Abstract.</w:t>
      </w:r>
      <w:r w:rsidR="004B49D8" w:rsidRPr="00F0142E">
        <w:rPr>
          <w:lang w:val="en-GB"/>
        </w:rPr>
        <w:t xml:space="preserve"> Marine engine industry </w:t>
      </w:r>
      <w:r w:rsidR="00A57359">
        <w:rPr>
          <w:lang w:val="en-GB"/>
        </w:rPr>
        <w:t>is in the quest</w:t>
      </w:r>
      <w:r w:rsidR="004B49D8" w:rsidRPr="00F0142E">
        <w:rPr>
          <w:lang w:val="en-GB"/>
        </w:rPr>
        <w:t xml:space="preserve"> for continuous improvement of efficiency and performance. Currently, all components involved in marine engine construction are made in metallic alloys. </w:t>
      </w:r>
      <w:r w:rsidR="006E4480">
        <w:rPr>
          <w:lang w:val="en-GB"/>
        </w:rPr>
        <w:t>In order t</w:t>
      </w:r>
      <w:r w:rsidR="004B49D8" w:rsidRPr="00F0142E">
        <w:rPr>
          <w:lang w:val="en-GB"/>
        </w:rPr>
        <w:t xml:space="preserve">o reduce costs and weight, new materials for non-structural components must be identified. The introduction of new materials, e.g., </w:t>
      </w:r>
      <w:proofErr w:type="spellStart"/>
      <w:r w:rsidR="004B49D8" w:rsidRPr="00F0142E">
        <w:rPr>
          <w:lang w:val="en-GB"/>
        </w:rPr>
        <w:t>nano</w:t>
      </w:r>
      <w:proofErr w:type="spellEnd"/>
      <w:r w:rsidR="004B49D8" w:rsidRPr="00F0142E">
        <w:rPr>
          <w:lang w:val="en-GB"/>
        </w:rPr>
        <w:t>-engineered thermoplastic polymers (NETP), will allow additional benefits due to drastic weight reduction and simplified maintenance and inspection operations.</w:t>
      </w:r>
      <w:r w:rsidR="002063AD">
        <w:rPr>
          <w:lang w:val="en-GB"/>
        </w:rPr>
        <w:t xml:space="preserve"> </w:t>
      </w:r>
      <w:r w:rsidR="004B49D8" w:rsidRPr="00F0142E">
        <w:rPr>
          <w:lang w:val="en-GB"/>
        </w:rPr>
        <w:t>Advancements in NETP design and application in marine engine industry relies on computer-assisted multiscale material design (CAMMD). Indeed, by advanced CAMMD techniques, the structure of NEPT materials can be tailor-fitted to achieve the expected performances required by specific, advanced applications.</w:t>
      </w:r>
      <w:r w:rsidR="002063AD">
        <w:rPr>
          <w:lang w:val="en-GB"/>
        </w:rPr>
        <w:t xml:space="preserve"> </w:t>
      </w:r>
      <w:r w:rsidR="004B49D8" w:rsidRPr="00F0142E">
        <w:rPr>
          <w:lang w:val="en-GB"/>
        </w:rPr>
        <w:t>Since the introduction of plastic materials in the construction of non-structural components for marine engines constitutes an element of great innovation, a specific rule framework must be defined yet. In this paper, starting from the analysis of the regulatory context currently used for metallic alloys a certification procedure is proposed and applied to a case study related to the cylinder head cover of a four-stroke marine engine. In particular, the mechanical properties of a new NETP material designed by CAMMD have been verified trough a finite element simulation carried out on the relevant model.</w:t>
      </w:r>
    </w:p>
    <w:p w14:paraId="5BFC86DA" w14:textId="77777777" w:rsidR="00B05D6E" w:rsidRPr="00F0142E" w:rsidRDefault="00B05D6E" w:rsidP="003A0873">
      <w:pPr>
        <w:pStyle w:val="Keywords"/>
        <w:spacing w:after="0"/>
        <w:rPr>
          <w:lang w:val="en-GB"/>
        </w:rPr>
      </w:pPr>
      <w:r w:rsidRPr="00F0142E">
        <w:rPr>
          <w:b/>
          <w:lang w:val="en-GB"/>
        </w:rPr>
        <w:t>Keywords.</w:t>
      </w:r>
      <w:r w:rsidRPr="00F0142E">
        <w:rPr>
          <w:lang w:val="en-GB"/>
        </w:rPr>
        <w:t xml:space="preserve"> </w:t>
      </w:r>
      <w:r w:rsidR="004B49D8" w:rsidRPr="00F0142E">
        <w:rPr>
          <w:lang w:val="en-GB"/>
        </w:rPr>
        <w:t>Marine engines,</w:t>
      </w:r>
      <w:r w:rsidR="00523782" w:rsidRPr="00F0142E">
        <w:rPr>
          <w:lang w:val="en-GB"/>
        </w:rPr>
        <w:t xml:space="preserve"> Marine engineering,</w:t>
      </w:r>
      <w:r w:rsidR="004B49D8" w:rsidRPr="00F0142E">
        <w:rPr>
          <w:lang w:val="en-GB"/>
        </w:rPr>
        <w:t xml:space="preserve"> </w:t>
      </w:r>
      <w:r w:rsidR="00523782" w:rsidRPr="00F0142E">
        <w:rPr>
          <w:lang w:val="en-GB"/>
        </w:rPr>
        <w:t>Material design, Polymers</w:t>
      </w:r>
      <w:r w:rsidR="007C62EF" w:rsidRPr="00F0142E">
        <w:rPr>
          <w:lang w:val="en-GB"/>
        </w:rPr>
        <w:t>,</w:t>
      </w:r>
      <w:r w:rsidR="00523782" w:rsidRPr="00F0142E">
        <w:rPr>
          <w:lang w:val="en-GB"/>
        </w:rPr>
        <w:t xml:space="preserve"> </w:t>
      </w:r>
      <w:r w:rsidR="00CA07AC" w:rsidRPr="00F0142E">
        <w:rPr>
          <w:lang w:val="en-GB"/>
        </w:rPr>
        <w:t>Composites, Plastic components</w:t>
      </w:r>
    </w:p>
    <w:p w14:paraId="01CE3B5B" w14:textId="77777777" w:rsidR="00B05D6E" w:rsidRPr="00F0142E" w:rsidRDefault="00B05D6E" w:rsidP="00F07FC3">
      <w:pPr>
        <w:pStyle w:val="Heading1"/>
        <w:rPr>
          <w:lang w:val="en-GB"/>
        </w:rPr>
      </w:pPr>
      <w:r w:rsidRPr="00F0142E">
        <w:rPr>
          <w:lang w:val="en-GB"/>
        </w:rPr>
        <w:t>Introduction</w:t>
      </w:r>
    </w:p>
    <w:p w14:paraId="5FC7C396" w14:textId="336D7FDC" w:rsidR="00CA07AC" w:rsidRDefault="00CA07AC" w:rsidP="00CA07AC">
      <w:pPr>
        <w:pStyle w:val="NoindentNormal"/>
        <w:rPr>
          <w:lang w:val="en-GB"/>
        </w:rPr>
      </w:pPr>
      <w:r w:rsidRPr="00F0142E">
        <w:rPr>
          <w:lang w:val="en-GB"/>
        </w:rPr>
        <w:t>In recent years, plastic materials have been applied widely in the construction of automotive components. At first, advanced plastics were used only to realize cars’ body parts; now, recent studies</w:t>
      </w:r>
      <w:r w:rsidR="00535BD3">
        <w:rPr>
          <w:lang w:val="en-GB"/>
        </w:rPr>
        <w:t xml:space="preserve"> [1]</w:t>
      </w:r>
      <w:r w:rsidRPr="00F0142E">
        <w:rPr>
          <w:lang w:val="en-GB"/>
        </w:rPr>
        <w:t>[</w:t>
      </w:r>
      <w:r w:rsidR="00F23ABE">
        <w:rPr>
          <w:lang w:val="en-GB"/>
        </w:rPr>
        <w:t>2</w:t>
      </w:r>
      <w:r w:rsidRPr="00F0142E">
        <w:rPr>
          <w:lang w:val="en-GB"/>
        </w:rPr>
        <w:t>]</w:t>
      </w:r>
      <w:r w:rsidR="00535BD3">
        <w:rPr>
          <w:lang w:val="en-GB"/>
        </w:rPr>
        <w:t xml:space="preserve">[3][4][5][6][7] </w:t>
      </w:r>
      <w:r w:rsidRPr="00F0142E">
        <w:rPr>
          <w:lang w:val="en-GB"/>
        </w:rPr>
        <w:t>have highlighted the possibility of using these materials also in the construction of engine components. The most important benefits offered from advanced plastics are the low density an</w:t>
      </w:r>
      <w:r w:rsidR="007C395E">
        <w:rPr>
          <w:lang w:val="en-GB"/>
        </w:rPr>
        <w:t xml:space="preserve">d the great ease of processing [8][9]. </w:t>
      </w:r>
      <w:r w:rsidRPr="00F0142E">
        <w:rPr>
          <w:lang w:val="en-GB"/>
        </w:rPr>
        <w:t xml:space="preserve">Plastic components present the advantages of lightweight and lower production costs, if compared to </w:t>
      </w:r>
      <w:r w:rsidR="0087759F">
        <w:rPr>
          <w:lang w:val="en-GB"/>
        </w:rPr>
        <w:t xml:space="preserve">metal </w:t>
      </w:r>
      <w:r w:rsidRPr="00F0142E">
        <w:rPr>
          <w:lang w:val="en-GB"/>
        </w:rPr>
        <w:t>components</w:t>
      </w:r>
      <w:r w:rsidRPr="00472AB0">
        <w:rPr>
          <w:lang w:val="en-GB"/>
        </w:rPr>
        <w:t xml:space="preserve">. </w:t>
      </w:r>
      <w:r w:rsidR="00585012" w:rsidRPr="00472AB0">
        <w:rPr>
          <w:lang w:val="en-GB"/>
        </w:rPr>
        <w:t xml:space="preserve">Moreover, the computer-assisted design of new, </w:t>
      </w:r>
      <w:proofErr w:type="spellStart"/>
      <w:r w:rsidR="00585012" w:rsidRPr="00472AB0">
        <w:rPr>
          <w:lang w:val="en-GB"/>
        </w:rPr>
        <w:t>nano</w:t>
      </w:r>
      <w:proofErr w:type="spellEnd"/>
      <w:r w:rsidR="00585012" w:rsidRPr="00472AB0">
        <w:rPr>
          <w:lang w:val="en-GB"/>
        </w:rPr>
        <w:t>-engineered plastics has further fostered the application of these materials for advanced performances and applications.</w:t>
      </w:r>
    </w:p>
    <w:p w14:paraId="0DA72DCF" w14:textId="2B40FD27" w:rsidR="00CA07AC" w:rsidRPr="00F0142E" w:rsidRDefault="00CA07AC" w:rsidP="00CA07AC">
      <w:pPr>
        <w:rPr>
          <w:lang w:val="en-GB"/>
        </w:rPr>
      </w:pPr>
      <w:r w:rsidRPr="00F0142E">
        <w:rPr>
          <w:lang w:val="en-GB"/>
        </w:rPr>
        <w:t xml:space="preserve">Acknowledging the benefits offered by plastic engineering, also the marine engine industry has been developing a great interest in its application. The introduction of advanced plastic materials represents a great innovation, since all marine engine </w:t>
      </w:r>
      <w:r w:rsidRPr="00F0142E">
        <w:rPr>
          <w:lang w:val="en-GB"/>
        </w:rPr>
        <w:lastRenderedPageBreak/>
        <w:t xml:space="preserve">components are currently made of metallic alloys. As a consequence, the current regulatory </w:t>
      </w:r>
      <w:r w:rsidR="0087759F">
        <w:rPr>
          <w:lang w:val="en-GB"/>
        </w:rPr>
        <w:t>framework</w:t>
      </w:r>
      <w:r w:rsidRPr="00F0142E">
        <w:rPr>
          <w:lang w:val="en-GB"/>
        </w:rPr>
        <w:t xml:space="preserve"> [</w:t>
      </w:r>
      <w:proofErr w:type="gramStart"/>
      <w:r w:rsidR="008F641D">
        <w:rPr>
          <w:lang w:val="en-GB"/>
        </w:rPr>
        <w:t>10</w:t>
      </w:r>
      <w:r w:rsidR="004C2330">
        <w:rPr>
          <w:lang w:val="en-GB"/>
        </w:rPr>
        <w:t>]</w:t>
      </w:r>
      <w:r w:rsidR="008F641D">
        <w:rPr>
          <w:lang w:val="en-GB"/>
        </w:rPr>
        <w:t>[</w:t>
      </w:r>
      <w:proofErr w:type="gramEnd"/>
      <w:r w:rsidR="008F641D">
        <w:rPr>
          <w:lang w:val="en-GB"/>
        </w:rPr>
        <w:t>11][12][13][14]</w:t>
      </w:r>
      <w:r w:rsidRPr="00F0142E">
        <w:rPr>
          <w:lang w:val="en-GB"/>
        </w:rPr>
        <w:t xml:space="preserve"> does not provide a specific rule set about the usage of plastic in machinery spaces.</w:t>
      </w:r>
    </w:p>
    <w:p w14:paraId="61952049" w14:textId="7D6CE29D" w:rsidR="00CA07AC" w:rsidRPr="00F0142E" w:rsidRDefault="00CA07AC" w:rsidP="00CA07AC">
      <w:pPr>
        <w:rPr>
          <w:lang w:val="en-GB"/>
        </w:rPr>
      </w:pPr>
      <w:r w:rsidRPr="00F0142E">
        <w:rPr>
          <w:lang w:val="en-GB"/>
        </w:rPr>
        <w:t>In this paper, an analysis of the current requirements regarding materials usable in ship’s machinery spaces and fire prevention has been carried out, in order to provide a classification procedure</w:t>
      </w:r>
      <w:r w:rsidR="001E5A01">
        <w:rPr>
          <w:lang w:val="en-GB"/>
        </w:rPr>
        <w:t xml:space="preserve"> [15][16][17]</w:t>
      </w:r>
      <w:r w:rsidRPr="00F0142E">
        <w:rPr>
          <w:lang w:val="en-GB"/>
        </w:rPr>
        <w:t xml:space="preserve"> for </w:t>
      </w:r>
      <w:r w:rsidR="000731A0">
        <w:rPr>
          <w:lang w:val="en-GB"/>
        </w:rPr>
        <w:t xml:space="preserve">non-structural </w:t>
      </w:r>
      <w:r w:rsidRPr="00F0142E">
        <w:rPr>
          <w:lang w:val="en-GB"/>
        </w:rPr>
        <w:t>plastic components</w:t>
      </w:r>
      <w:r w:rsidR="000731A0">
        <w:rPr>
          <w:lang w:val="en-GB"/>
        </w:rPr>
        <w:t xml:space="preserve"> of marine engines</w:t>
      </w:r>
      <w:r w:rsidRPr="00585012">
        <w:rPr>
          <w:lang w:val="en-GB"/>
        </w:rPr>
        <w:t>. Besides, the computer-assisted multiscale material design techniques have been used to carry out molecular simulation for the prediction of the mechanical properties of the nanocomposite system</w:t>
      </w:r>
      <w:r w:rsidR="00EE0B98" w:rsidRPr="00585012">
        <w:rPr>
          <w:lang w:val="en-GB"/>
        </w:rPr>
        <w:t xml:space="preserve"> [</w:t>
      </w:r>
      <w:r w:rsidR="000F7BC4" w:rsidRPr="00585012">
        <w:rPr>
          <w:lang w:val="en-GB"/>
        </w:rPr>
        <w:t>18</w:t>
      </w:r>
      <w:r w:rsidR="00EE0B98" w:rsidRPr="00585012">
        <w:rPr>
          <w:lang w:val="en-GB"/>
        </w:rPr>
        <w:t>][1</w:t>
      </w:r>
      <w:r w:rsidR="000F7BC4" w:rsidRPr="00585012">
        <w:rPr>
          <w:lang w:val="en-GB"/>
        </w:rPr>
        <w:t>9</w:t>
      </w:r>
      <w:r w:rsidR="00EE0B98" w:rsidRPr="00585012">
        <w:rPr>
          <w:lang w:val="en-GB"/>
        </w:rPr>
        <w:t>][</w:t>
      </w:r>
      <w:r w:rsidR="000F7BC4" w:rsidRPr="00585012">
        <w:rPr>
          <w:lang w:val="en-GB"/>
        </w:rPr>
        <w:t>20</w:t>
      </w:r>
      <w:r w:rsidR="00EE0B98" w:rsidRPr="00585012">
        <w:rPr>
          <w:lang w:val="en-GB"/>
        </w:rPr>
        <w:t>][</w:t>
      </w:r>
      <w:r w:rsidR="000F7BC4" w:rsidRPr="00585012">
        <w:rPr>
          <w:lang w:val="en-GB"/>
        </w:rPr>
        <w:t>21</w:t>
      </w:r>
      <w:r w:rsidR="00EE0B98" w:rsidRPr="00585012">
        <w:rPr>
          <w:lang w:val="en-GB"/>
        </w:rPr>
        <w:t>]</w:t>
      </w:r>
      <w:r w:rsidRPr="00585012">
        <w:rPr>
          <w:lang w:val="en-GB"/>
        </w:rPr>
        <w:t>. Eve</w:t>
      </w:r>
      <w:r w:rsidRPr="00F0142E">
        <w:rPr>
          <w:lang w:val="en-GB"/>
        </w:rPr>
        <w:t xml:space="preserve">ntually, the </w:t>
      </w:r>
      <w:r w:rsidR="00A87C40">
        <w:rPr>
          <w:lang w:val="en-GB"/>
        </w:rPr>
        <w:t xml:space="preserve">output of the </w:t>
      </w:r>
      <w:r w:rsidRPr="00F0142E">
        <w:rPr>
          <w:lang w:val="en-GB"/>
        </w:rPr>
        <w:t xml:space="preserve">CAMMD </w:t>
      </w:r>
      <w:r w:rsidR="00A87C40">
        <w:rPr>
          <w:lang w:val="en-GB"/>
        </w:rPr>
        <w:t xml:space="preserve">design process </w:t>
      </w:r>
      <w:r w:rsidRPr="00F0142E">
        <w:rPr>
          <w:lang w:val="en-GB"/>
        </w:rPr>
        <w:t xml:space="preserve">have been </w:t>
      </w:r>
      <w:r w:rsidR="00A87C40">
        <w:rPr>
          <w:lang w:val="en-GB"/>
        </w:rPr>
        <w:t xml:space="preserve">used as input for </w:t>
      </w:r>
      <w:r w:rsidRPr="00F0142E">
        <w:rPr>
          <w:lang w:val="en-GB"/>
        </w:rPr>
        <w:t>finite element</w:t>
      </w:r>
      <w:r w:rsidR="007C3880">
        <w:rPr>
          <w:lang w:val="en-GB"/>
        </w:rPr>
        <w:t xml:space="preserve"> (FEM)</w:t>
      </w:r>
      <w:r w:rsidRPr="00F0142E">
        <w:rPr>
          <w:lang w:val="en-GB"/>
        </w:rPr>
        <w:t xml:space="preserve"> simulations </w:t>
      </w:r>
      <w:r w:rsidR="00A87C40">
        <w:rPr>
          <w:lang w:val="en-GB"/>
        </w:rPr>
        <w:t xml:space="preserve">of </w:t>
      </w:r>
      <w:r w:rsidRPr="00F0142E">
        <w:rPr>
          <w:lang w:val="en-GB"/>
        </w:rPr>
        <w:t xml:space="preserve">a non-structural </w:t>
      </w:r>
      <w:r w:rsidR="00A87C40">
        <w:rPr>
          <w:lang w:val="en-GB"/>
        </w:rPr>
        <w:t xml:space="preserve">marine </w:t>
      </w:r>
      <w:r w:rsidRPr="00F0142E">
        <w:rPr>
          <w:lang w:val="en-GB"/>
        </w:rPr>
        <w:t>engine component, i.e. the cylinder head cover of a four-stroke marine engine.</w:t>
      </w:r>
    </w:p>
    <w:p w14:paraId="3104724D" w14:textId="77777777" w:rsidR="00B05D6E" w:rsidRPr="00F0142E" w:rsidRDefault="004B49D8">
      <w:pPr>
        <w:pStyle w:val="Heading1"/>
        <w:rPr>
          <w:szCs w:val="20"/>
          <w:lang w:val="en-GB" w:eastAsia="en-US"/>
        </w:rPr>
      </w:pPr>
      <w:r w:rsidRPr="00F0142E">
        <w:rPr>
          <w:lang w:val="en-GB" w:eastAsia="en-US"/>
        </w:rPr>
        <w:t>Rule framework</w:t>
      </w:r>
    </w:p>
    <w:p w14:paraId="29898B10" w14:textId="7E8626BD" w:rsidR="00F76BBB" w:rsidRDefault="000667CE" w:rsidP="00CD13DA">
      <w:pPr>
        <w:pStyle w:val="NoindentNormal"/>
        <w:rPr>
          <w:lang w:val="en-GB"/>
        </w:rPr>
      </w:pPr>
      <w:r w:rsidRPr="00472AB0">
        <w:rPr>
          <w:lang w:val="en-GB"/>
        </w:rPr>
        <w:t xml:space="preserve">The </w:t>
      </w:r>
      <w:r w:rsidR="008815F9" w:rsidRPr="00472AB0">
        <w:rPr>
          <w:lang w:val="en-GB"/>
        </w:rPr>
        <w:t xml:space="preserve">Rules to be considered </w:t>
      </w:r>
      <w:r w:rsidR="00F76BBB" w:rsidRPr="00472AB0">
        <w:rPr>
          <w:lang w:val="en-GB"/>
        </w:rPr>
        <w:t xml:space="preserve">in </w:t>
      </w:r>
      <w:r w:rsidR="008815F9" w:rsidRPr="00472AB0">
        <w:rPr>
          <w:lang w:val="en-GB"/>
        </w:rPr>
        <w:t xml:space="preserve">the classification procedure </w:t>
      </w:r>
      <w:r w:rsidR="00F76BBB" w:rsidRPr="00472AB0">
        <w:rPr>
          <w:lang w:val="en-GB"/>
        </w:rPr>
        <w:t>for the application of non-metallic materials in the construction of non-structural component</w:t>
      </w:r>
      <w:r w:rsidR="00CD13DA" w:rsidRPr="00472AB0">
        <w:rPr>
          <w:lang w:val="en-GB"/>
        </w:rPr>
        <w:t xml:space="preserve">s of marine engines are part of an undefined regulatory framework; as a matter of fact, the requirements provided by the various institutions are very complex, fragmented and </w:t>
      </w:r>
      <w:r w:rsidR="00F76BBB" w:rsidRPr="00472AB0">
        <w:rPr>
          <w:lang w:val="en-GB"/>
        </w:rPr>
        <w:t>not of univocal interpretation.</w:t>
      </w:r>
    </w:p>
    <w:p w14:paraId="739B6FC9" w14:textId="0246D557" w:rsidR="000569DF" w:rsidRDefault="000667CE" w:rsidP="000569DF">
      <w:pPr>
        <w:pStyle w:val="NoindentNormal"/>
        <w:ind w:firstLine="357"/>
        <w:rPr>
          <w:lang w:val="en-GB" w:eastAsia="en-US"/>
        </w:rPr>
      </w:pPr>
      <w:r>
        <w:rPr>
          <w:lang w:val="en-GB"/>
        </w:rPr>
        <w:t>The analysis started from the</w:t>
      </w:r>
      <w:r w:rsidR="00C01B3D">
        <w:rPr>
          <w:lang w:val="en-GB"/>
        </w:rPr>
        <w:t xml:space="preserve"> requirements provided </w:t>
      </w:r>
      <w:r w:rsidR="005910C6">
        <w:rPr>
          <w:lang w:val="en-GB"/>
        </w:rPr>
        <w:t xml:space="preserve">by the International Maritime Organization (IMO) </w:t>
      </w:r>
      <w:r w:rsidR="00C01B3D">
        <w:rPr>
          <w:lang w:val="en-GB"/>
        </w:rPr>
        <w:t>in the</w:t>
      </w:r>
      <w:r w:rsidR="00A81FCA">
        <w:rPr>
          <w:lang w:val="en-GB"/>
        </w:rPr>
        <w:t xml:space="preserve"> </w:t>
      </w:r>
      <w:r w:rsidR="00350DAE">
        <w:rPr>
          <w:lang w:val="en-GB"/>
        </w:rPr>
        <w:t>“</w:t>
      </w:r>
      <w:r w:rsidR="000569DF">
        <w:rPr>
          <w:lang w:val="en-GB"/>
        </w:rPr>
        <w:t>International Convention for Safety of Life at Sea</w:t>
      </w:r>
      <w:r w:rsidR="00350DAE">
        <w:rPr>
          <w:lang w:val="en-GB"/>
        </w:rPr>
        <w:t>”</w:t>
      </w:r>
      <w:r w:rsidR="00F76BBB">
        <w:rPr>
          <w:lang w:val="en-GB"/>
        </w:rPr>
        <w:t xml:space="preserve"> (SOLAS)</w:t>
      </w:r>
      <w:r w:rsidR="00064B86">
        <w:rPr>
          <w:lang w:val="en-GB"/>
        </w:rPr>
        <w:t xml:space="preserve"> [</w:t>
      </w:r>
      <w:r w:rsidR="007C395E">
        <w:rPr>
          <w:lang w:val="en-GB"/>
        </w:rPr>
        <w:t>10</w:t>
      </w:r>
      <w:r w:rsidR="00064B86">
        <w:rPr>
          <w:lang w:val="en-GB"/>
        </w:rPr>
        <w:t>]</w:t>
      </w:r>
      <w:r w:rsidR="00A81FCA">
        <w:rPr>
          <w:lang w:val="en-GB"/>
        </w:rPr>
        <w:t xml:space="preserve">, with reference to the </w:t>
      </w:r>
      <w:r w:rsidR="00350DAE">
        <w:rPr>
          <w:lang w:val="en-GB"/>
        </w:rPr>
        <w:t>“</w:t>
      </w:r>
      <w:r w:rsidR="00A81FCA">
        <w:rPr>
          <w:lang w:val="en-GB"/>
        </w:rPr>
        <w:t>Fire Test Procedure Code</w:t>
      </w:r>
      <w:r w:rsidR="00350DAE">
        <w:rPr>
          <w:lang w:val="en-GB"/>
        </w:rPr>
        <w:t>”</w:t>
      </w:r>
      <w:r w:rsidR="00F76BBB">
        <w:rPr>
          <w:lang w:val="en-GB"/>
        </w:rPr>
        <w:t xml:space="preserve"> (FTP Code)</w:t>
      </w:r>
      <w:r w:rsidR="00064B86">
        <w:rPr>
          <w:lang w:val="en-GB"/>
        </w:rPr>
        <w:t xml:space="preserve"> [</w:t>
      </w:r>
      <w:r w:rsidR="007C395E">
        <w:rPr>
          <w:lang w:val="en-GB"/>
        </w:rPr>
        <w:t>11</w:t>
      </w:r>
      <w:r w:rsidR="00064B86">
        <w:rPr>
          <w:lang w:val="en-GB"/>
        </w:rPr>
        <w:t>]</w:t>
      </w:r>
      <w:r w:rsidR="00A81FCA">
        <w:rPr>
          <w:lang w:val="en-GB"/>
        </w:rPr>
        <w:t xml:space="preserve"> for the material classification.</w:t>
      </w:r>
      <w:r w:rsidR="000569DF">
        <w:rPr>
          <w:lang w:val="en-GB" w:eastAsia="en-US"/>
        </w:rPr>
        <w:t xml:space="preserve"> In particular, SOLAS imposes a restricted use of combustible materials, allowed only in restricted ship areas such as accommodation and service spaces. Anyhow, the ignitability of combustible materials applied shall be restricted. The use of combustible materials in machinery spaces is not allowed; therefore, the </w:t>
      </w:r>
      <w:r w:rsidR="00BC2997">
        <w:rPr>
          <w:lang w:val="en-GB" w:eastAsia="en-US"/>
        </w:rPr>
        <w:t xml:space="preserve">feasible plastic materials </w:t>
      </w:r>
      <w:r w:rsidR="000569DF">
        <w:rPr>
          <w:lang w:val="en-GB" w:eastAsia="en-US"/>
        </w:rPr>
        <w:t xml:space="preserve">chosen to build </w:t>
      </w:r>
      <w:r w:rsidR="00BC2997">
        <w:rPr>
          <w:lang w:val="en-GB" w:eastAsia="en-US"/>
        </w:rPr>
        <w:t xml:space="preserve">non-structural marine </w:t>
      </w:r>
      <w:r w:rsidR="000569DF">
        <w:rPr>
          <w:lang w:val="en-GB" w:eastAsia="en-US"/>
        </w:rPr>
        <w:t xml:space="preserve">engine components have to belong to the non-combustible material class. Regarding the non-combustibility </w:t>
      </w:r>
      <w:r w:rsidR="00BC2997">
        <w:rPr>
          <w:lang w:val="en-GB" w:eastAsia="en-US"/>
        </w:rPr>
        <w:t>tests</w:t>
      </w:r>
      <w:r w:rsidR="000569DF">
        <w:rPr>
          <w:lang w:val="en-GB" w:eastAsia="en-US"/>
        </w:rPr>
        <w:t xml:space="preserve">, </w:t>
      </w:r>
      <w:r w:rsidR="00BC2997">
        <w:rPr>
          <w:lang w:val="en-GB" w:eastAsia="en-US"/>
        </w:rPr>
        <w:t xml:space="preserve">they have </w:t>
      </w:r>
      <w:r w:rsidR="000569DF">
        <w:rPr>
          <w:lang w:val="en-GB" w:eastAsia="en-US"/>
        </w:rPr>
        <w:t xml:space="preserve">to be carried out in accordance with the requirements provided by the </w:t>
      </w:r>
      <w:r w:rsidR="00BC2997">
        <w:rPr>
          <w:lang w:val="en-GB" w:eastAsia="en-US"/>
        </w:rPr>
        <w:t>FTP Code</w:t>
      </w:r>
      <w:r w:rsidR="000569DF">
        <w:rPr>
          <w:lang w:val="en-GB" w:eastAsia="en-US"/>
        </w:rPr>
        <w:t xml:space="preserve">. Specifically, </w:t>
      </w:r>
      <w:r w:rsidR="00AF4E06">
        <w:rPr>
          <w:lang w:val="en-GB" w:eastAsia="en-US"/>
        </w:rPr>
        <w:t>the Annex I of the Code explains the methodology for conducting the non-combustibility and the smoke and toxic gas generation tests.</w:t>
      </w:r>
    </w:p>
    <w:p w14:paraId="344A14A0" w14:textId="5E5F9D0F" w:rsidR="00AF4E06" w:rsidRDefault="00AF4E06" w:rsidP="005B15EB">
      <w:pPr>
        <w:pStyle w:val="NoindentNormal"/>
        <w:ind w:firstLine="357"/>
        <w:rPr>
          <w:lang w:val="en-GB" w:eastAsia="en-US"/>
        </w:rPr>
      </w:pPr>
      <w:r>
        <w:rPr>
          <w:lang w:val="en-GB"/>
        </w:rPr>
        <w:t xml:space="preserve">Besides the requirements </w:t>
      </w:r>
      <w:r w:rsidR="005910C6">
        <w:rPr>
          <w:lang w:val="en-GB"/>
        </w:rPr>
        <w:t xml:space="preserve">issued </w:t>
      </w:r>
      <w:r>
        <w:rPr>
          <w:lang w:val="en-GB"/>
        </w:rPr>
        <w:t>by the I</w:t>
      </w:r>
      <w:r w:rsidR="005910C6">
        <w:rPr>
          <w:lang w:val="en-GB"/>
        </w:rPr>
        <w:t>MO</w:t>
      </w:r>
      <w:r w:rsidR="00A80BDC">
        <w:rPr>
          <w:lang w:val="en-GB"/>
        </w:rPr>
        <w:t>,</w:t>
      </w:r>
      <w:r>
        <w:rPr>
          <w:lang w:val="en-GB"/>
        </w:rPr>
        <w:t xml:space="preserve"> their interpretations provided by the International Association of Classification Societies</w:t>
      </w:r>
      <w:r w:rsidR="005910C6">
        <w:rPr>
          <w:lang w:val="en-GB"/>
        </w:rPr>
        <w:t xml:space="preserve"> (IACS)</w:t>
      </w:r>
      <w:r>
        <w:rPr>
          <w:lang w:val="en-GB"/>
        </w:rPr>
        <w:t xml:space="preserve"> </w:t>
      </w:r>
      <w:r w:rsidR="005910C6">
        <w:rPr>
          <w:lang w:val="en-GB"/>
        </w:rPr>
        <w:t xml:space="preserve">must </w:t>
      </w:r>
      <w:r>
        <w:rPr>
          <w:lang w:val="en-GB"/>
        </w:rPr>
        <w:t>be considered</w:t>
      </w:r>
      <w:r w:rsidR="005910C6">
        <w:rPr>
          <w:lang w:val="en-GB"/>
        </w:rPr>
        <w:t>. A</w:t>
      </w:r>
      <w:r w:rsidR="005910C6" w:rsidRPr="005910C6">
        <w:rPr>
          <w:lang w:val="en-GB"/>
        </w:rPr>
        <w:t xml:space="preserve"> significant manifestation of interest </w:t>
      </w:r>
      <w:r w:rsidR="00AB1473" w:rsidRPr="005910C6">
        <w:rPr>
          <w:lang w:val="en-GB"/>
        </w:rPr>
        <w:t xml:space="preserve">by the </w:t>
      </w:r>
      <w:r w:rsidR="00AB1473">
        <w:rPr>
          <w:lang w:val="en-GB"/>
        </w:rPr>
        <w:t xml:space="preserve">shipbuilding </w:t>
      </w:r>
      <w:r w:rsidR="00AB1473" w:rsidRPr="005910C6">
        <w:rPr>
          <w:lang w:val="en-GB"/>
        </w:rPr>
        <w:t>industry</w:t>
      </w:r>
      <w:r w:rsidR="00AB1473">
        <w:rPr>
          <w:lang w:val="en-GB"/>
        </w:rPr>
        <w:t xml:space="preserve"> about the metal replacement in the constr</w:t>
      </w:r>
      <w:r w:rsidR="00AE2DD3">
        <w:rPr>
          <w:lang w:val="en-GB"/>
        </w:rPr>
        <w:t>ucti</w:t>
      </w:r>
      <w:r w:rsidR="00AB1473">
        <w:rPr>
          <w:lang w:val="en-GB"/>
        </w:rPr>
        <w:t>on of</w:t>
      </w:r>
      <w:r w:rsidR="00AE2DD3" w:rsidRPr="00AE2DD3">
        <w:rPr>
          <w:lang w:val="en-GB"/>
        </w:rPr>
        <w:t xml:space="preserve"> </w:t>
      </w:r>
      <w:r w:rsidR="00AE2DD3">
        <w:rPr>
          <w:lang w:val="en-GB"/>
        </w:rPr>
        <w:t xml:space="preserve">non-structural components of marine engines </w:t>
      </w:r>
      <w:r w:rsidR="005910C6" w:rsidRPr="00F57A73">
        <w:rPr>
          <w:lang w:val="en-GB"/>
        </w:rPr>
        <w:t xml:space="preserve">is provided by the recent </w:t>
      </w:r>
      <w:r w:rsidR="00AB1473" w:rsidRPr="00F57A73">
        <w:rPr>
          <w:lang w:val="en-GB"/>
        </w:rPr>
        <w:t xml:space="preserve">IACS </w:t>
      </w:r>
      <w:r w:rsidR="005910C6" w:rsidRPr="00F57A73">
        <w:rPr>
          <w:lang w:val="en-GB"/>
        </w:rPr>
        <w:t xml:space="preserve">publication </w:t>
      </w:r>
      <w:r>
        <w:rPr>
          <w:lang w:val="en-GB" w:eastAsia="en-US"/>
        </w:rPr>
        <w:t>“Unified Interpretatio</w:t>
      </w:r>
      <w:r w:rsidR="00AB1473">
        <w:rPr>
          <w:lang w:val="en-GB" w:eastAsia="en-US"/>
        </w:rPr>
        <w:t>n of the SOLAS Convention” [12]</w:t>
      </w:r>
      <w:r w:rsidR="002E4AEB">
        <w:rPr>
          <w:lang w:val="en-GB" w:eastAsia="en-US"/>
        </w:rPr>
        <w:t xml:space="preserve">. </w:t>
      </w:r>
      <w:r>
        <w:rPr>
          <w:lang w:val="en-GB" w:eastAsia="en-US"/>
        </w:rPr>
        <w:t xml:space="preserve">It refers to the “SOLAS Regulation II – 2” and to “MSC.1/Circ.1321, Guidelines for measurements to Prevent Fires in Engine-rooms and Cargo pump-rooms, Part 2, Chapter 2”. The </w:t>
      </w:r>
      <w:r w:rsidR="00AB1473">
        <w:rPr>
          <w:lang w:val="en-GB" w:eastAsia="en-US"/>
        </w:rPr>
        <w:t xml:space="preserve">document </w:t>
      </w:r>
      <w:r>
        <w:rPr>
          <w:lang w:val="en-GB" w:eastAsia="en-US"/>
        </w:rPr>
        <w:t>asserts that the usage of materials other than steel can be assessed in relation to the risk of fire associated with the component and its installation. The use of different materials can be allowed for components such as machinery covers, rocker box covers, camshaft end covers, in</w:t>
      </w:r>
      <w:r w:rsidR="0031267F">
        <w:rPr>
          <w:lang w:val="en-GB" w:eastAsia="en-US"/>
        </w:rPr>
        <w:t>spection plates and sump tanks, that are exactly the components proposed in the current study.</w:t>
      </w:r>
    </w:p>
    <w:p w14:paraId="63950A45" w14:textId="3487F401" w:rsidR="001846CD" w:rsidRDefault="0031267F" w:rsidP="001846CD">
      <w:pPr>
        <w:pStyle w:val="NoindentNormal"/>
        <w:ind w:firstLine="357"/>
        <w:rPr>
          <w:lang w:val="en-GB" w:eastAsia="en-US"/>
        </w:rPr>
      </w:pPr>
      <w:r>
        <w:rPr>
          <w:lang w:val="en-GB"/>
        </w:rPr>
        <w:t xml:space="preserve">About the material classification, </w:t>
      </w:r>
      <w:r w:rsidR="007B2530">
        <w:rPr>
          <w:lang w:val="en-GB"/>
        </w:rPr>
        <w:t xml:space="preserve">the </w:t>
      </w:r>
      <w:r>
        <w:rPr>
          <w:lang w:val="en-GB"/>
        </w:rPr>
        <w:t>“</w:t>
      </w:r>
      <w:r w:rsidR="007B2530">
        <w:rPr>
          <w:lang w:val="en-GB"/>
        </w:rPr>
        <w:t>UL 94</w:t>
      </w:r>
      <w:r>
        <w:rPr>
          <w:lang w:val="en-GB"/>
        </w:rPr>
        <w:t xml:space="preserve"> </w:t>
      </w:r>
      <w:r>
        <w:rPr>
          <w:lang w:val="en-GB" w:eastAsia="en-US"/>
        </w:rPr>
        <w:t xml:space="preserve">Standard for Safety of Flammability of Plastics Materials for Parts in Devices and Appliances testing” [13] issued from </w:t>
      </w:r>
      <w:r w:rsidR="007B2530">
        <w:rPr>
          <w:lang w:val="en-GB"/>
        </w:rPr>
        <w:t xml:space="preserve">the </w:t>
      </w:r>
      <w:r w:rsidR="007B2530">
        <w:rPr>
          <w:lang w:val="en-GB"/>
        </w:rPr>
        <w:lastRenderedPageBreak/>
        <w:t>Thermoplastic Testing Centre can be considered</w:t>
      </w:r>
      <w:r w:rsidR="00F57A73">
        <w:rPr>
          <w:lang w:val="en-GB"/>
        </w:rPr>
        <w:t>, in addition to the FTP Code</w:t>
      </w:r>
      <w:r>
        <w:rPr>
          <w:lang w:val="en-GB"/>
        </w:rPr>
        <w:t xml:space="preserve">. </w:t>
      </w:r>
      <w:r>
        <w:rPr>
          <w:lang w:val="en-GB" w:eastAsia="en-US"/>
        </w:rPr>
        <w:t xml:space="preserve">It consists of a plastic flammability standard which determines the material’s tendency to either extinguish or spread the flame once the specimen has been ignited. Regarding the materials under analysis, six classifications are provided, that are the Horizontal Burning Test HB, the 20 mm Vertical Burning Test V-0, V-1, V-2 and the 125 mm vertical Burning Test 5VA or 5VB. Depending on the relevant test method, specimens have to be tested in both a horizontal and a vertical position and are subjected to a defined ignition flame source for a specified period of time and a specified number of times. </w:t>
      </w:r>
    </w:p>
    <w:p w14:paraId="707AD8FD" w14:textId="39DF41E0" w:rsidR="004C33D5" w:rsidRDefault="00A21FF4" w:rsidP="003628C6">
      <w:pPr>
        <w:pStyle w:val="NoindentNormal"/>
        <w:ind w:firstLine="357"/>
        <w:rPr>
          <w:lang w:val="en-GB"/>
        </w:rPr>
      </w:pPr>
      <w:r>
        <w:rPr>
          <w:lang w:val="en-GB"/>
        </w:rPr>
        <w:t xml:space="preserve">In order to </w:t>
      </w:r>
      <w:r w:rsidR="00F15F7A">
        <w:rPr>
          <w:lang w:val="en-GB"/>
        </w:rPr>
        <w:t xml:space="preserve">clear the use of </w:t>
      </w:r>
      <w:r w:rsidR="00815906">
        <w:rPr>
          <w:lang w:val="en-GB"/>
        </w:rPr>
        <w:t xml:space="preserve">non-structural </w:t>
      </w:r>
      <w:r w:rsidR="00F15F7A">
        <w:rPr>
          <w:lang w:val="en-GB"/>
        </w:rPr>
        <w:t xml:space="preserve">plastic components on </w:t>
      </w:r>
      <w:r w:rsidR="00815906">
        <w:rPr>
          <w:lang w:val="en-GB"/>
        </w:rPr>
        <w:t>marine engines</w:t>
      </w:r>
      <w:r w:rsidR="00F15F7A">
        <w:rPr>
          <w:lang w:val="en-GB"/>
        </w:rPr>
        <w:t>,</w:t>
      </w:r>
      <w:r w:rsidR="00B518F8">
        <w:rPr>
          <w:lang w:val="en-GB"/>
        </w:rPr>
        <w:t xml:space="preserve"> the last step of the rule framework</w:t>
      </w:r>
      <w:r w:rsidR="00F15F7A">
        <w:rPr>
          <w:lang w:val="en-GB"/>
        </w:rPr>
        <w:t xml:space="preserve"> analysis </w:t>
      </w:r>
      <w:r w:rsidR="00E161F3">
        <w:rPr>
          <w:lang w:val="en-GB"/>
        </w:rPr>
        <w:t>has regarded</w:t>
      </w:r>
      <w:r w:rsidR="00B518F8">
        <w:rPr>
          <w:lang w:val="en-GB"/>
        </w:rPr>
        <w:t xml:space="preserve"> the rules issued from the classification societies</w:t>
      </w:r>
      <w:r w:rsidR="00F15F7A">
        <w:rPr>
          <w:lang w:val="en-GB"/>
        </w:rPr>
        <w:t>.</w:t>
      </w:r>
      <w:r w:rsidR="00E161F3">
        <w:rPr>
          <w:lang w:val="en-GB"/>
        </w:rPr>
        <w:t xml:space="preserve"> In particular, the </w:t>
      </w:r>
      <w:r w:rsidR="00064B86">
        <w:rPr>
          <w:lang w:val="en-GB"/>
        </w:rPr>
        <w:t>Lloyd’s Register “Rules for Manufacture, Testing and Certification of Materials” [</w:t>
      </w:r>
      <w:r w:rsidR="007C395E">
        <w:rPr>
          <w:lang w:val="en-GB"/>
        </w:rPr>
        <w:t>14</w:t>
      </w:r>
      <w:r w:rsidR="00064B86">
        <w:rPr>
          <w:lang w:val="en-GB"/>
        </w:rPr>
        <w:t xml:space="preserve">] provides rules </w:t>
      </w:r>
      <w:r w:rsidR="00E161F3">
        <w:rPr>
          <w:lang w:val="en-GB"/>
        </w:rPr>
        <w:t>for manufacture and</w:t>
      </w:r>
      <w:r w:rsidR="00064B86">
        <w:rPr>
          <w:lang w:val="en-GB"/>
        </w:rPr>
        <w:t xml:space="preserve"> test procedures regarding thermoplastic polymers</w:t>
      </w:r>
      <w:r w:rsidR="00E161F3">
        <w:rPr>
          <w:lang w:val="en-GB"/>
        </w:rPr>
        <w:t xml:space="preserve">, </w:t>
      </w:r>
      <w:r w:rsidR="00C620FE">
        <w:rPr>
          <w:lang w:val="en-GB" w:eastAsia="en-US"/>
        </w:rPr>
        <w:t>with approval requirements for base materials used in the construction of any associated machinery components.</w:t>
      </w:r>
      <w:r w:rsidR="004C33D5">
        <w:rPr>
          <w:lang w:val="en-GB" w:eastAsia="en-US"/>
        </w:rPr>
        <w:t xml:space="preserve"> For </w:t>
      </w:r>
      <w:r w:rsidR="00237FA0">
        <w:rPr>
          <w:lang w:val="en-GB" w:eastAsia="en-US"/>
        </w:rPr>
        <w:t>its purposes</w:t>
      </w:r>
      <w:r w:rsidR="004C33D5">
        <w:rPr>
          <w:lang w:val="en-GB" w:eastAsia="en-US"/>
        </w:rPr>
        <w:t>, a “p</w:t>
      </w:r>
      <w:r w:rsidR="00350DAE">
        <w:rPr>
          <w:lang w:val="en-GB" w:eastAsia="en-US"/>
        </w:rPr>
        <w:t xml:space="preserve">lastic material” is </w:t>
      </w:r>
      <w:r w:rsidR="00073851">
        <w:rPr>
          <w:lang w:val="en-GB" w:eastAsia="en-US"/>
        </w:rPr>
        <w:t>defined</w:t>
      </w:r>
      <w:r w:rsidR="00350DAE">
        <w:rPr>
          <w:lang w:val="en-GB" w:eastAsia="en-US"/>
        </w:rPr>
        <w:t xml:space="preserve"> as</w:t>
      </w:r>
      <w:r w:rsidR="004C33D5">
        <w:rPr>
          <w:lang w:val="en-GB" w:eastAsia="en-US"/>
        </w:rPr>
        <w:t xml:space="preserve"> an organic substance which may be thermosetting or thermoplastic and which, in its finished state, may conta</w:t>
      </w:r>
      <w:r w:rsidR="00237FA0">
        <w:rPr>
          <w:lang w:val="en-GB" w:eastAsia="en-US"/>
        </w:rPr>
        <w:t>in reinforcements or additives.</w:t>
      </w:r>
      <w:r w:rsidR="00D86505">
        <w:rPr>
          <w:lang w:val="en-GB" w:eastAsia="en-US"/>
        </w:rPr>
        <w:t xml:space="preserve"> </w:t>
      </w:r>
      <w:r w:rsidR="00C620FE">
        <w:rPr>
          <w:lang w:val="en-GB" w:eastAsia="en-US"/>
        </w:rPr>
        <w:t>In particular</w:t>
      </w:r>
      <w:r w:rsidR="00237FA0">
        <w:rPr>
          <w:lang w:val="en-GB" w:eastAsia="en-US"/>
        </w:rPr>
        <w:t>, the</w:t>
      </w:r>
      <w:r w:rsidR="004C33D5" w:rsidRPr="004C33D5">
        <w:rPr>
          <w:lang w:val="en-GB" w:eastAsia="en-US"/>
        </w:rPr>
        <w:t xml:space="preserve"> </w:t>
      </w:r>
      <w:r w:rsidR="00D86505">
        <w:rPr>
          <w:lang w:val="en-GB" w:eastAsia="en-US"/>
        </w:rPr>
        <w:t xml:space="preserve">data </w:t>
      </w:r>
      <w:r w:rsidR="004C33D5" w:rsidRPr="004C33D5">
        <w:rPr>
          <w:lang w:val="en-GB" w:eastAsia="en-US"/>
        </w:rPr>
        <w:t xml:space="preserve">to be provided by the manufacturer </w:t>
      </w:r>
      <w:r w:rsidR="00D86505">
        <w:rPr>
          <w:lang w:val="en-GB" w:eastAsia="en-US"/>
        </w:rPr>
        <w:t xml:space="preserve">for each thermoplastic polymers include </w:t>
      </w:r>
      <w:proofErr w:type="spellStart"/>
      <w:r w:rsidR="00D86505">
        <w:rPr>
          <w:lang w:val="en-GB" w:eastAsia="en-US"/>
        </w:rPr>
        <w:t>i</w:t>
      </w:r>
      <w:proofErr w:type="spellEnd"/>
      <w:r w:rsidR="00D86505">
        <w:rPr>
          <w:lang w:val="en-GB" w:eastAsia="en-US"/>
        </w:rPr>
        <w:t xml:space="preserve">) melting point and melt flow index; ii) density and bulk density; iii) filler and pigment content, where applicable; and iv) colour. </w:t>
      </w:r>
      <w:r w:rsidR="004C33D5">
        <w:rPr>
          <w:lang w:val="en-GB"/>
        </w:rPr>
        <w:t>S</w:t>
      </w:r>
      <w:r w:rsidR="001E5A01">
        <w:rPr>
          <w:lang w:val="en-GB"/>
        </w:rPr>
        <w:t xml:space="preserve">pecimens </w:t>
      </w:r>
      <w:r w:rsidR="004C33D5">
        <w:rPr>
          <w:lang w:val="en-GB"/>
        </w:rPr>
        <w:t xml:space="preserve">are to be prepared by moulding or extrusion </w:t>
      </w:r>
      <w:r w:rsidR="001E5A01">
        <w:rPr>
          <w:lang w:val="en-GB"/>
        </w:rPr>
        <w:t>in accordance with</w:t>
      </w:r>
      <w:r w:rsidR="004C33D5">
        <w:rPr>
          <w:lang w:val="en-GB"/>
        </w:rPr>
        <w:t xml:space="preserve"> the polymer manufacturer’s recommended conditions.</w:t>
      </w:r>
      <w:r w:rsidR="00D86505">
        <w:rPr>
          <w:lang w:val="en-GB"/>
        </w:rPr>
        <w:t xml:space="preserve"> </w:t>
      </w:r>
      <w:r w:rsidR="004C33D5">
        <w:rPr>
          <w:lang w:val="en-GB"/>
        </w:rPr>
        <w:t>T</w:t>
      </w:r>
      <w:r w:rsidR="00D86505">
        <w:rPr>
          <w:lang w:val="en-GB"/>
        </w:rPr>
        <w:t xml:space="preserve">he tests </w:t>
      </w:r>
      <w:r w:rsidR="004C33D5">
        <w:rPr>
          <w:lang w:val="en-GB"/>
        </w:rPr>
        <w:t xml:space="preserve">to </w:t>
      </w:r>
      <w:r w:rsidR="00D86505">
        <w:rPr>
          <w:lang w:val="en-GB"/>
        </w:rPr>
        <w:t xml:space="preserve">be carried out on these samples include </w:t>
      </w:r>
      <w:proofErr w:type="spellStart"/>
      <w:r w:rsidR="00D86505">
        <w:rPr>
          <w:lang w:val="en-GB"/>
        </w:rPr>
        <w:t>i</w:t>
      </w:r>
      <w:proofErr w:type="spellEnd"/>
      <w:r w:rsidR="00D86505">
        <w:rPr>
          <w:lang w:val="en-GB"/>
        </w:rPr>
        <w:t xml:space="preserve">) tensile and compressive stress at yield and break; ii) </w:t>
      </w:r>
      <w:r w:rsidR="003628C6">
        <w:rPr>
          <w:lang w:val="en-GB"/>
        </w:rPr>
        <w:t xml:space="preserve">modulus of elasticity in tension; iii) tensile strain at yield and break; iv) compressive modulus; v) temperature of deflection under load; and vi) determination of water absorption. </w:t>
      </w:r>
      <w:r w:rsidR="004C33D5">
        <w:rPr>
          <w:lang w:val="en-GB"/>
        </w:rPr>
        <w:t>These requirements have to be applied to both pure and reinforced thermoplastic polymers.</w:t>
      </w:r>
    </w:p>
    <w:p w14:paraId="7B7770F3" w14:textId="3A03624C" w:rsidR="0031267F" w:rsidRPr="00237FA0" w:rsidRDefault="002508D0" w:rsidP="00B95D94">
      <w:r>
        <w:rPr>
          <w:lang w:val="en-GB" w:eastAsia="en-US"/>
        </w:rPr>
        <w:t xml:space="preserve">The </w:t>
      </w:r>
      <w:r w:rsidR="001E5A01">
        <w:rPr>
          <w:lang w:val="en-GB" w:eastAsia="en-US"/>
        </w:rPr>
        <w:t>construction</w:t>
      </w:r>
      <w:r>
        <w:rPr>
          <w:lang w:val="en-GB" w:eastAsia="en-US"/>
        </w:rPr>
        <w:t xml:space="preserve"> of </w:t>
      </w:r>
      <w:r w:rsidR="00815906">
        <w:rPr>
          <w:lang w:val="en-GB" w:eastAsia="en-US"/>
        </w:rPr>
        <w:t xml:space="preserve">non-structural </w:t>
      </w:r>
      <w:r>
        <w:rPr>
          <w:lang w:val="en-GB" w:eastAsia="en-US"/>
        </w:rPr>
        <w:t xml:space="preserve">plastic components on marine engines requires a specific classification procedure; the </w:t>
      </w:r>
      <w:proofErr w:type="spellStart"/>
      <w:r w:rsidR="00763F3B">
        <w:rPr>
          <w:lang w:val="en-GB" w:eastAsia="en-US"/>
        </w:rPr>
        <w:t>Registro</w:t>
      </w:r>
      <w:proofErr w:type="spellEnd"/>
      <w:r w:rsidR="00763F3B">
        <w:rPr>
          <w:lang w:val="en-GB" w:eastAsia="en-US"/>
        </w:rPr>
        <w:t xml:space="preserve"> </w:t>
      </w:r>
      <w:proofErr w:type="spellStart"/>
      <w:r w:rsidR="00763F3B">
        <w:rPr>
          <w:lang w:val="en-GB" w:eastAsia="en-US"/>
        </w:rPr>
        <w:t>Italiano</w:t>
      </w:r>
      <w:proofErr w:type="spellEnd"/>
      <w:r w:rsidR="00763F3B">
        <w:rPr>
          <w:lang w:val="en-GB" w:eastAsia="en-US"/>
        </w:rPr>
        <w:t xml:space="preserve"> </w:t>
      </w:r>
      <w:proofErr w:type="spellStart"/>
      <w:r w:rsidR="00763F3B">
        <w:rPr>
          <w:lang w:val="en-GB" w:eastAsia="en-US"/>
        </w:rPr>
        <w:t>Navale</w:t>
      </w:r>
      <w:proofErr w:type="spellEnd"/>
      <w:r w:rsidR="00F57A73">
        <w:rPr>
          <w:lang w:val="en-GB" w:eastAsia="en-US"/>
        </w:rPr>
        <w:t xml:space="preserve"> (RINA)</w:t>
      </w:r>
      <w:r>
        <w:rPr>
          <w:lang w:val="en-GB" w:eastAsia="en-US"/>
        </w:rPr>
        <w:t xml:space="preserve"> “Guide for Technology Qualification Processes” [15] </w:t>
      </w:r>
      <w:r w:rsidR="00EA1A8C">
        <w:rPr>
          <w:lang w:val="en-GB" w:eastAsia="en-US"/>
        </w:rPr>
        <w:t xml:space="preserve">has been analysed in order to provide a systematic approach to the qualification of the new technology proposed, ensuring that it is fit for its intended service. </w:t>
      </w:r>
      <w:r w:rsidR="00BC20CA">
        <w:rPr>
          <w:lang w:val="en-GB" w:eastAsia="en-US"/>
        </w:rPr>
        <w:t>For its purpose, t</w:t>
      </w:r>
      <w:r w:rsidR="00EA1A8C">
        <w:rPr>
          <w:lang w:val="en-GB" w:eastAsia="en-US"/>
        </w:rPr>
        <w:t>he use of plastic materials in the construction of</w:t>
      </w:r>
      <w:r w:rsidR="00763F3B">
        <w:rPr>
          <w:lang w:val="en-GB" w:eastAsia="en-US"/>
        </w:rPr>
        <w:t xml:space="preserve"> non-structural marine engine</w:t>
      </w:r>
      <w:r w:rsidR="00EA1A8C">
        <w:rPr>
          <w:lang w:val="en-GB" w:eastAsia="en-US"/>
        </w:rPr>
        <w:t xml:space="preserve"> components has to be considered a n</w:t>
      </w:r>
      <w:r w:rsidR="00BC20CA">
        <w:rPr>
          <w:lang w:val="en-GB" w:eastAsia="en-US"/>
        </w:rPr>
        <w:t>ovel</w:t>
      </w:r>
      <w:r w:rsidR="00EA1A8C">
        <w:rPr>
          <w:lang w:val="en-GB" w:eastAsia="en-US"/>
        </w:rPr>
        <w:t xml:space="preserve"> technology</w:t>
      </w:r>
      <w:r w:rsidR="00BC20CA">
        <w:rPr>
          <w:lang w:val="en-GB" w:eastAsia="en-US"/>
        </w:rPr>
        <w:t>,</w:t>
      </w:r>
      <w:r w:rsidR="00EA1A8C">
        <w:rPr>
          <w:lang w:val="en-GB" w:eastAsia="en-US"/>
        </w:rPr>
        <w:t xml:space="preserve"> </w:t>
      </w:r>
      <w:r w:rsidR="00BC20CA">
        <w:rPr>
          <w:lang w:val="en-GB" w:eastAsia="en-US"/>
        </w:rPr>
        <w:t>since this definition comprises the application of a proven technology in a new environment. The Technology Qualification is to be carried out through a documented process that include</w:t>
      </w:r>
      <w:r w:rsidR="00763F3B">
        <w:rPr>
          <w:lang w:val="en-GB" w:eastAsia="en-US"/>
        </w:rPr>
        <w:t>s</w:t>
      </w:r>
      <w:r w:rsidR="00BC20CA">
        <w:rPr>
          <w:lang w:val="en-GB" w:eastAsia="en-US"/>
        </w:rPr>
        <w:t xml:space="preserve"> examination of</w:t>
      </w:r>
      <w:r w:rsidR="00763F3B">
        <w:rPr>
          <w:lang w:val="en-GB" w:eastAsia="en-US"/>
        </w:rPr>
        <w:t xml:space="preserve"> the design, engineering analyse</w:t>
      </w:r>
      <w:r w:rsidR="00BC20CA">
        <w:rPr>
          <w:lang w:val="en-GB" w:eastAsia="en-US"/>
        </w:rPr>
        <w:t xml:space="preserve">s and testing programs. A risk assessment is to be conducted on the base of the </w:t>
      </w:r>
      <w:r w:rsidR="00B95D94">
        <w:rPr>
          <w:lang w:val="en-GB" w:eastAsia="en-US"/>
        </w:rPr>
        <w:t xml:space="preserve">“Guide for Risk Analysis” [16] and </w:t>
      </w:r>
      <w:r w:rsidR="00763F3B">
        <w:rPr>
          <w:lang w:val="en-GB" w:eastAsia="en-US"/>
        </w:rPr>
        <w:t xml:space="preserve">the </w:t>
      </w:r>
      <w:r w:rsidR="00B95D94">
        <w:rPr>
          <w:lang w:val="en-GB" w:eastAsia="en-US"/>
        </w:rPr>
        <w:t>“Guide for Failure Mode and Effect Analysis” [17] issued from RINA; the risk assessment has the aim to identify, rank and control failure modes affecting the fitness for service of the technology. Besides,</w:t>
      </w:r>
      <w:r w:rsidR="00D128CA">
        <w:rPr>
          <w:lang w:val="en-GB" w:eastAsia="en-US"/>
        </w:rPr>
        <w:t xml:space="preserve"> engineering analyses, </w:t>
      </w:r>
      <w:r w:rsidR="00B95D94">
        <w:rPr>
          <w:lang w:val="en-GB" w:eastAsia="en-US"/>
        </w:rPr>
        <w:t>measurements and tests are to be carried out to</w:t>
      </w:r>
      <w:r w:rsidR="00D128CA">
        <w:rPr>
          <w:lang w:val="en-GB" w:eastAsia="en-US"/>
        </w:rPr>
        <w:t xml:space="preserve"> demonstrate and</w:t>
      </w:r>
      <w:r w:rsidR="00B95D94">
        <w:rPr>
          <w:lang w:val="en-GB" w:eastAsia="en-US"/>
        </w:rPr>
        <w:t xml:space="preserve"> document that the novel technology ful</w:t>
      </w:r>
      <w:r w:rsidR="00D128CA">
        <w:rPr>
          <w:lang w:val="en-GB" w:eastAsia="en-US"/>
        </w:rPr>
        <w:t>fils the specified requirements</w:t>
      </w:r>
      <w:r w:rsidR="00B95D94">
        <w:rPr>
          <w:lang w:val="en-GB" w:eastAsia="en-US"/>
        </w:rPr>
        <w:t>. The Technology Qualification</w:t>
      </w:r>
      <w:r w:rsidR="00D128CA">
        <w:rPr>
          <w:lang w:val="en-GB" w:eastAsia="en-US"/>
        </w:rPr>
        <w:t xml:space="preserve"> final result</w:t>
      </w:r>
      <w:r w:rsidR="00B95D94">
        <w:rPr>
          <w:lang w:val="en-GB" w:eastAsia="en-US"/>
        </w:rPr>
        <w:t xml:space="preserve"> </w:t>
      </w:r>
      <w:r w:rsidR="00D128CA">
        <w:rPr>
          <w:lang w:val="en-GB" w:eastAsia="en-US"/>
        </w:rPr>
        <w:t xml:space="preserve">is an official statement </w:t>
      </w:r>
      <w:r w:rsidR="00B95D94">
        <w:rPr>
          <w:lang w:val="en-GB" w:eastAsia="en-US"/>
        </w:rPr>
        <w:t xml:space="preserve">of fitness for service. </w:t>
      </w:r>
      <w:r w:rsidR="008A6A5B">
        <w:rPr>
          <w:lang w:val="en-GB" w:eastAsia="en-US"/>
        </w:rPr>
        <w:t>The technical reports have</w:t>
      </w:r>
      <w:r w:rsidR="00B95D94">
        <w:rPr>
          <w:lang w:val="en-GB" w:eastAsia="en-US"/>
        </w:rPr>
        <w:t xml:space="preserve"> the aim to confirm that the novel technology meets the specified </w:t>
      </w:r>
      <w:r w:rsidR="00C02EA8">
        <w:rPr>
          <w:lang w:val="en-GB" w:eastAsia="en-US"/>
        </w:rPr>
        <w:t>requirements for its intended service.</w:t>
      </w:r>
    </w:p>
    <w:p w14:paraId="2E8CA4F3" w14:textId="3FFE151C" w:rsidR="00086579" w:rsidRDefault="004B49D8" w:rsidP="00086579">
      <w:pPr>
        <w:pStyle w:val="Heading1"/>
        <w:rPr>
          <w:lang w:val="en-GB"/>
        </w:rPr>
      </w:pPr>
      <w:r w:rsidRPr="00F0142E">
        <w:rPr>
          <w:lang w:val="en-GB"/>
        </w:rPr>
        <w:lastRenderedPageBreak/>
        <w:t>Material design</w:t>
      </w:r>
    </w:p>
    <w:p w14:paraId="24BD5B4B" w14:textId="77777777" w:rsidR="00DE196A" w:rsidRDefault="00DE196A" w:rsidP="00DE196A">
      <w:pPr>
        <w:pStyle w:val="NoindentNormal"/>
      </w:pPr>
      <w:r>
        <w:t xml:space="preserve">The idea of performing </w:t>
      </w:r>
      <w:r w:rsidRPr="00194A34">
        <w:t>computer-assisted multiscale material design (CAMMD)</w:t>
      </w:r>
      <w:r>
        <w:t xml:space="preserve"> starting from fundamental physical and chemical principles has an obvious appeal as a tool of potential great impact on technological innovation and material design. Briefly, the advantages of considering multiscale molecular modeling as an integral part of material design include, among others </w:t>
      </w:r>
      <w:proofErr w:type="spellStart"/>
      <w:r>
        <w:t>i</w:t>
      </w:r>
      <w:proofErr w:type="spellEnd"/>
      <w:r>
        <w:t xml:space="preserve">) </w:t>
      </w:r>
      <w:r>
        <w:rPr>
          <w:rFonts w:hint="eastAsia"/>
        </w:rPr>
        <w:t>the reduction of the product development time by alleviating costly</w:t>
      </w:r>
      <w:r>
        <w:t xml:space="preserve"> trial-and-error iterations; ii) </w:t>
      </w:r>
      <w:r>
        <w:rPr>
          <w:rFonts w:hint="eastAsia"/>
        </w:rPr>
        <w:t>the reduction of product costs through innovations in materials,</w:t>
      </w:r>
      <w:r>
        <w:t xml:space="preserve"> products, and process design; iii) </w:t>
      </w:r>
      <w:r>
        <w:rPr>
          <w:rFonts w:hint="eastAsia"/>
        </w:rPr>
        <w:t>the reduction of the number of costly, large-scale experiments;</w:t>
      </w:r>
      <w:r>
        <w:t xml:space="preserve"> iv) </w:t>
      </w:r>
      <w:r>
        <w:rPr>
          <w:rFonts w:hint="eastAsia"/>
        </w:rPr>
        <w:t>the increase of product quality and performance by providing more accurate</w:t>
      </w:r>
      <w:r>
        <w:t xml:space="preserve"> predictions in response to material design requirements and loads; and v) </w:t>
      </w:r>
      <w:r>
        <w:rPr>
          <w:rFonts w:hint="eastAsia"/>
        </w:rPr>
        <w:t>the support provided to conceive and develop entirely new materials.</w:t>
      </w:r>
    </w:p>
    <w:p w14:paraId="0F641920" w14:textId="04792C59" w:rsidR="00DE196A" w:rsidRDefault="00DE196A" w:rsidP="00DE196A">
      <w:r>
        <w:t xml:space="preserve">In this work, the CAMMD concept has been applied to estimate specific </w:t>
      </w:r>
      <w:proofErr w:type="spellStart"/>
      <w:r>
        <w:t>thermophysical</w:t>
      </w:r>
      <w:proofErr w:type="spellEnd"/>
      <w:r>
        <w:t xml:space="preserve"> and mechanical properties of NETP systems suitable to be employed in the fabrication of head covers for marine engines. To the purpose, molecular dynamics (MD) simulation procedures have been developed to predict density and glass transition temperature as a function of filler concentration in a thermoplastic matrix [</w:t>
      </w:r>
      <w:r w:rsidR="00EE0B98">
        <w:t>1</w:t>
      </w:r>
      <w:r w:rsidR="00B71735">
        <w:t>8</w:t>
      </w:r>
      <w:r>
        <w:t>]. Also, other MD-based recipes have been elaborated to determine mechanical properties such as stress-strain curves and the Young modulus [</w:t>
      </w:r>
      <w:r w:rsidR="00EE0B98">
        <w:t>1</w:t>
      </w:r>
      <w:r w:rsidR="00B71735">
        <w:t>8</w:t>
      </w:r>
      <w:r w:rsidR="00EE0B98">
        <w:t>-</w:t>
      </w:r>
      <w:r w:rsidR="00B71735">
        <w:t>20</w:t>
      </w:r>
      <w:r>
        <w:t>] of selected NETP systems. In what follows, the results of the application of these CAMMD-based procedures to the specific industrial problem is discussed.</w:t>
      </w:r>
    </w:p>
    <w:p w14:paraId="0E24A20A" w14:textId="7C74298F" w:rsidR="00DE196A" w:rsidRDefault="00DE196A" w:rsidP="00DE196A">
      <w:r>
        <w:t>Based on the specific material requirements, a preliminary literature survey combined with the application of Ashby’s method [</w:t>
      </w:r>
      <w:r w:rsidR="00B71735">
        <w:t>21</w:t>
      </w:r>
      <w:r>
        <w:t>] identified polyamide-6,6/glass fiber (PA66/GF)-based NETPs as the most suitable systems for the context application. The computational recipes summarized above were then applied to predict the mechanical properties of PA66/GF NETPs as function of GF content.</w:t>
      </w:r>
      <w:r w:rsidRPr="00357CEE">
        <w:t xml:space="preserve"> </w:t>
      </w:r>
    </w:p>
    <w:p w14:paraId="117C988F" w14:textId="73F56111" w:rsidR="00585012" w:rsidRDefault="00DE196A" w:rsidP="00533D80">
      <w:pPr>
        <w:spacing w:after="60"/>
      </w:pPr>
      <w:r>
        <w:t xml:space="preserve">According to the simulations (Figure 1), the addition of glass fibers (15-50 % </w:t>
      </w:r>
      <w:proofErr w:type="spellStart"/>
      <w:r>
        <w:t>wt</w:t>
      </w:r>
      <w:proofErr w:type="spellEnd"/>
      <w:r>
        <w:t xml:space="preserve">) to the PA66 matrix results in a remarkable increase of the predicted Young modulus E for the corresponding NETPs (Figure 1A). The relative increment of E with respect to the pristine PA66 polymer is well evident from the behavior of the corresponding enhancement factor </w:t>
      </w:r>
      <w:proofErr w:type="spellStart"/>
      <w:r>
        <w:t>E</w:t>
      </w:r>
      <w:r w:rsidRPr="007665D3">
        <w:rPr>
          <w:vertAlign w:val="subscript"/>
        </w:rPr>
        <w:t>f</w:t>
      </w:r>
      <w:proofErr w:type="spellEnd"/>
      <w:r>
        <w:t xml:space="preserve"> shown in Figure 1B. These results, coupled with further </w:t>
      </w:r>
      <w:proofErr w:type="spellStart"/>
      <w:r w:rsidRPr="00060572">
        <w:t>economical</w:t>
      </w:r>
      <w:proofErr w:type="spellEnd"/>
      <w:r w:rsidRPr="00060572">
        <w:t xml:space="preserve"> and environmental considerations,</w:t>
      </w:r>
      <w:r>
        <w:t xml:space="preserve"> led to the NETP based on PA66 loaded with 30 %</w:t>
      </w:r>
      <w:r w:rsidR="00DA060E">
        <w:t xml:space="preserve"> </w:t>
      </w:r>
      <w:proofErr w:type="spellStart"/>
      <w:r>
        <w:t>wt</w:t>
      </w:r>
      <w:proofErr w:type="spellEnd"/>
      <w:r>
        <w:t xml:space="preserve"> glass fiber as the system of choice.</w:t>
      </w:r>
      <w:r w:rsidRPr="00357CEE">
        <w:t xml:space="preserve"> </w:t>
      </w:r>
    </w:p>
    <w:p w14:paraId="1272F6F4" w14:textId="77777777" w:rsidR="00DE196A" w:rsidRDefault="00DE196A" w:rsidP="00DE196A">
      <w:pPr>
        <w:pStyle w:val="NoindentNormal"/>
        <w:jc w:val="center"/>
      </w:pPr>
      <w:r>
        <w:rPr>
          <w:noProof/>
          <w:lang w:val="it-IT" w:eastAsia="it-IT"/>
        </w:rPr>
        <w:drawing>
          <wp:inline distT="0" distB="0" distL="0" distR="0" wp14:anchorId="7EA0C219" wp14:editId="6E6DDE18">
            <wp:extent cx="2106000" cy="1656000"/>
            <wp:effectExtent l="0" t="0" r="889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_PA66_soloGF.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6000" cy="1656000"/>
                    </a:xfrm>
                    <a:prstGeom prst="rect">
                      <a:avLst/>
                    </a:prstGeom>
                  </pic:spPr>
                </pic:pic>
              </a:graphicData>
            </a:graphic>
          </wp:inline>
        </w:drawing>
      </w:r>
      <w:r>
        <w:rPr>
          <w:noProof/>
          <w:lang w:val="it-IT" w:eastAsia="it-IT"/>
        </w:rPr>
        <w:drawing>
          <wp:inline distT="0" distB="0" distL="0" distR="0" wp14:anchorId="447B288B" wp14:editId="777172C6">
            <wp:extent cx="2156400" cy="1656000"/>
            <wp:effectExtent l="0" t="0" r="0" b="1905"/>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PA66_soloGF.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00" cy="1656000"/>
                    </a:xfrm>
                    <a:prstGeom prst="rect">
                      <a:avLst/>
                    </a:prstGeom>
                  </pic:spPr>
                </pic:pic>
              </a:graphicData>
            </a:graphic>
          </wp:inline>
        </w:drawing>
      </w:r>
    </w:p>
    <w:p w14:paraId="5F78B5D2" w14:textId="12DBD26A" w:rsidR="00DE196A" w:rsidRDefault="00DE196A" w:rsidP="003A0873">
      <w:pPr>
        <w:pStyle w:val="CaptionShort"/>
        <w:jc w:val="both"/>
      </w:pPr>
      <w:r>
        <w:rPr>
          <w:b/>
        </w:rPr>
        <w:t>Figure 1.</w:t>
      </w:r>
      <w:r>
        <w:t xml:space="preserve"> (A) Predicted Young modulus E for the pristine PA66 matrix and for the relevant PA66/GF NETPs as a function of fiber content (% </w:t>
      </w:r>
      <w:proofErr w:type="spellStart"/>
      <w:r>
        <w:t>wt</w:t>
      </w:r>
      <w:proofErr w:type="spellEnd"/>
      <w:r>
        <w:t xml:space="preserve">). (B) Enhancement factor </w:t>
      </w:r>
      <w:proofErr w:type="spellStart"/>
      <w:r>
        <w:t>E</w:t>
      </w:r>
      <w:r w:rsidRPr="00B00756">
        <w:rPr>
          <w:vertAlign w:val="subscript"/>
        </w:rPr>
        <w:t>f</w:t>
      </w:r>
      <w:proofErr w:type="spellEnd"/>
      <w:r>
        <w:t xml:space="preserve"> (= E</w:t>
      </w:r>
      <w:r w:rsidRPr="00B00756">
        <w:rPr>
          <w:vertAlign w:val="subscript"/>
        </w:rPr>
        <w:t>NETP</w:t>
      </w:r>
      <w:r>
        <w:t>/E</w:t>
      </w:r>
      <w:r>
        <w:rPr>
          <w:vertAlign w:val="subscript"/>
        </w:rPr>
        <w:t>Pa66</w:t>
      </w:r>
      <w:r>
        <w:t>) for the systems in panel A.</w:t>
      </w:r>
    </w:p>
    <w:p w14:paraId="34E4288F" w14:textId="72CFAA5E" w:rsidR="00DE196A" w:rsidRDefault="00DE196A" w:rsidP="00DE196A">
      <w:r>
        <w:t xml:space="preserve">Accordingly, Table 1 lists the numerical values of the entire set of properties estimated for this system and those for the pure PA66 matrix for comparison. </w:t>
      </w:r>
    </w:p>
    <w:p w14:paraId="5C503B83" w14:textId="0F1D115E" w:rsidR="00DE196A" w:rsidRDefault="00DE196A" w:rsidP="00DE196A">
      <w:pPr>
        <w:pStyle w:val="CaptionLong"/>
      </w:pPr>
      <w:r>
        <w:rPr>
          <w:b/>
        </w:rPr>
        <w:lastRenderedPageBreak/>
        <w:t>Table 1.</w:t>
      </w:r>
      <w:r>
        <w:t xml:space="preserve"> Values of the mechanical and </w:t>
      </w:r>
      <w:proofErr w:type="spellStart"/>
      <w:r>
        <w:t>thermophysical</w:t>
      </w:r>
      <w:proofErr w:type="spellEnd"/>
      <w:r>
        <w:t xml:space="preserve"> properties for the PA66/GF (30 % </w:t>
      </w:r>
      <w:proofErr w:type="spellStart"/>
      <w:r>
        <w:t>wt</w:t>
      </w:r>
      <w:proofErr w:type="spellEnd"/>
      <w:r>
        <w:t>) as estimated by CAMMD at room temperature. The corresponding values predicted for the pristine PA66 matrix are also shown for comparison.</w:t>
      </w:r>
    </w:p>
    <w:tbl>
      <w:tblPr>
        <w:tblW w:w="5000" w:type="pct"/>
        <w:tblLook w:val="00A0" w:firstRow="1" w:lastRow="0" w:firstColumn="1" w:lastColumn="0" w:noHBand="0" w:noVBand="0"/>
      </w:tblPr>
      <w:tblGrid>
        <w:gridCol w:w="2922"/>
        <w:gridCol w:w="1900"/>
        <w:gridCol w:w="2425"/>
      </w:tblGrid>
      <w:tr w:rsidR="00DE196A" w14:paraId="62F762A4" w14:textId="77777777" w:rsidTr="008F2677">
        <w:tc>
          <w:tcPr>
            <w:tcW w:w="2016" w:type="pct"/>
            <w:tcBorders>
              <w:top w:val="single" w:sz="4" w:space="0" w:color="auto"/>
              <w:bottom w:val="single" w:sz="4" w:space="0" w:color="auto"/>
            </w:tcBorders>
          </w:tcPr>
          <w:p w14:paraId="0D07FD3D" w14:textId="77777777" w:rsidR="00DE196A" w:rsidRPr="00D82BC9" w:rsidRDefault="00DE196A" w:rsidP="00550360">
            <w:pPr>
              <w:ind w:firstLine="0"/>
              <w:jc w:val="center"/>
              <w:rPr>
                <w:b/>
                <w:sz w:val="16"/>
                <w:szCs w:val="16"/>
              </w:rPr>
            </w:pPr>
            <w:r>
              <w:rPr>
                <w:b/>
                <w:sz w:val="16"/>
                <w:szCs w:val="16"/>
              </w:rPr>
              <w:t>Property</w:t>
            </w:r>
          </w:p>
        </w:tc>
        <w:tc>
          <w:tcPr>
            <w:tcW w:w="1311" w:type="pct"/>
            <w:tcBorders>
              <w:top w:val="single" w:sz="4" w:space="0" w:color="auto"/>
              <w:bottom w:val="single" w:sz="4" w:space="0" w:color="auto"/>
            </w:tcBorders>
          </w:tcPr>
          <w:p w14:paraId="068ACF2D" w14:textId="33874868" w:rsidR="00DE196A" w:rsidRPr="00D82BC9" w:rsidRDefault="00DE196A" w:rsidP="00550360">
            <w:pPr>
              <w:ind w:firstLine="0"/>
              <w:jc w:val="center"/>
              <w:rPr>
                <w:b/>
                <w:sz w:val="16"/>
                <w:szCs w:val="16"/>
              </w:rPr>
            </w:pPr>
            <w:r>
              <w:rPr>
                <w:b/>
                <w:sz w:val="16"/>
                <w:szCs w:val="16"/>
              </w:rPr>
              <w:t>PA66/GF (30 %</w:t>
            </w:r>
            <w:r w:rsidR="00DA060E">
              <w:rPr>
                <w:b/>
                <w:sz w:val="16"/>
                <w:szCs w:val="16"/>
              </w:rPr>
              <w:t xml:space="preserve"> </w:t>
            </w:r>
            <w:proofErr w:type="spellStart"/>
            <w:r>
              <w:rPr>
                <w:b/>
                <w:sz w:val="16"/>
                <w:szCs w:val="16"/>
              </w:rPr>
              <w:t>wt</w:t>
            </w:r>
            <w:proofErr w:type="spellEnd"/>
            <w:r>
              <w:rPr>
                <w:b/>
                <w:sz w:val="16"/>
                <w:szCs w:val="16"/>
              </w:rPr>
              <w:t>)</w:t>
            </w:r>
          </w:p>
        </w:tc>
        <w:tc>
          <w:tcPr>
            <w:tcW w:w="1673" w:type="pct"/>
            <w:tcBorders>
              <w:top w:val="single" w:sz="4" w:space="0" w:color="auto"/>
              <w:bottom w:val="single" w:sz="4" w:space="0" w:color="auto"/>
            </w:tcBorders>
          </w:tcPr>
          <w:p w14:paraId="163AA5CD" w14:textId="77777777" w:rsidR="00DE196A" w:rsidRPr="00D82BC9" w:rsidRDefault="00DE196A" w:rsidP="00550360">
            <w:pPr>
              <w:ind w:firstLine="0"/>
              <w:jc w:val="center"/>
              <w:rPr>
                <w:b/>
                <w:sz w:val="16"/>
                <w:szCs w:val="16"/>
              </w:rPr>
            </w:pPr>
            <w:r>
              <w:rPr>
                <w:b/>
                <w:sz w:val="16"/>
                <w:szCs w:val="16"/>
              </w:rPr>
              <w:t>PA66</w:t>
            </w:r>
          </w:p>
        </w:tc>
      </w:tr>
      <w:tr w:rsidR="00DE196A" w14:paraId="4A4CE621" w14:textId="77777777" w:rsidTr="008F2677">
        <w:tc>
          <w:tcPr>
            <w:tcW w:w="2016" w:type="pct"/>
            <w:tcBorders>
              <w:top w:val="single" w:sz="4" w:space="0" w:color="auto"/>
            </w:tcBorders>
          </w:tcPr>
          <w:p w14:paraId="47901E1F" w14:textId="77777777" w:rsidR="00DE196A" w:rsidRDefault="00DE196A" w:rsidP="003A0873">
            <w:pPr>
              <w:tabs>
                <w:tab w:val="decimal" w:pos="1026"/>
              </w:tabs>
              <w:ind w:firstLine="0"/>
              <w:jc w:val="left"/>
              <w:rPr>
                <w:sz w:val="16"/>
                <w:szCs w:val="16"/>
              </w:rPr>
            </w:pPr>
            <w:r>
              <w:rPr>
                <w:sz w:val="16"/>
                <w:szCs w:val="16"/>
              </w:rPr>
              <w:t xml:space="preserve">Young modulus (E, </w:t>
            </w:r>
            <w:proofErr w:type="spellStart"/>
            <w:r>
              <w:rPr>
                <w:sz w:val="16"/>
                <w:szCs w:val="16"/>
              </w:rPr>
              <w:t>GPa</w:t>
            </w:r>
            <w:proofErr w:type="spellEnd"/>
            <w:r>
              <w:rPr>
                <w:sz w:val="16"/>
                <w:szCs w:val="16"/>
              </w:rPr>
              <w:t>)</w:t>
            </w:r>
          </w:p>
        </w:tc>
        <w:tc>
          <w:tcPr>
            <w:tcW w:w="1311" w:type="pct"/>
            <w:tcBorders>
              <w:top w:val="single" w:sz="4" w:space="0" w:color="auto"/>
            </w:tcBorders>
          </w:tcPr>
          <w:p w14:paraId="7EE05E5B" w14:textId="77777777" w:rsidR="00DE196A" w:rsidRDefault="00DE196A" w:rsidP="005B5AE7">
            <w:pPr>
              <w:tabs>
                <w:tab w:val="decimal" w:pos="738"/>
              </w:tabs>
              <w:ind w:firstLine="0"/>
              <w:jc w:val="left"/>
              <w:rPr>
                <w:sz w:val="16"/>
                <w:szCs w:val="16"/>
              </w:rPr>
            </w:pPr>
            <w:r>
              <w:rPr>
                <w:sz w:val="16"/>
                <w:szCs w:val="16"/>
              </w:rPr>
              <w:t>10.2 ± 0.5</w:t>
            </w:r>
          </w:p>
        </w:tc>
        <w:tc>
          <w:tcPr>
            <w:tcW w:w="1673" w:type="pct"/>
            <w:tcBorders>
              <w:top w:val="single" w:sz="4" w:space="0" w:color="auto"/>
            </w:tcBorders>
          </w:tcPr>
          <w:p w14:paraId="0090B3C3" w14:textId="77777777" w:rsidR="00DE196A" w:rsidRDefault="00DE196A" w:rsidP="005B5AE7">
            <w:pPr>
              <w:tabs>
                <w:tab w:val="decimal" w:pos="1101"/>
              </w:tabs>
              <w:ind w:firstLine="0"/>
              <w:jc w:val="left"/>
              <w:rPr>
                <w:sz w:val="16"/>
                <w:szCs w:val="16"/>
              </w:rPr>
            </w:pPr>
            <w:r>
              <w:rPr>
                <w:sz w:val="16"/>
                <w:szCs w:val="16"/>
              </w:rPr>
              <w:t>2.6 ± 0.2</w:t>
            </w:r>
          </w:p>
        </w:tc>
      </w:tr>
      <w:tr w:rsidR="00DE196A" w14:paraId="432DDA28" w14:textId="77777777" w:rsidTr="008F2677">
        <w:tc>
          <w:tcPr>
            <w:tcW w:w="2016" w:type="pct"/>
          </w:tcPr>
          <w:p w14:paraId="032552DD" w14:textId="77777777" w:rsidR="00DE196A" w:rsidRDefault="00DE196A" w:rsidP="005551AB">
            <w:pPr>
              <w:tabs>
                <w:tab w:val="decimal" w:pos="0"/>
              </w:tabs>
              <w:ind w:firstLine="0"/>
              <w:jc w:val="left"/>
              <w:rPr>
                <w:sz w:val="16"/>
                <w:szCs w:val="16"/>
              </w:rPr>
            </w:pPr>
            <w:r>
              <w:rPr>
                <w:sz w:val="16"/>
                <w:szCs w:val="16"/>
              </w:rPr>
              <w:t>Density (d, g/cc)</w:t>
            </w:r>
          </w:p>
        </w:tc>
        <w:tc>
          <w:tcPr>
            <w:tcW w:w="1311" w:type="pct"/>
          </w:tcPr>
          <w:p w14:paraId="49E8A32E" w14:textId="77777777" w:rsidR="00DE196A" w:rsidRDefault="00DE196A" w:rsidP="005B5AE7">
            <w:pPr>
              <w:tabs>
                <w:tab w:val="decimal" w:pos="738"/>
              </w:tabs>
              <w:ind w:firstLine="0"/>
              <w:jc w:val="left"/>
              <w:rPr>
                <w:sz w:val="16"/>
                <w:szCs w:val="16"/>
              </w:rPr>
            </w:pPr>
            <w:r>
              <w:rPr>
                <w:sz w:val="16"/>
                <w:szCs w:val="16"/>
              </w:rPr>
              <w:t>1.32 ± 0.03</w:t>
            </w:r>
          </w:p>
        </w:tc>
        <w:tc>
          <w:tcPr>
            <w:tcW w:w="1673" w:type="pct"/>
          </w:tcPr>
          <w:p w14:paraId="7CC8ECB5" w14:textId="77777777" w:rsidR="00DE196A" w:rsidRDefault="00DE196A" w:rsidP="005B5AE7">
            <w:pPr>
              <w:tabs>
                <w:tab w:val="decimal" w:pos="1101"/>
              </w:tabs>
              <w:ind w:firstLine="0"/>
              <w:jc w:val="left"/>
              <w:rPr>
                <w:sz w:val="16"/>
                <w:szCs w:val="16"/>
              </w:rPr>
            </w:pPr>
            <w:bookmarkStart w:id="0" w:name="_GoBack"/>
            <w:bookmarkEnd w:id="0"/>
            <w:r>
              <w:rPr>
                <w:sz w:val="16"/>
                <w:szCs w:val="16"/>
              </w:rPr>
              <w:t>1.15 ± 0.02</w:t>
            </w:r>
          </w:p>
        </w:tc>
      </w:tr>
      <w:tr w:rsidR="00DE196A" w14:paraId="419C9424" w14:textId="77777777" w:rsidTr="008F2677">
        <w:tc>
          <w:tcPr>
            <w:tcW w:w="2016" w:type="pct"/>
            <w:tcBorders>
              <w:bottom w:val="single" w:sz="4" w:space="0" w:color="auto"/>
            </w:tcBorders>
          </w:tcPr>
          <w:p w14:paraId="51171ADB" w14:textId="77777777" w:rsidR="00DE196A" w:rsidRDefault="00DE196A" w:rsidP="003A0873">
            <w:pPr>
              <w:tabs>
                <w:tab w:val="decimal" w:pos="1026"/>
              </w:tabs>
              <w:ind w:firstLine="0"/>
              <w:jc w:val="left"/>
              <w:rPr>
                <w:sz w:val="16"/>
                <w:szCs w:val="16"/>
              </w:rPr>
            </w:pPr>
            <w:r>
              <w:rPr>
                <w:sz w:val="16"/>
                <w:szCs w:val="16"/>
              </w:rPr>
              <w:t>Glass transition temperature (</w:t>
            </w:r>
            <w:proofErr w:type="spellStart"/>
            <w:r>
              <w:rPr>
                <w:sz w:val="16"/>
                <w:szCs w:val="16"/>
              </w:rPr>
              <w:t>T</w:t>
            </w:r>
            <w:r w:rsidRPr="007160BF">
              <w:rPr>
                <w:sz w:val="16"/>
                <w:szCs w:val="16"/>
                <w:vertAlign w:val="subscript"/>
              </w:rPr>
              <w:t>g</w:t>
            </w:r>
            <w:proofErr w:type="spellEnd"/>
            <w:r>
              <w:rPr>
                <w:sz w:val="16"/>
                <w:szCs w:val="16"/>
              </w:rPr>
              <w:t>, °C)</w:t>
            </w:r>
          </w:p>
        </w:tc>
        <w:tc>
          <w:tcPr>
            <w:tcW w:w="1311" w:type="pct"/>
            <w:tcBorders>
              <w:bottom w:val="single" w:sz="4" w:space="0" w:color="auto"/>
            </w:tcBorders>
          </w:tcPr>
          <w:p w14:paraId="7E6E13BA" w14:textId="77777777" w:rsidR="00DE196A" w:rsidRDefault="00DE196A" w:rsidP="005B5AE7">
            <w:pPr>
              <w:tabs>
                <w:tab w:val="decimal" w:pos="738"/>
              </w:tabs>
              <w:ind w:firstLine="0"/>
              <w:jc w:val="left"/>
              <w:rPr>
                <w:sz w:val="16"/>
                <w:szCs w:val="16"/>
              </w:rPr>
            </w:pPr>
            <w:r>
              <w:rPr>
                <w:sz w:val="16"/>
                <w:szCs w:val="16"/>
              </w:rPr>
              <w:t>50 ± 2</w:t>
            </w:r>
          </w:p>
        </w:tc>
        <w:tc>
          <w:tcPr>
            <w:tcW w:w="1673" w:type="pct"/>
            <w:tcBorders>
              <w:bottom w:val="single" w:sz="4" w:space="0" w:color="auto"/>
            </w:tcBorders>
          </w:tcPr>
          <w:p w14:paraId="5FF7D468" w14:textId="77777777" w:rsidR="00DE196A" w:rsidRDefault="00DE196A" w:rsidP="005B5AE7">
            <w:pPr>
              <w:tabs>
                <w:tab w:val="decimal" w:pos="1101"/>
              </w:tabs>
              <w:ind w:firstLine="0"/>
              <w:jc w:val="left"/>
              <w:rPr>
                <w:sz w:val="16"/>
                <w:szCs w:val="16"/>
              </w:rPr>
            </w:pPr>
            <w:r>
              <w:rPr>
                <w:sz w:val="16"/>
                <w:szCs w:val="16"/>
              </w:rPr>
              <w:t>52 ± 3</w:t>
            </w:r>
          </w:p>
        </w:tc>
      </w:tr>
      <w:tr w:rsidR="00DE196A" w14:paraId="0BA0CAA7" w14:textId="77777777" w:rsidTr="008F2677">
        <w:tc>
          <w:tcPr>
            <w:tcW w:w="2016" w:type="pct"/>
            <w:tcBorders>
              <w:bottom w:val="single" w:sz="4" w:space="0" w:color="auto"/>
            </w:tcBorders>
          </w:tcPr>
          <w:p w14:paraId="2EEBF44F" w14:textId="77777777" w:rsidR="00DE196A" w:rsidRDefault="00DE196A" w:rsidP="003A0873">
            <w:pPr>
              <w:tabs>
                <w:tab w:val="decimal" w:pos="1026"/>
              </w:tabs>
              <w:ind w:firstLine="0"/>
              <w:jc w:val="left"/>
              <w:rPr>
                <w:sz w:val="16"/>
                <w:szCs w:val="16"/>
              </w:rPr>
            </w:pPr>
            <w:r>
              <w:rPr>
                <w:sz w:val="16"/>
                <w:szCs w:val="16"/>
              </w:rPr>
              <w:t>Strain at break (%)</w:t>
            </w:r>
          </w:p>
        </w:tc>
        <w:tc>
          <w:tcPr>
            <w:tcW w:w="1311" w:type="pct"/>
            <w:tcBorders>
              <w:bottom w:val="single" w:sz="4" w:space="0" w:color="auto"/>
            </w:tcBorders>
          </w:tcPr>
          <w:p w14:paraId="2D083C43" w14:textId="77777777" w:rsidR="00DE196A" w:rsidRDefault="00DE196A" w:rsidP="005B5AE7">
            <w:pPr>
              <w:tabs>
                <w:tab w:val="decimal" w:pos="738"/>
              </w:tabs>
              <w:ind w:firstLine="0"/>
              <w:jc w:val="left"/>
              <w:rPr>
                <w:sz w:val="16"/>
                <w:szCs w:val="16"/>
              </w:rPr>
            </w:pPr>
            <w:r>
              <w:rPr>
                <w:sz w:val="16"/>
                <w:szCs w:val="16"/>
              </w:rPr>
              <w:t>4 ± 0.2</w:t>
            </w:r>
          </w:p>
        </w:tc>
        <w:tc>
          <w:tcPr>
            <w:tcW w:w="1673" w:type="pct"/>
            <w:tcBorders>
              <w:bottom w:val="single" w:sz="4" w:space="0" w:color="auto"/>
            </w:tcBorders>
          </w:tcPr>
          <w:p w14:paraId="2FFCADB5" w14:textId="77777777" w:rsidR="00DE196A" w:rsidRDefault="00DE196A" w:rsidP="005B5AE7">
            <w:pPr>
              <w:tabs>
                <w:tab w:val="decimal" w:pos="1101"/>
              </w:tabs>
              <w:ind w:firstLine="0"/>
              <w:jc w:val="left"/>
              <w:rPr>
                <w:sz w:val="16"/>
                <w:szCs w:val="16"/>
              </w:rPr>
            </w:pPr>
            <w:r>
              <w:rPr>
                <w:sz w:val="16"/>
                <w:szCs w:val="16"/>
              </w:rPr>
              <w:t>5 ± 0.5</w:t>
            </w:r>
          </w:p>
        </w:tc>
      </w:tr>
      <w:tr w:rsidR="00DE196A" w14:paraId="73C237AD" w14:textId="77777777" w:rsidTr="008F2677">
        <w:tc>
          <w:tcPr>
            <w:tcW w:w="2016" w:type="pct"/>
            <w:tcBorders>
              <w:bottom w:val="single" w:sz="4" w:space="0" w:color="auto"/>
            </w:tcBorders>
          </w:tcPr>
          <w:p w14:paraId="328B309A" w14:textId="77777777" w:rsidR="00DE196A" w:rsidRDefault="00DE196A" w:rsidP="003A0873">
            <w:pPr>
              <w:tabs>
                <w:tab w:val="decimal" w:pos="1026"/>
              </w:tabs>
              <w:ind w:firstLine="0"/>
              <w:jc w:val="left"/>
              <w:rPr>
                <w:sz w:val="16"/>
                <w:szCs w:val="16"/>
              </w:rPr>
            </w:pPr>
            <w:r>
              <w:rPr>
                <w:sz w:val="16"/>
                <w:szCs w:val="16"/>
              </w:rPr>
              <w:t>Stress at break (MPa)</w:t>
            </w:r>
          </w:p>
        </w:tc>
        <w:tc>
          <w:tcPr>
            <w:tcW w:w="1311" w:type="pct"/>
            <w:tcBorders>
              <w:bottom w:val="single" w:sz="4" w:space="0" w:color="auto"/>
            </w:tcBorders>
          </w:tcPr>
          <w:p w14:paraId="20D445CF" w14:textId="77777777" w:rsidR="00DE196A" w:rsidRDefault="00DE196A" w:rsidP="005B5AE7">
            <w:pPr>
              <w:tabs>
                <w:tab w:val="decimal" w:pos="738"/>
              </w:tabs>
              <w:ind w:firstLine="0"/>
              <w:jc w:val="left"/>
              <w:rPr>
                <w:sz w:val="16"/>
                <w:szCs w:val="16"/>
              </w:rPr>
            </w:pPr>
            <w:r>
              <w:rPr>
                <w:sz w:val="16"/>
                <w:szCs w:val="16"/>
              </w:rPr>
              <w:t>189 ± 6</w:t>
            </w:r>
          </w:p>
        </w:tc>
        <w:tc>
          <w:tcPr>
            <w:tcW w:w="1673" w:type="pct"/>
            <w:tcBorders>
              <w:bottom w:val="single" w:sz="4" w:space="0" w:color="auto"/>
            </w:tcBorders>
          </w:tcPr>
          <w:p w14:paraId="0A86E314" w14:textId="77777777" w:rsidR="00DE196A" w:rsidRDefault="00DE196A" w:rsidP="005B5AE7">
            <w:pPr>
              <w:tabs>
                <w:tab w:val="decimal" w:pos="1101"/>
              </w:tabs>
              <w:ind w:firstLine="0"/>
              <w:jc w:val="left"/>
              <w:rPr>
                <w:sz w:val="16"/>
                <w:szCs w:val="16"/>
              </w:rPr>
            </w:pPr>
            <w:r>
              <w:rPr>
                <w:sz w:val="16"/>
                <w:szCs w:val="16"/>
              </w:rPr>
              <w:t>81 ± 4</w:t>
            </w:r>
          </w:p>
        </w:tc>
      </w:tr>
    </w:tbl>
    <w:p w14:paraId="4767F798" w14:textId="38B4A172" w:rsidR="00086579" w:rsidRPr="00086579" w:rsidRDefault="00DE196A" w:rsidP="000932DB">
      <w:pPr>
        <w:spacing w:before="60"/>
        <w:rPr>
          <w:lang w:val="en-GB"/>
        </w:rPr>
      </w:pPr>
      <w:r>
        <w:t xml:space="preserve">As seen from this Table, the </w:t>
      </w:r>
      <w:r w:rsidRPr="007160BF">
        <w:t xml:space="preserve">predicted glass transition temperature </w:t>
      </w:r>
      <w:r>
        <w:t>(</w:t>
      </w:r>
      <w:proofErr w:type="spellStart"/>
      <w:r>
        <w:t>T</w:t>
      </w:r>
      <w:r w:rsidRPr="005E67D9">
        <w:rPr>
          <w:vertAlign w:val="subscript"/>
        </w:rPr>
        <w:t>g</w:t>
      </w:r>
      <w:proofErr w:type="spellEnd"/>
      <w:r>
        <w:t xml:space="preserve">) </w:t>
      </w:r>
      <w:r w:rsidRPr="007160BF">
        <w:t xml:space="preserve">of the thermoplastic </w:t>
      </w:r>
      <w:r>
        <w:t xml:space="preserve">PA66 (52 </w:t>
      </w:r>
      <w:r w:rsidRPr="00AC6713">
        <w:rPr>
          <w:szCs w:val="20"/>
        </w:rPr>
        <w:t>°C</w:t>
      </w:r>
      <w:r>
        <w:t xml:space="preserve">) </w:t>
      </w:r>
      <w:r w:rsidRPr="007160BF">
        <w:t xml:space="preserve">is </w:t>
      </w:r>
      <w:r>
        <w:t xml:space="preserve">practically unaffected </w:t>
      </w:r>
      <w:r w:rsidRPr="007160BF">
        <w:t xml:space="preserve">by the </w:t>
      </w:r>
      <w:r>
        <w:t>30%</w:t>
      </w:r>
      <w:r w:rsidR="00DA060E">
        <w:t xml:space="preserve"> </w:t>
      </w:r>
      <w:proofErr w:type="spellStart"/>
      <w:r>
        <w:t>wt</w:t>
      </w:r>
      <w:proofErr w:type="spellEnd"/>
      <w:r>
        <w:t xml:space="preserve"> GF</w:t>
      </w:r>
      <w:r w:rsidRPr="007160BF">
        <w:t xml:space="preserve"> dispersion</w:t>
      </w:r>
      <w:r>
        <w:t xml:space="preserve"> (50 </w:t>
      </w:r>
      <w:r w:rsidRPr="00AC6713">
        <w:rPr>
          <w:szCs w:val="20"/>
        </w:rPr>
        <w:t>°C</w:t>
      </w:r>
      <w:r>
        <w:rPr>
          <w:sz w:val="16"/>
          <w:szCs w:val="16"/>
        </w:rPr>
        <w:t>)</w:t>
      </w:r>
      <w:r>
        <w:t xml:space="preserve">, as is the value of the strain at break (0.05 and 0.04, respectively). On the contrary, the addition of GF to the PA66 matrix results in an increase of both the maximum strain at break (189 MPa) and the Young modulus (10.2 </w:t>
      </w:r>
      <w:proofErr w:type="spellStart"/>
      <w:r>
        <w:t>GPa</w:t>
      </w:r>
      <w:proofErr w:type="spellEnd"/>
      <w:r>
        <w:t>) values.</w:t>
      </w:r>
    </w:p>
    <w:p w14:paraId="2333EEDE" w14:textId="77777777" w:rsidR="004B49D8" w:rsidRPr="00F0142E" w:rsidRDefault="004B49D8" w:rsidP="004B49D8">
      <w:pPr>
        <w:pStyle w:val="Heading1"/>
        <w:rPr>
          <w:lang w:val="en-GB"/>
        </w:rPr>
      </w:pPr>
      <w:r w:rsidRPr="00F0142E">
        <w:rPr>
          <w:lang w:val="en-GB"/>
        </w:rPr>
        <w:t>Case study</w:t>
      </w:r>
    </w:p>
    <w:p w14:paraId="1A5F7D0A" w14:textId="525AD361" w:rsidR="00CA07AC" w:rsidRPr="00F0142E" w:rsidRDefault="00CA07AC" w:rsidP="00CA07AC">
      <w:pPr>
        <w:pStyle w:val="NoindentNormal"/>
        <w:rPr>
          <w:lang w:val="en-GB"/>
        </w:rPr>
      </w:pPr>
      <w:r w:rsidRPr="00F0142E">
        <w:rPr>
          <w:lang w:val="en-GB"/>
        </w:rPr>
        <w:t>The cylinder head cover of a four-stroke marine engine (Fig</w:t>
      </w:r>
      <w:r w:rsidR="00F57A73">
        <w:rPr>
          <w:lang w:val="en-GB"/>
        </w:rPr>
        <w:t>ure</w:t>
      </w:r>
      <w:r w:rsidR="00082279">
        <w:rPr>
          <w:lang w:val="en-GB"/>
        </w:rPr>
        <w:t xml:space="preserve"> 2</w:t>
      </w:r>
      <w:r w:rsidRPr="00F0142E">
        <w:rPr>
          <w:lang w:val="en-GB"/>
        </w:rPr>
        <w:t>)</w:t>
      </w:r>
      <w:r w:rsidR="009A7EBD">
        <w:rPr>
          <w:lang w:val="en-GB"/>
        </w:rPr>
        <w:t>, currently made of aluminium,</w:t>
      </w:r>
      <w:r w:rsidRPr="00F0142E">
        <w:rPr>
          <w:lang w:val="en-GB"/>
        </w:rPr>
        <w:t xml:space="preserve"> has been considered to carry ou</w:t>
      </w:r>
      <w:r w:rsidR="00F33B0A">
        <w:rPr>
          <w:lang w:val="en-GB"/>
        </w:rPr>
        <w:t>t the finite element simulation</w:t>
      </w:r>
      <w:r w:rsidRPr="00F0142E">
        <w:rPr>
          <w:lang w:val="en-GB"/>
        </w:rPr>
        <w:t>.</w:t>
      </w:r>
    </w:p>
    <w:p w14:paraId="5C4C998F" w14:textId="0FDFD6CA" w:rsidR="00CA07AC" w:rsidRDefault="009A7EBD" w:rsidP="007C3880">
      <w:pPr>
        <w:spacing w:after="60"/>
        <w:rPr>
          <w:lang w:val="en-GB"/>
        </w:rPr>
      </w:pPr>
      <w:r>
        <w:rPr>
          <w:lang w:val="en-GB"/>
        </w:rPr>
        <w:t xml:space="preserve">This component </w:t>
      </w:r>
      <w:r w:rsidR="00CA07AC" w:rsidRPr="00F0142E">
        <w:rPr>
          <w:lang w:val="en-GB"/>
        </w:rPr>
        <w:t>can be classified as a non-structural element, since its main purpose is to protect the mechanical tappets and the injectors from external dust and contain any oil losses from valve mechanisms. Normally, the cylinder head cover is not subjected to static and dynamic loads except during maintenance and inspection operations. However, the component could be exposed to acid substances in both liquid and aerial form and has to face with a variable thermal load.</w:t>
      </w:r>
    </w:p>
    <w:p w14:paraId="36291B57" w14:textId="77777777" w:rsidR="00CA07AC" w:rsidRPr="0050682B" w:rsidRDefault="00CA07AC" w:rsidP="00CA07AC">
      <w:pPr>
        <w:pStyle w:val="Heading2"/>
        <w:rPr>
          <w:lang w:val="en-GB"/>
        </w:rPr>
      </w:pPr>
      <w:r w:rsidRPr="0050682B">
        <w:rPr>
          <w:lang w:val="en-GB"/>
        </w:rPr>
        <w:t>Cylinder head cover model</w:t>
      </w:r>
    </w:p>
    <w:p w14:paraId="7D95D00F" w14:textId="75F8F592" w:rsidR="00B54295" w:rsidRDefault="001B4C95" w:rsidP="007C3880">
      <w:pPr>
        <w:ind w:firstLine="0"/>
        <w:rPr>
          <w:lang w:val="en-GB"/>
        </w:rPr>
      </w:pPr>
      <w:r>
        <w:rPr>
          <w:lang w:val="en-GB"/>
        </w:rPr>
        <w:t>On the basis of the res</w:t>
      </w:r>
      <w:r w:rsidR="001032BC">
        <w:rPr>
          <w:lang w:val="en-GB"/>
        </w:rPr>
        <w:t>ults obtained from the computer-</w:t>
      </w:r>
      <w:r>
        <w:rPr>
          <w:lang w:val="en-GB"/>
        </w:rPr>
        <w:t xml:space="preserve">assisted </w:t>
      </w:r>
      <w:r w:rsidR="001032BC">
        <w:rPr>
          <w:lang w:val="en-GB"/>
        </w:rPr>
        <w:t xml:space="preserve">multiscale </w:t>
      </w:r>
      <w:r>
        <w:rPr>
          <w:lang w:val="en-GB"/>
        </w:rPr>
        <w:t xml:space="preserve">material design, the </w:t>
      </w:r>
      <w:r w:rsidR="00DA060E">
        <w:rPr>
          <w:lang w:val="en-GB"/>
        </w:rPr>
        <w:t xml:space="preserve">PA66/GF (30% </w:t>
      </w:r>
      <w:proofErr w:type="spellStart"/>
      <w:r w:rsidR="00DA060E">
        <w:rPr>
          <w:lang w:val="en-GB"/>
        </w:rPr>
        <w:t>wt</w:t>
      </w:r>
      <w:proofErr w:type="spellEnd"/>
      <w:r w:rsidR="00DA060E">
        <w:rPr>
          <w:lang w:val="en-GB"/>
        </w:rPr>
        <w:t xml:space="preserve">) has been selected to perform the finite element simulation. </w:t>
      </w:r>
      <w:r w:rsidR="00F33B0A">
        <w:rPr>
          <w:lang w:val="en-GB"/>
        </w:rPr>
        <w:t>The application of the new material to t</w:t>
      </w:r>
      <w:r w:rsidR="00CA07AC" w:rsidRPr="0050682B">
        <w:rPr>
          <w:lang w:val="en-GB"/>
        </w:rPr>
        <w:t>he</w:t>
      </w:r>
      <w:r w:rsidR="009B3E09" w:rsidRPr="0050682B">
        <w:rPr>
          <w:lang w:val="en-GB"/>
        </w:rPr>
        <w:t xml:space="preserve"> cylinder</w:t>
      </w:r>
      <w:r w:rsidR="00CA07AC" w:rsidRPr="0050682B">
        <w:rPr>
          <w:lang w:val="en-GB"/>
        </w:rPr>
        <w:t xml:space="preserve"> head cover</w:t>
      </w:r>
      <w:r w:rsidR="00F33B0A">
        <w:rPr>
          <w:lang w:val="en-GB"/>
        </w:rPr>
        <w:t xml:space="preserve"> has required the redesign of the component; this phase has been carried out with the aim </w:t>
      </w:r>
      <w:r w:rsidR="00800F65" w:rsidRPr="0050682B">
        <w:rPr>
          <w:lang w:val="en-GB"/>
        </w:rPr>
        <w:t>to both ensure the same structural resistance and simplify the cover removal procedure, maintaining the same fixing points of the current element in order not to modify the engine head configuration.</w:t>
      </w:r>
    </w:p>
    <w:p w14:paraId="6AF1E490" w14:textId="75104B26" w:rsidR="00534B68" w:rsidRDefault="00534B68" w:rsidP="00534B68">
      <w:pPr>
        <w:ind w:firstLine="0"/>
        <w:jc w:val="center"/>
        <w:rPr>
          <w:lang w:val="en-GB"/>
        </w:rPr>
      </w:pPr>
      <w:r>
        <w:rPr>
          <w:noProof/>
          <w:lang w:val="it-IT" w:eastAsia="it-IT"/>
        </w:rPr>
        <w:drawing>
          <wp:inline distT="0" distB="0" distL="0" distR="0" wp14:anchorId="3AEE140D" wp14:editId="0526478C">
            <wp:extent cx="2106000" cy="1872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6000" cy="1872000"/>
                    </a:xfrm>
                    <a:prstGeom prst="rect">
                      <a:avLst/>
                    </a:prstGeom>
                  </pic:spPr>
                </pic:pic>
              </a:graphicData>
            </a:graphic>
          </wp:inline>
        </w:drawing>
      </w:r>
    </w:p>
    <w:p w14:paraId="70A96844" w14:textId="77777777" w:rsidR="00534B68" w:rsidRPr="006E4480" w:rsidRDefault="00534B68" w:rsidP="00534B68">
      <w:pPr>
        <w:pStyle w:val="Caption"/>
        <w:jc w:val="center"/>
        <w:rPr>
          <w:lang w:val="en-GB"/>
        </w:rPr>
      </w:pPr>
      <w:r w:rsidRPr="0050682B">
        <w:rPr>
          <w:b/>
          <w:lang w:val="en-GB"/>
        </w:rPr>
        <w:t xml:space="preserve">Figure </w:t>
      </w:r>
      <w:r>
        <w:rPr>
          <w:b/>
          <w:lang w:val="en-GB"/>
        </w:rPr>
        <w:t>2</w:t>
      </w:r>
      <w:r w:rsidRPr="0050682B">
        <w:rPr>
          <w:b/>
          <w:lang w:val="en-GB"/>
        </w:rPr>
        <w:t xml:space="preserve">. </w:t>
      </w:r>
      <w:r w:rsidRPr="0050682B">
        <w:rPr>
          <w:lang w:val="en-GB"/>
        </w:rPr>
        <w:t xml:space="preserve">Aluminium </w:t>
      </w:r>
      <w:r w:rsidRPr="0050682B">
        <w:rPr>
          <w:b/>
          <w:lang w:val="en-GB"/>
        </w:rPr>
        <w:t>c</w:t>
      </w:r>
      <w:r>
        <w:rPr>
          <w:lang w:val="en-GB"/>
        </w:rPr>
        <w:t>ylinder head cover.</w:t>
      </w:r>
    </w:p>
    <w:p w14:paraId="0A47756A" w14:textId="07379181" w:rsidR="00B54295" w:rsidRDefault="00800F65" w:rsidP="00A20129">
      <w:pPr>
        <w:rPr>
          <w:lang w:val="en-GB"/>
        </w:rPr>
      </w:pPr>
      <w:r w:rsidRPr="0050682B">
        <w:rPr>
          <w:lang w:val="en-GB"/>
        </w:rPr>
        <w:lastRenderedPageBreak/>
        <w:t>The new model</w:t>
      </w:r>
      <w:r w:rsidR="00CA07AC" w:rsidRPr="0050682B">
        <w:rPr>
          <w:lang w:val="en-GB"/>
        </w:rPr>
        <w:t xml:space="preserve"> presents two main parts, an </w:t>
      </w:r>
      <w:r w:rsidR="00F0142E" w:rsidRPr="0050682B">
        <w:rPr>
          <w:lang w:val="en-GB"/>
        </w:rPr>
        <w:t>aluminium</w:t>
      </w:r>
      <w:r w:rsidR="00CA07AC" w:rsidRPr="0050682B">
        <w:rPr>
          <w:lang w:val="en-GB"/>
        </w:rPr>
        <w:t xml:space="preserve"> collar</w:t>
      </w:r>
      <w:r w:rsidR="00CA07AC" w:rsidRPr="00F0142E">
        <w:rPr>
          <w:lang w:val="en-GB"/>
        </w:rPr>
        <w:t xml:space="preserve"> </w:t>
      </w:r>
      <w:r w:rsidR="00CA07AC" w:rsidRPr="0050682B">
        <w:rPr>
          <w:lang w:val="en-GB"/>
        </w:rPr>
        <w:t>plate and a plastic lid. The collar plate has the aim to fix the cover to the engine hotbox through five bolts.</w:t>
      </w:r>
      <w:r w:rsidR="009B3E09" w:rsidRPr="0050682B">
        <w:rPr>
          <w:lang w:val="en-GB"/>
        </w:rPr>
        <w:t xml:space="preserve"> The cover lid is the element with the purpose of protecting the mechanisms of the cylinders. </w:t>
      </w:r>
      <w:r w:rsidR="00CA07AC" w:rsidRPr="0050682B">
        <w:rPr>
          <w:lang w:val="en-GB"/>
        </w:rPr>
        <w:t xml:space="preserve">The internal face of the </w:t>
      </w:r>
      <w:r w:rsidR="009B3E09" w:rsidRPr="0050682B">
        <w:rPr>
          <w:lang w:val="en-GB"/>
        </w:rPr>
        <w:t>l</w:t>
      </w:r>
      <w:r w:rsidR="00CA07AC" w:rsidRPr="0050682B">
        <w:rPr>
          <w:lang w:val="en-GB"/>
        </w:rPr>
        <w:t>id is equipped with a grid in order to ensure the structural integrity. The reinforcements run along all the interior length of the element, creating a “U” shape without interruptions, and are connected to the cover frame in order to redistribute the load on the whole perimeter.</w:t>
      </w:r>
      <w:r w:rsidR="00A20129">
        <w:rPr>
          <w:lang w:val="en-GB"/>
        </w:rPr>
        <w:t xml:space="preserve"> Furthermore, in order to simplify the cover removal, the model presents two handles on the top of the lid.</w:t>
      </w:r>
    </w:p>
    <w:p w14:paraId="4E21FFF5" w14:textId="539E1562" w:rsidR="00CA07AC" w:rsidRPr="0050682B" w:rsidRDefault="00CA07AC" w:rsidP="00CA07AC">
      <w:pPr>
        <w:pStyle w:val="Heading2"/>
        <w:rPr>
          <w:lang w:val="en-GB"/>
        </w:rPr>
      </w:pPr>
      <w:r w:rsidRPr="0050682B">
        <w:rPr>
          <w:lang w:val="en-GB"/>
        </w:rPr>
        <w:t>Finite element simulation</w:t>
      </w:r>
    </w:p>
    <w:p w14:paraId="2DCBAC10" w14:textId="77FEB826" w:rsidR="00842AD3" w:rsidRPr="0050682B" w:rsidRDefault="00CA07AC" w:rsidP="007C3880">
      <w:pPr>
        <w:pStyle w:val="NoindentNormal"/>
        <w:rPr>
          <w:lang w:val="en-GB" w:eastAsia="en-US"/>
        </w:rPr>
      </w:pPr>
      <w:r w:rsidRPr="0050682B">
        <w:rPr>
          <w:lang w:val="en-GB" w:eastAsia="en-US"/>
        </w:rPr>
        <w:t xml:space="preserve">The model has been meshed through an unstructured grid employing tetrahedral solid elements. </w:t>
      </w:r>
      <w:r w:rsidR="00842AD3" w:rsidRPr="0050682B">
        <w:rPr>
          <w:lang w:val="en-GB" w:eastAsia="en-US"/>
        </w:rPr>
        <w:t xml:space="preserve">The mesh has been intensified in proximity of geometry changes and in correspondences of curves. </w:t>
      </w:r>
      <w:r w:rsidR="00470902">
        <w:rPr>
          <w:lang w:val="en-GB" w:eastAsia="en-US"/>
        </w:rPr>
        <w:t xml:space="preserve">The maximum size of the single element has been set equal to the maximum plastic thickness. </w:t>
      </w:r>
    </w:p>
    <w:p w14:paraId="096540F6" w14:textId="006B7837" w:rsidR="00CA07AC" w:rsidRPr="0050682B" w:rsidRDefault="00842AD3" w:rsidP="00CA07AC">
      <w:pPr>
        <w:pStyle w:val="NoindentNormal"/>
        <w:ind w:firstLine="357"/>
        <w:rPr>
          <w:lang w:val="en-GB" w:eastAsia="en-US"/>
        </w:rPr>
      </w:pPr>
      <w:r w:rsidRPr="0050682B">
        <w:rPr>
          <w:lang w:val="en-GB" w:eastAsia="en-US"/>
        </w:rPr>
        <w:t>The model has been considered as totally supported since the cylinder head cover is normally fixed to the engine hotbox. The</w:t>
      </w:r>
      <w:r w:rsidR="006E1A3E" w:rsidRPr="0050682B">
        <w:rPr>
          <w:lang w:val="en-GB" w:eastAsia="en-US"/>
        </w:rPr>
        <w:t xml:space="preserve"> </w:t>
      </w:r>
      <w:r w:rsidRPr="0050682B">
        <w:rPr>
          <w:lang w:val="en-GB" w:eastAsia="en-US"/>
        </w:rPr>
        <w:t xml:space="preserve">constraint has been applied on the lower face of the collar plate and </w:t>
      </w:r>
      <w:r w:rsidR="006E1A3E" w:rsidRPr="0050682B">
        <w:rPr>
          <w:lang w:val="en-GB" w:eastAsia="en-US"/>
        </w:rPr>
        <w:t>blocks all the</w:t>
      </w:r>
      <w:r w:rsidRPr="0050682B">
        <w:rPr>
          <w:lang w:val="en-GB" w:eastAsia="en-US"/>
        </w:rPr>
        <w:t xml:space="preserve"> </w:t>
      </w:r>
      <w:r w:rsidR="006E1A3E" w:rsidRPr="0050682B">
        <w:rPr>
          <w:lang w:val="en-GB" w:eastAsia="en-US"/>
        </w:rPr>
        <w:t>degrees of freedom. Furthermore, sliding and separation between faces have been avoided through considering all the surfaces in contact.</w:t>
      </w:r>
    </w:p>
    <w:p w14:paraId="25ED623C" w14:textId="3715C416" w:rsidR="00D448D5" w:rsidRDefault="001F0EC6" w:rsidP="007C3880">
      <w:pPr>
        <w:spacing w:after="60"/>
        <w:rPr>
          <w:lang w:val="en-GB" w:eastAsia="en-US"/>
        </w:rPr>
      </w:pPr>
      <w:r w:rsidRPr="0050682B">
        <w:rPr>
          <w:lang w:val="en-GB" w:eastAsia="en-US"/>
        </w:rPr>
        <w:t>The model has been tested under the application of a static load.</w:t>
      </w:r>
      <w:r w:rsidR="00A57359">
        <w:rPr>
          <w:lang w:val="en-GB" w:eastAsia="en-US"/>
        </w:rPr>
        <w:t xml:space="preserve"> In particular, the load case analysed considers </w:t>
      </w:r>
      <w:r w:rsidR="00A20129">
        <w:rPr>
          <w:lang w:val="en-GB" w:eastAsia="en-US"/>
        </w:rPr>
        <w:t>a load applied on the lid of the cover. This analysis has the aim to simulate maintenance and inspection operations, in which a surveyor is supposed to walk on the cover. In order to represent this situation, a</w:t>
      </w:r>
      <w:r w:rsidR="00B4099E">
        <w:rPr>
          <w:lang w:val="en-GB" w:eastAsia="en-US"/>
        </w:rPr>
        <w:t xml:space="preserve"> vertical</w:t>
      </w:r>
      <w:r w:rsidR="00A20129">
        <w:rPr>
          <w:lang w:val="en-GB" w:eastAsia="en-US"/>
        </w:rPr>
        <w:t xml:space="preserve"> load equal </w:t>
      </w:r>
      <w:r w:rsidR="00C26904">
        <w:rPr>
          <w:lang w:val="en-GB" w:eastAsia="en-US"/>
        </w:rPr>
        <w:t xml:space="preserve">to 200 kg has been applied, distributed equally on the footprints </w:t>
      </w:r>
      <w:r w:rsidR="00F57A73">
        <w:rPr>
          <w:lang w:val="en-GB" w:eastAsia="en-US"/>
        </w:rPr>
        <w:t>(Figure 3).</w:t>
      </w:r>
    </w:p>
    <w:p w14:paraId="1D77D727" w14:textId="30754152" w:rsidR="00D448D5" w:rsidRDefault="00C26904" w:rsidP="001846CD">
      <w:pPr>
        <w:ind w:firstLine="0"/>
        <w:jc w:val="center"/>
        <w:rPr>
          <w:lang w:val="en-GB" w:eastAsia="en-US"/>
        </w:rPr>
      </w:pPr>
      <w:r>
        <w:rPr>
          <w:noProof/>
          <w:lang w:val="it-IT" w:eastAsia="it-IT"/>
        </w:rPr>
        <w:drawing>
          <wp:inline distT="0" distB="0" distL="0" distR="0" wp14:anchorId="1D57AE33" wp14:editId="6978DA31">
            <wp:extent cx="3715200" cy="17280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Carich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5200" cy="1728000"/>
                    </a:xfrm>
                    <a:prstGeom prst="rect">
                      <a:avLst/>
                    </a:prstGeom>
                  </pic:spPr>
                </pic:pic>
              </a:graphicData>
            </a:graphic>
          </wp:inline>
        </w:drawing>
      </w:r>
    </w:p>
    <w:p w14:paraId="28D935B2" w14:textId="01014F6D" w:rsidR="00B4099E" w:rsidRPr="00B4099E" w:rsidRDefault="00B4099E" w:rsidP="005B15EB">
      <w:pPr>
        <w:spacing w:before="80" w:after="80"/>
        <w:ind w:firstLine="0"/>
        <w:jc w:val="center"/>
        <w:rPr>
          <w:b/>
          <w:sz w:val="16"/>
          <w:lang w:val="en-GB"/>
        </w:rPr>
      </w:pPr>
      <w:r w:rsidRPr="00B4099E">
        <w:rPr>
          <w:b/>
          <w:sz w:val="16"/>
          <w:lang w:val="en-GB"/>
        </w:rPr>
        <w:t xml:space="preserve">Figure </w:t>
      </w:r>
      <w:r>
        <w:rPr>
          <w:b/>
          <w:sz w:val="16"/>
          <w:lang w:val="en-GB"/>
        </w:rPr>
        <w:t>3</w:t>
      </w:r>
      <w:r w:rsidRPr="00B4099E">
        <w:rPr>
          <w:b/>
          <w:sz w:val="16"/>
          <w:lang w:val="en-GB"/>
        </w:rPr>
        <w:t xml:space="preserve">. </w:t>
      </w:r>
      <w:r w:rsidR="00533D80">
        <w:rPr>
          <w:sz w:val="16"/>
          <w:lang w:val="en-GB"/>
        </w:rPr>
        <w:t>Load case.</w:t>
      </w:r>
    </w:p>
    <w:p w14:paraId="63152C58" w14:textId="170E71B9" w:rsidR="001846CD" w:rsidRDefault="00D448D5" w:rsidP="00640EAA">
      <w:pPr>
        <w:pStyle w:val="Heading2"/>
        <w:rPr>
          <w:lang w:val="en-GB" w:eastAsia="en-US"/>
        </w:rPr>
      </w:pPr>
      <w:r w:rsidRPr="00A8765C">
        <w:rPr>
          <w:lang w:val="en-GB" w:eastAsia="en-US"/>
        </w:rPr>
        <w:t>Results</w:t>
      </w:r>
    </w:p>
    <w:p w14:paraId="0DDE110B" w14:textId="77777777" w:rsidR="007C3880" w:rsidRDefault="007C3880" w:rsidP="00533D80">
      <w:pPr>
        <w:ind w:firstLine="0"/>
      </w:pPr>
      <w:r>
        <w:t xml:space="preserve">The results obtained from the FEM </w:t>
      </w:r>
      <w:r w:rsidR="005B15EB">
        <w:t xml:space="preserve">simulation are reported </w:t>
      </w:r>
      <w:r>
        <w:t xml:space="preserve">in Table 2. </w:t>
      </w:r>
      <w:r w:rsidR="005B15EB">
        <w:t xml:space="preserve">The maximum displacement is limited and located at the center of the cover lid and the maximum stress and strain results are </w:t>
      </w:r>
      <w:r w:rsidR="0040339B">
        <w:t>far</w:t>
      </w:r>
      <w:r w:rsidR="005B15EB">
        <w:t xml:space="preserve"> lower than the acceptable limits.</w:t>
      </w:r>
    </w:p>
    <w:p w14:paraId="75302D63" w14:textId="5BC9FFD4" w:rsidR="00605D38" w:rsidRDefault="00605D38" w:rsidP="00F9550A">
      <w:pPr>
        <w:pStyle w:val="CaptionLong"/>
        <w:jc w:val="center"/>
      </w:pPr>
      <w:r>
        <w:rPr>
          <w:b/>
        </w:rPr>
        <w:t>Table 2.</w:t>
      </w:r>
      <w:r>
        <w:t xml:space="preserve"> </w:t>
      </w:r>
      <w:r w:rsidR="007C3880">
        <w:t xml:space="preserve">Values of </w:t>
      </w:r>
      <w:r w:rsidR="00533D80">
        <w:t xml:space="preserve">deformation, stress and strain as </w:t>
      </w:r>
      <w:r w:rsidR="007C3880">
        <w:t>estimated by</w:t>
      </w:r>
      <w:r>
        <w:t xml:space="preserve"> the finite element simulation.</w:t>
      </w:r>
    </w:p>
    <w:tbl>
      <w:tblPr>
        <w:tblW w:w="5000" w:type="pct"/>
        <w:jc w:val="center"/>
        <w:tblLook w:val="00A0" w:firstRow="1" w:lastRow="0" w:firstColumn="1" w:lastColumn="0" w:noHBand="0" w:noVBand="0"/>
      </w:tblPr>
      <w:tblGrid>
        <w:gridCol w:w="4390"/>
        <w:gridCol w:w="2857"/>
      </w:tblGrid>
      <w:tr w:rsidR="00F41053" w14:paraId="64804440" w14:textId="77777777" w:rsidTr="00F41053">
        <w:trPr>
          <w:jc w:val="center"/>
        </w:trPr>
        <w:tc>
          <w:tcPr>
            <w:tcW w:w="5000" w:type="pct"/>
            <w:gridSpan w:val="2"/>
            <w:tcBorders>
              <w:top w:val="single" w:sz="4" w:space="0" w:color="auto"/>
              <w:bottom w:val="single" w:sz="4" w:space="0" w:color="auto"/>
            </w:tcBorders>
          </w:tcPr>
          <w:p w14:paraId="423C135A" w14:textId="4C084E71" w:rsidR="00F41053" w:rsidRPr="00D82BC9" w:rsidRDefault="00F41053" w:rsidP="000E521F">
            <w:pPr>
              <w:ind w:firstLine="0"/>
              <w:jc w:val="center"/>
              <w:rPr>
                <w:b/>
                <w:sz w:val="16"/>
                <w:szCs w:val="16"/>
              </w:rPr>
            </w:pPr>
            <w:r>
              <w:rPr>
                <w:b/>
                <w:sz w:val="16"/>
                <w:szCs w:val="16"/>
              </w:rPr>
              <w:t>TOTAL DEFORMATION, STRESS AND STRAIN</w:t>
            </w:r>
          </w:p>
        </w:tc>
      </w:tr>
      <w:tr w:rsidR="00F41053" w14:paraId="171EE026" w14:textId="77777777" w:rsidTr="00F41053">
        <w:trPr>
          <w:jc w:val="center"/>
        </w:trPr>
        <w:tc>
          <w:tcPr>
            <w:tcW w:w="3029" w:type="pct"/>
            <w:tcBorders>
              <w:top w:val="single" w:sz="4" w:space="0" w:color="auto"/>
            </w:tcBorders>
          </w:tcPr>
          <w:p w14:paraId="27C737F9" w14:textId="382585AD" w:rsidR="00F41053" w:rsidRDefault="00F41053" w:rsidP="00F41053">
            <w:pPr>
              <w:tabs>
                <w:tab w:val="decimal" w:pos="1026"/>
              </w:tabs>
              <w:ind w:firstLine="0"/>
              <w:jc w:val="left"/>
              <w:rPr>
                <w:sz w:val="16"/>
                <w:szCs w:val="16"/>
              </w:rPr>
            </w:pPr>
            <w:r>
              <w:rPr>
                <w:sz w:val="16"/>
                <w:szCs w:val="16"/>
              </w:rPr>
              <w:t>Total Deformation (mm)</w:t>
            </w:r>
          </w:p>
        </w:tc>
        <w:tc>
          <w:tcPr>
            <w:tcW w:w="1971" w:type="pct"/>
            <w:tcBorders>
              <w:top w:val="single" w:sz="4" w:space="0" w:color="auto"/>
            </w:tcBorders>
          </w:tcPr>
          <w:p w14:paraId="20BB1470" w14:textId="42A5F84E" w:rsidR="00F41053" w:rsidRDefault="007C0DE8" w:rsidP="000E521F">
            <w:pPr>
              <w:tabs>
                <w:tab w:val="decimal" w:pos="1013"/>
              </w:tabs>
              <w:ind w:firstLine="0"/>
              <w:jc w:val="left"/>
              <w:rPr>
                <w:sz w:val="16"/>
                <w:szCs w:val="16"/>
              </w:rPr>
            </w:pPr>
            <w:r>
              <w:rPr>
                <w:sz w:val="16"/>
                <w:szCs w:val="16"/>
              </w:rPr>
              <w:t>0.440</w:t>
            </w:r>
          </w:p>
        </w:tc>
      </w:tr>
      <w:tr w:rsidR="00F41053" w14:paraId="2FA689EA" w14:textId="77777777" w:rsidTr="00F41053">
        <w:trPr>
          <w:jc w:val="center"/>
        </w:trPr>
        <w:tc>
          <w:tcPr>
            <w:tcW w:w="3029" w:type="pct"/>
          </w:tcPr>
          <w:p w14:paraId="1689D877" w14:textId="2FDF2C6B" w:rsidR="00F41053" w:rsidRDefault="00F41053" w:rsidP="000E521F">
            <w:pPr>
              <w:tabs>
                <w:tab w:val="decimal" w:pos="1026"/>
              </w:tabs>
              <w:ind w:firstLine="0"/>
              <w:jc w:val="left"/>
              <w:rPr>
                <w:sz w:val="16"/>
                <w:szCs w:val="16"/>
              </w:rPr>
            </w:pPr>
            <w:r>
              <w:rPr>
                <w:sz w:val="16"/>
                <w:szCs w:val="16"/>
              </w:rPr>
              <w:t>Equivalent (von-Mises) Stress (MPa)</w:t>
            </w:r>
          </w:p>
        </w:tc>
        <w:tc>
          <w:tcPr>
            <w:tcW w:w="1971" w:type="pct"/>
          </w:tcPr>
          <w:p w14:paraId="41420BB9" w14:textId="171E0168" w:rsidR="00F41053" w:rsidRDefault="007C0DE8" w:rsidP="000E521F">
            <w:pPr>
              <w:tabs>
                <w:tab w:val="decimal" w:pos="1013"/>
              </w:tabs>
              <w:ind w:firstLine="0"/>
              <w:jc w:val="left"/>
              <w:rPr>
                <w:sz w:val="16"/>
                <w:szCs w:val="16"/>
              </w:rPr>
            </w:pPr>
            <w:r>
              <w:rPr>
                <w:sz w:val="16"/>
                <w:szCs w:val="16"/>
              </w:rPr>
              <w:t>8.51</w:t>
            </w:r>
          </w:p>
        </w:tc>
      </w:tr>
      <w:tr w:rsidR="00F41053" w14:paraId="72CB80A0" w14:textId="77777777" w:rsidTr="00F41053">
        <w:trPr>
          <w:jc w:val="center"/>
        </w:trPr>
        <w:tc>
          <w:tcPr>
            <w:tcW w:w="3029" w:type="pct"/>
            <w:tcBorders>
              <w:bottom w:val="single" w:sz="4" w:space="0" w:color="auto"/>
            </w:tcBorders>
          </w:tcPr>
          <w:p w14:paraId="2305B4F2" w14:textId="5640A27D" w:rsidR="00F41053" w:rsidRDefault="00F41053" w:rsidP="000E521F">
            <w:pPr>
              <w:tabs>
                <w:tab w:val="decimal" w:pos="1026"/>
              </w:tabs>
              <w:ind w:firstLine="0"/>
              <w:jc w:val="left"/>
              <w:rPr>
                <w:sz w:val="16"/>
                <w:szCs w:val="16"/>
              </w:rPr>
            </w:pPr>
            <w:r>
              <w:rPr>
                <w:sz w:val="16"/>
                <w:szCs w:val="16"/>
              </w:rPr>
              <w:t>Equivalent Elastic Strain (%)</w:t>
            </w:r>
          </w:p>
        </w:tc>
        <w:tc>
          <w:tcPr>
            <w:tcW w:w="1971" w:type="pct"/>
            <w:tcBorders>
              <w:bottom w:val="single" w:sz="4" w:space="0" w:color="auto"/>
            </w:tcBorders>
          </w:tcPr>
          <w:p w14:paraId="2CFB60B6" w14:textId="7528BD8F" w:rsidR="00F41053" w:rsidRDefault="007C0DE8" w:rsidP="000E521F">
            <w:pPr>
              <w:tabs>
                <w:tab w:val="decimal" w:pos="1013"/>
              </w:tabs>
              <w:ind w:firstLine="0"/>
              <w:jc w:val="left"/>
              <w:rPr>
                <w:sz w:val="16"/>
                <w:szCs w:val="16"/>
              </w:rPr>
            </w:pPr>
            <w:r>
              <w:rPr>
                <w:sz w:val="16"/>
                <w:szCs w:val="16"/>
              </w:rPr>
              <w:t>8.35e-04</w:t>
            </w:r>
          </w:p>
        </w:tc>
      </w:tr>
      <w:tr w:rsidR="00F14C9B" w14:paraId="47FE5587" w14:textId="77777777" w:rsidTr="00A23B26">
        <w:trPr>
          <w:jc w:val="center"/>
        </w:trPr>
        <w:tc>
          <w:tcPr>
            <w:tcW w:w="5000" w:type="pct"/>
            <w:gridSpan w:val="2"/>
            <w:tcBorders>
              <w:top w:val="single" w:sz="4" w:space="0" w:color="auto"/>
              <w:bottom w:val="single" w:sz="4" w:space="0" w:color="auto"/>
            </w:tcBorders>
          </w:tcPr>
          <w:p w14:paraId="665AE489" w14:textId="7A3976A1" w:rsidR="00F14C9B" w:rsidRPr="00D82BC9" w:rsidRDefault="00F14C9B" w:rsidP="00F14C9B">
            <w:pPr>
              <w:ind w:firstLine="0"/>
              <w:jc w:val="center"/>
              <w:rPr>
                <w:b/>
                <w:sz w:val="16"/>
                <w:szCs w:val="16"/>
              </w:rPr>
            </w:pPr>
            <w:r>
              <w:rPr>
                <w:b/>
                <w:sz w:val="16"/>
                <w:szCs w:val="16"/>
              </w:rPr>
              <w:lastRenderedPageBreak/>
              <w:t>TOTAL DEFORMATION</w:t>
            </w:r>
          </w:p>
        </w:tc>
      </w:tr>
    </w:tbl>
    <w:p w14:paraId="0589B2A3" w14:textId="57B17DE7" w:rsidR="001846CD" w:rsidRPr="00F14C9B" w:rsidRDefault="00F14C9B" w:rsidP="00106142">
      <w:pPr>
        <w:ind w:firstLine="0"/>
        <w:jc w:val="center"/>
        <w:rPr>
          <w:lang w:val="en-GB" w:eastAsia="en-US"/>
        </w:rPr>
      </w:pPr>
      <w:r>
        <w:rPr>
          <w:noProof/>
          <w:lang w:val="it-IT" w:eastAsia="it-IT"/>
        </w:rPr>
        <w:drawing>
          <wp:inline distT="0" distB="0" distL="0" distR="0" wp14:anchorId="444B37F7" wp14:editId="68C06E17">
            <wp:extent cx="4104000" cy="190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f.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4000" cy="1908000"/>
                    </a:xfrm>
                    <a:prstGeom prst="rect">
                      <a:avLst/>
                    </a:prstGeom>
                  </pic:spPr>
                </pic:pic>
              </a:graphicData>
            </a:graphic>
          </wp:inline>
        </w:drawing>
      </w:r>
    </w:p>
    <w:tbl>
      <w:tblPr>
        <w:tblW w:w="5000" w:type="pct"/>
        <w:jc w:val="center"/>
        <w:tblLook w:val="00A0" w:firstRow="1" w:lastRow="0" w:firstColumn="1" w:lastColumn="0" w:noHBand="0" w:noVBand="0"/>
      </w:tblPr>
      <w:tblGrid>
        <w:gridCol w:w="4390"/>
        <w:gridCol w:w="2857"/>
      </w:tblGrid>
      <w:tr w:rsidR="00F14C9B" w14:paraId="68E954C4" w14:textId="77777777" w:rsidTr="00F14C9B">
        <w:trPr>
          <w:jc w:val="center"/>
        </w:trPr>
        <w:tc>
          <w:tcPr>
            <w:tcW w:w="3029" w:type="pct"/>
            <w:tcBorders>
              <w:top w:val="single" w:sz="4" w:space="0" w:color="auto"/>
              <w:bottom w:val="single" w:sz="4" w:space="0" w:color="auto"/>
            </w:tcBorders>
          </w:tcPr>
          <w:p w14:paraId="34287B11" w14:textId="04ED9929" w:rsidR="00F14C9B" w:rsidRPr="00D82BC9" w:rsidRDefault="00F14C9B" w:rsidP="00A23B26">
            <w:pPr>
              <w:ind w:firstLine="0"/>
              <w:jc w:val="center"/>
              <w:rPr>
                <w:b/>
                <w:sz w:val="16"/>
                <w:szCs w:val="16"/>
              </w:rPr>
            </w:pPr>
            <w:r>
              <w:rPr>
                <w:b/>
                <w:sz w:val="16"/>
                <w:szCs w:val="16"/>
              </w:rPr>
              <w:t>STRESS</w:t>
            </w:r>
          </w:p>
        </w:tc>
        <w:tc>
          <w:tcPr>
            <w:tcW w:w="1971" w:type="pct"/>
            <w:tcBorders>
              <w:top w:val="single" w:sz="4" w:space="0" w:color="auto"/>
              <w:bottom w:val="single" w:sz="4" w:space="0" w:color="auto"/>
            </w:tcBorders>
          </w:tcPr>
          <w:p w14:paraId="10061D69" w14:textId="2EA008B6" w:rsidR="00F14C9B" w:rsidRPr="00D82BC9" w:rsidRDefault="00F14C9B" w:rsidP="00A23B26">
            <w:pPr>
              <w:ind w:firstLine="0"/>
              <w:jc w:val="center"/>
              <w:rPr>
                <w:b/>
                <w:sz w:val="16"/>
                <w:szCs w:val="16"/>
              </w:rPr>
            </w:pPr>
            <w:r>
              <w:rPr>
                <w:b/>
                <w:sz w:val="16"/>
                <w:szCs w:val="16"/>
              </w:rPr>
              <w:t>STRAIN</w:t>
            </w:r>
          </w:p>
        </w:tc>
      </w:tr>
    </w:tbl>
    <w:p w14:paraId="1FD41FA4" w14:textId="1EC87216" w:rsidR="00AC5EB9" w:rsidRDefault="00F14C9B" w:rsidP="00533D80">
      <w:pPr>
        <w:ind w:firstLine="0"/>
        <w:jc w:val="center"/>
        <w:rPr>
          <w:lang w:val="en-GB" w:eastAsia="en-US"/>
        </w:rPr>
      </w:pPr>
      <w:r>
        <w:rPr>
          <w:b/>
          <w:noProof/>
          <w:sz w:val="16"/>
          <w:szCs w:val="16"/>
          <w:lang w:val="it-IT" w:eastAsia="it-IT"/>
        </w:rPr>
        <w:drawing>
          <wp:inline distT="0" distB="0" distL="0" distR="0" wp14:anchorId="0086F0D2" wp14:editId="25175310">
            <wp:extent cx="2206800" cy="1026000"/>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nsione coperchio sott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6800" cy="1026000"/>
                    </a:xfrm>
                    <a:prstGeom prst="rect">
                      <a:avLst/>
                    </a:prstGeom>
                  </pic:spPr>
                </pic:pic>
              </a:graphicData>
            </a:graphic>
          </wp:inline>
        </w:drawing>
      </w:r>
      <w:r>
        <w:rPr>
          <w:b/>
          <w:noProof/>
          <w:sz w:val="16"/>
          <w:szCs w:val="16"/>
          <w:lang w:val="it-IT" w:eastAsia="it-IT"/>
        </w:rPr>
        <w:drawing>
          <wp:inline distT="0" distB="0" distL="0" distR="0" wp14:anchorId="55087376" wp14:editId="0ADA53D9">
            <wp:extent cx="2206800" cy="1026000"/>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ain coperchio sott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6800" cy="1026000"/>
                    </a:xfrm>
                    <a:prstGeom prst="rect">
                      <a:avLst/>
                    </a:prstGeom>
                  </pic:spPr>
                </pic:pic>
              </a:graphicData>
            </a:graphic>
          </wp:inline>
        </w:drawing>
      </w:r>
    </w:p>
    <w:p w14:paraId="08DD6988" w14:textId="731FB5FE" w:rsidR="00533D80" w:rsidRPr="00B4099E" w:rsidRDefault="00533D80" w:rsidP="005B15EB">
      <w:pPr>
        <w:spacing w:before="80" w:after="80"/>
        <w:ind w:firstLine="0"/>
        <w:jc w:val="center"/>
        <w:rPr>
          <w:b/>
          <w:sz w:val="16"/>
          <w:lang w:val="en-GB"/>
        </w:rPr>
      </w:pPr>
      <w:r w:rsidRPr="00B4099E">
        <w:rPr>
          <w:b/>
          <w:sz w:val="16"/>
          <w:lang w:val="en-GB"/>
        </w:rPr>
        <w:t xml:space="preserve">Figure </w:t>
      </w:r>
      <w:r>
        <w:rPr>
          <w:b/>
          <w:sz w:val="16"/>
          <w:lang w:val="en-GB"/>
        </w:rPr>
        <w:t>4</w:t>
      </w:r>
      <w:r w:rsidRPr="00B4099E">
        <w:rPr>
          <w:b/>
          <w:sz w:val="16"/>
          <w:lang w:val="en-GB"/>
        </w:rPr>
        <w:t xml:space="preserve">. </w:t>
      </w:r>
      <w:r>
        <w:rPr>
          <w:sz w:val="16"/>
          <w:lang w:val="en-GB"/>
        </w:rPr>
        <w:t>Total deformation, stress and strain</w:t>
      </w:r>
      <w:r w:rsidR="007C3880">
        <w:rPr>
          <w:sz w:val="16"/>
          <w:lang w:val="en-GB"/>
        </w:rPr>
        <w:t xml:space="preserve"> graphic</w:t>
      </w:r>
      <w:r>
        <w:rPr>
          <w:sz w:val="16"/>
          <w:lang w:val="en-GB"/>
        </w:rPr>
        <w:t xml:space="preserve"> results. </w:t>
      </w:r>
    </w:p>
    <w:p w14:paraId="0C79C083" w14:textId="77777777" w:rsidR="004B49D8" w:rsidRPr="00F0142E" w:rsidRDefault="004B49D8" w:rsidP="004B49D8">
      <w:pPr>
        <w:pStyle w:val="Heading1"/>
        <w:rPr>
          <w:lang w:val="en-GB"/>
        </w:rPr>
      </w:pPr>
      <w:r w:rsidRPr="00F0142E">
        <w:rPr>
          <w:lang w:val="en-GB"/>
        </w:rPr>
        <w:t>Conclusion</w:t>
      </w:r>
    </w:p>
    <w:p w14:paraId="28437393" w14:textId="27C23761" w:rsidR="00451285" w:rsidRPr="0050682B" w:rsidRDefault="00451285" w:rsidP="00CA07AC">
      <w:pPr>
        <w:pStyle w:val="NoindentNormal"/>
        <w:rPr>
          <w:lang w:val="en-GB"/>
        </w:rPr>
      </w:pPr>
      <w:r w:rsidRPr="0050682B">
        <w:rPr>
          <w:lang w:val="en-GB"/>
        </w:rPr>
        <w:t>The submitted study has been aimed to verify th</w:t>
      </w:r>
      <w:r w:rsidR="00CA07AC" w:rsidRPr="0050682B">
        <w:rPr>
          <w:lang w:val="en-GB"/>
        </w:rPr>
        <w:t>e possibility of using innovative plastic materials in the construction of</w:t>
      </w:r>
      <w:r w:rsidR="00EF7FD0">
        <w:rPr>
          <w:lang w:val="en-GB"/>
        </w:rPr>
        <w:t xml:space="preserve"> non-structural</w:t>
      </w:r>
      <w:r w:rsidR="00CA07AC" w:rsidRPr="0050682B">
        <w:rPr>
          <w:lang w:val="en-GB"/>
        </w:rPr>
        <w:t xml:space="preserve"> marine engine components.</w:t>
      </w:r>
    </w:p>
    <w:p w14:paraId="585A3653" w14:textId="42FFF087" w:rsidR="006E528E" w:rsidRPr="0050682B" w:rsidRDefault="006E528E" w:rsidP="006E528E">
      <w:pPr>
        <w:rPr>
          <w:lang w:val="en-GB"/>
        </w:rPr>
      </w:pPr>
      <w:r w:rsidRPr="0050682B">
        <w:rPr>
          <w:lang w:val="en-GB"/>
        </w:rPr>
        <w:t xml:space="preserve">The most important advantages offered by the replacement of steel materials with the plastics under analysis are the cost saving and the lower weight of the </w:t>
      </w:r>
      <w:r w:rsidR="00470902">
        <w:rPr>
          <w:lang w:val="en-GB"/>
        </w:rPr>
        <w:t>element</w:t>
      </w:r>
      <w:r w:rsidRPr="0050682B">
        <w:rPr>
          <w:lang w:val="en-GB"/>
        </w:rPr>
        <w:t xml:space="preserve">. On the base of some estimates, realizing the cylinder head cover proposed within the study with plastic materials should lead to save about the 70 percent of the component price. About the second benefit, the gain in terms of weight should be about the 50 percent, since the density of plastic materials is approximately the half of the density of the </w:t>
      </w:r>
      <w:r w:rsidR="00EF7FD0">
        <w:rPr>
          <w:lang w:val="en-GB"/>
        </w:rPr>
        <w:t>metallic</w:t>
      </w:r>
      <w:r w:rsidRPr="0050682B">
        <w:rPr>
          <w:lang w:val="en-GB"/>
        </w:rPr>
        <w:t xml:space="preserve"> material currently used, i.e. aluminium. </w:t>
      </w:r>
    </w:p>
    <w:p w14:paraId="68A6B0EA" w14:textId="1CA8A8E2" w:rsidR="00E121BF" w:rsidRPr="0050682B" w:rsidRDefault="00E121BF" w:rsidP="00E121BF">
      <w:pPr>
        <w:rPr>
          <w:lang w:val="en-GB"/>
        </w:rPr>
      </w:pPr>
      <w:r w:rsidRPr="0050682B">
        <w:rPr>
          <w:lang w:val="en-GB"/>
        </w:rPr>
        <w:t>The analysis of the current regulatory conte</w:t>
      </w:r>
      <w:r w:rsidR="00F244C0" w:rsidRPr="0050682B">
        <w:rPr>
          <w:lang w:val="en-GB"/>
        </w:rPr>
        <w:t xml:space="preserve">xt has </w:t>
      </w:r>
      <w:r w:rsidR="00C5178B" w:rsidRPr="0050682B">
        <w:rPr>
          <w:lang w:val="en-GB"/>
        </w:rPr>
        <w:t>been carried out with the aim to propose</w:t>
      </w:r>
      <w:r w:rsidR="00F244C0" w:rsidRPr="0050682B">
        <w:rPr>
          <w:lang w:val="en-GB"/>
        </w:rPr>
        <w:t xml:space="preserve"> </w:t>
      </w:r>
      <w:r w:rsidRPr="0050682B">
        <w:rPr>
          <w:lang w:val="en-GB"/>
        </w:rPr>
        <w:t xml:space="preserve">a </w:t>
      </w:r>
      <w:r w:rsidR="00F244C0" w:rsidRPr="0050682B">
        <w:rPr>
          <w:lang w:val="en-GB"/>
        </w:rPr>
        <w:t xml:space="preserve">classification procedure </w:t>
      </w:r>
      <w:r w:rsidRPr="0050682B">
        <w:rPr>
          <w:lang w:val="en-GB"/>
        </w:rPr>
        <w:t>for plastic components</w:t>
      </w:r>
      <w:r w:rsidR="00C5178B" w:rsidRPr="0050682B">
        <w:rPr>
          <w:lang w:val="en-GB"/>
        </w:rPr>
        <w:t>,</w:t>
      </w:r>
      <w:r w:rsidRPr="0050682B">
        <w:rPr>
          <w:lang w:val="en-GB"/>
        </w:rPr>
        <w:t xml:space="preserve"> in order to make the </w:t>
      </w:r>
      <w:r w:rsidR="00C5178B" w:rsidRPr="0050682B">
        <w:rPr>
          <w:lang w:val="en-GB"/>
        </w:rPr>
        <w:t>u</w:t>
      </w:r>
      <w:r w:rsidRPr="0050682B">
        <w:rPr>
          <w:lang w:val="en-GB"/>
        </w:rPr>
        <w:t xml:space="preserve">sage of the materials under investigation </w:t>
      </w:r>
      <w:r w:rsidR="00F244C0" w:rsidRPr="0050682B">
        <w:rPr>
          <w:lang w:val="en-GB"/>
        </w:rPr>
        <w:t>compliant with the regulations required by the classification societies.</w:t>
      </w:r>
      <w:r w:rsidR="00BD51E4" w:rsidRPr="0050682B">
        <w:rPr>
          <w:lang w:val="en-GB"/>
        </w:rPr>
        <w:t xml:space="preserve"> This has highlighted that the most important property a plastic material should have, in order to be accepted by registers, is the non-combustibility. </w:t>
      </w:r>
      <w:r w:rsidR="009A7EBD" w:rsidRPr="0050682B">
        <w:rPr>
          <w:lang w:val="en-GB"/>
        </w:rPr>
        <w:t xml:space="preserve">Since the aim of these plastics is to replace </w:t>
      </w:r>
      <w:r w:rsidR="00EF7FD0">
        <w:rPr>
          <w:lang w:val="en-GB"/>
        </w:rPr>
        <w:t>metallic</w:t>
      </w:r>
      <w:r w:rsidR="009A7EBD" w:rsidRPr="0050682B">
        <w:rPr>
          <w:lang w:val="en-GB"/>
        </w:rPr>
        <w:t xml:space="preserve"> materials in the construction of</w:t>
      </w:r>
      <w:r w:rsidR="00EF7FD0">
        <w:rPr>
          <w:lang w:val="en-GB"/>
        </w:rPr>
        <w:t xml:space="preserve"> non-structural</w:t>
      </w:r>
      <w:r w:rsidR="009A7EBD" w:rsidRPr="0050682B">
        <w:rPr>
          <w:lang w:val="en-GB"/>
        </w:rPr>
        <w:t xml:space="preserve"> engine components, also the mechanical characte</w:t>
      </w:r>
      <w:r w:rsidR="00C80698">
        <w:rPr>
          <w:lang w:val="en-GB"/>
        </w:rPr>
        <w:t>ristics are of great importance.</w:t>
      </w:r>
    </w:p>
    <w:p w14:paraId="34B66398" w14:textId="6A0D016B" w:rsidR="00E121BF" w:rsidRPr="00585012" w:rsidRDefault="00C80698" w:rsidP="00F0142E">
      <w:pPr>
        <w:rPr>
          <w:lang w:val="en-GB"/>
        </w:rPr>
      </w:pPr>
      <w:r w:rsidRPr="00472AB0">
        <w:rPr>
          <w:lang w:val="en-GB"/>
        </w:rPr>
        <w:t>R</w:t>
      </w:r>
      <w:r w:rsidR="009A7EBD" w:rsidRPr="00472AB0">
        <w:rPr>
          <w:lang w:val="en-GB"/>
        </w:rPr>
        <w:t>egarding material</w:t>
      </w:r>
      <w:r w:rsidRPr="00472AB0">
        <w:rPr>
          <w:lang w:val="en-GB"/>
        </w:rPr>
        <w:t xml:space="preserve"> identification</w:t>
      </w:r>
      <w:r w:rsidR="009A7EBD" w:rsidRPr="00472AB0">
        <w:rPr>
          <w:lang w:val="en-GB"/>
        </w:rPr>
        <w:t xml:space="preserve">, </w:t>
      </w:r>
      <w:r w:rsidR="00F0142E" w:rsidRPr="00472AB0">
        <w:rPr>
          <w:lang w:val="en-GB"/>
        </w:rPr>
        <w:t>attention has been given to fibre reinforced</w:t>
      </w:r>
      <w:r w:rsidR="00E121BF" w:rsidRPr="00472AB0">
        <w:rPr>
          <w:lang w:val="en-GB"/>
        </w:rPr>
        <w:t xml:space="preserve"> polymers, which represent one of the most interesting material class able to ensure both lightness and high strength.</w:t>
      </w:r>
      <w:r w:rsidR="00585012" w:rsidRPr="00472AB0">
        <w:rPr>
          <w:lang w:val="en-GB"/>
        </w:rPr>
        <w:t xml:space="preserve"> Specifically, computer-based material design has identified PA66 loaded with 30% of glass </w:t>
      </w:r>
      <w:r w:rsidR="00533D80" w:rsidRPr="00472AB0">
        <w:rPr>
          <w:lang w:val="en-GB"/>
        </w:rPr>
        <w:t>fibres</w:t>
      </w:r>
      <w:r w:rsidR="00585012" w:rsidRPr="00472AB0">
        <w:rPr>
          <w:lang w:val="en-GB"/>
        </w:rPr>
        <w:t xml:space="preserve"> as the most suitable materials for the current application.</w:t>
      </w:r>
    </w:p>
    <w:p w14:paraId="4371260A" w14:textId="202D8320" w:rsidR="006E528E" w:rsidRDefault="006E528E" w:rsidP="000320F8">
      <w:pPr>
        <w:rPr>
          <w:lang w:val="en-GB"/>
        </w:rPr>
      </w:pPr>
      <w:r w:rsidRPr="0050682B">
        <w:rPr>
          <w:lang w:val="en-GB"/>
        </w:rPr>
        <w:lastRenderedPageBreak/>
        <w:t xml:space="preserve">The finite element simulation carried out on the component model has offered </w:t>
      </w:r>
      <w:r w:rsidR="00C34CC6" w:rsidRPr="0050682B">
        <w:rPr>
          <w:lang w:val="en-GB"/>
        </w:rPr>
        <w:t>encouraging results, since</w:t>
      </w:r>
      <w:r w:rsidRPr="0050682B">
        <w:rPr>
          <w:lang w:val="en-GB"/>
        </w:rPr>
        <w:t xml:space="preserve"> deformation, stress and strain magnitudes are far lower than the critical values offered by the material. This analysis represents the base for </w:t>
      </w:r>
      <w:r w:rsidR="00C34CC6" w:rsidRPr="0050682B">
        <w:rPr>
          <w:lang w:val="en-GB"/>
        </w:rPr>
        <w:t xml:space="preserve">the </w:t>
      </w:r>
      <w:r w:rsidRPr="0050682B">
        <w:rPr>
          <w:lang w:val="en-GB"/>
        </w:rPr>
        <w:t xml:space="preserve">future development, which will consist of reconsidering the component design </w:t>
      </w:r>
      <w:r w:rsidR="00C34CC6" w:rsidRPr="0050682B">
        <w:rPr>
          <w:lang w:val="en-GB"/>
        </w:rPr>
        <w:t>in order to propose the best solution in terms of production process and</w:t>
      </w:r>
      <w:r w:rsidR="00083B35" w:rsidRPr="0050682B">
        <w:rPr>
          <w:lang w:val="en-GB"/>
        </w:rPr>
        <w:t xml:space="preserve"> both material and cost saving.</w:t>
      </w:r>
    </w:p>
    <w:p w14:paraId="53190E3A" w14:textId="6D1ECFE1" w:rsidR="005B15EB" w:rsidRDefault="005B15EB" w:rsidP="005B15EB">
      <w:pPr>
        <w:pStyle w:val="HeadingUnn1"/>
      </w:pPr>
      <w:r w:rsidRPr="005B15EB">
        <w:t>A</w:t>
      </w:r>
      <w:r>
        <w:t>c</w:t>
      </w:r>
      <w:r w:rsidRPr="005B15EB">
        <w:t>knowledgments</w:t>
      </w:r>
    </w:p>
    <w:p w14:paraId="2BB8E83D" w14:textId="3438BE5B" w:rsidR="005B15EB" w:rsidRPr="006909CD" w:rsidRDefault="005B15EB" w:rsidP="005B15EB">
      <w:pPr>
        <w:ind w:firstLine="0"/>
      </w:pPr>
      <w:r>
        <w:t xml:space="preserve">This work was supported by “PLASTICO – </w:t>
      </w:r>
      <w:r w:rsidR="006909CD">
        <w:t>Plastic Cover</w:t>
      </w:r>
      <w:r w:rsidR="00106142">
        <w:t xml:space="preserve"> </w:t>
      </w:r>
      <w:r w:rsidR="006909CD">
        <w:t>for Marine E</w:t>
      </w:r>
      <w:r w:rsidR="00106142">
        <w:t>ngine</w:t>
      </w:r>
      <w:r>
        <w:t xml:space="preserve">” research program, funded by the </w:t>
      </w:r>
      <w:proofErr w:type="spellStart"/>
      <w:r>
        <w:t>Regione</w:t>
      </w:r>
      <w:proofErr w:type="spellEnd"/>
      <w:r>
        <w:t xml:space="preserve"> </w:t>
      </w:r>
      <w:proofErr w:type="spellStart"/>
      <w:r>
        <w:t>Autonoma</w:t>
      </w:r>
      <w:proofErr w:type="spellEnd"/>
      <w:r>
        <w:t xml:space="preserve"> Friuli-Venezia-Giulia with POR-FESR 2014-2020, </w:t>
      </w:r>
      <w:proofErr w:type="spellStart"/>
      <w:r w:rsidR="006909CD" w:rsidRPr="006909CD">
        <w:t>Asse</w:t>
      </w:r>
      <w:proofErr w:type="spellEnd"/>
      <w:r w:rsidR="006909CD" w:rsidRPr="006909CD">
        <w:t xml:space="preserve"> 1 </w:t>
      </w:r>
      <w:proofErr w:type="spellStart"/>
      <w:r w:rsidR="006909CD" w:rsidRPr="006909CD">
        <w:t>Azione</w:t>
      </w:r>
      <w:proofErr w:type="spellEnd"/>
      <w:r w:rsidR="006909CD" w:rsidRPr="006909CD">
        <w:t xml:space="preserve"> 1.3.b.</w:t>
      </w:r>
    </w:p>
    <w:p w14:paraId="31DAD24E" w14:textId="77777777" w:rsidR="00B05D6E" w:rsidRDefault="00B05D6E">
      <w:pPr>
        <w:pStyle w:val="HeadingUnn1"/>
      </w:pPr>
      <w:r>
        <w:t>References</w:t>
      </w:r>
    </w:p>
    <w:p w14:paraId="32C2C39E" w14:textId="77777777" w:rsidR="0048351B" w:rsidRDefault="0048351B" w:rsidP="0048351B">
      <w:pPr>
        <w:pStyle w:val="References"/>
        <w:ind w:left="357" w:hanging="357"/>
        <w:rPr>
          <w:snapToGrid w:val="0"/>
        </w:rPr>
      </w:pPr>
      <w:r w:rsidRPr="00AE550A">
        <w:rPr>
          <w:snapToGrid w:val="0"/>
        </w:rPr>
        <w:t xml:space="preserve">G.M. </w:t>
      </w:r>
      <w:proofErr w:type="spellStart"/>
      <w:r w:rsidRPr="00AE550A">
        <w:rPr>
          <w:snapToGrid w:val="0"/>
        </w:rPr>
        <w:t>Candido</w:t>
      </w:r>
      <w:proofErr w:type="spellEnd"/>
      <w:r w:rsidRPr="00AE550A">
        <w:rPr>
          <w:snapToGrid w:val="0"/>
        </w:rPr>
        <w:t xml:space="preserve">, </w:t>
      </w:r>
      <w:proofErr w:type="spellStart"/>
      <w:r w:rsidRPr="00AE550A">
        <w:rPr>
          <w:snapToGrid w:val="0"/>
        </w:rPr>
        <w:t>F.Jr</w:t>
      </w:r>
      <w:proofErr w:type="spellEnd"/>
      <w:r w:rsidRPr="00AE550A">
        <w:rPr>
          <w:snapToGrid w:val="0"/>
        </w:rPr>
        <w:t xml:space="preserve">. </w:t>
      </w:r>
      <w:proofErr w:type="spellStart"/>
      <w:r w:rsidRPr="00AE550A">
        <w:rPr>
          <w:snapToGrid w:val="0"/>
        </w:rPr>
        <w:t>Santolia</w:t>
      </w:r>
      <w:proofErr w:type="spellEnd"/>
      <w:r w:rsidRPr="00AE550A">
        <w:rPr>
          <w:snapToGrid w:val="0"/>
        </w:rPr>
        <w:t xml:space="preserve">, M.R.F. De </w:t>
      </w:r>
      <w:proofErr w:type="spellStart"/>
      <w:r w:rsidRPr="00AE550A">
        <w:rPr>
          <w:snapToGrid w:val="0"/>
        </w:rPr>
        <w:t>Melo</w:t>
      </w:r>
      <w:proofErr w:type="spellEnd"/>
      <w:r w:rsidRPr="00AE550A">
        <w:rPr>
          <w:snapToGrid w:val="0"/>
        </w:rPr>
        <w:t>, G.A.B. Dos Santos, Methodology of plastic parts development in the automotive industry,</w:t>
      </w:r>
      <w:r>
        <w:rPr>
          <w:snapToGrid w:val="0"/>
        </w:rPr>
        <w:t xml:space="preserve"> </w:t>
      </w:r>
      <w:r>
        <w:rPr>
          <w:i/>
          <w:snapToGrid w:val="0"/>
        </w:rPr>
        <w:t xml:space="preserve">SAE Technical Papers </w:t>
      </w:r>
      <w:r>
        <w:rPr>
          <w:snapToGrid w:val="0"/>
        </w:rPr>
        <w:t>(2006)</w:t>
      </w:r>
    </w:p>
    <w:p w14:paraId="74D75099" w14:textId="77777777" w:rsidR="00107C84" w:rsidRDefault="00107C84">
      <w:pPr>
        <w:pStyle w:val="References"/>
        <w:ind w:left="357" w:hanging="357"/>
        <w:rPr>
          <w:snapToGrid w:val="0"/>
        </w:rPr>
      </w:pPr>
      <w:r>
        <w:rPr>
          <w:snapToGrid w:val="0"/>
        </w:rPr>
        <w:t xml:space="preserve">P. </w:t>
      </w:r>
      <w:proofErr w:type="spellStart"/>
      <w:r>
        <w:rPr>
          <w:snapToGrid w:val="0"/>
        </w:rPr>
        <w:t>Mapleston</w:t>
      </w:r>
      <w:proofErr w:type="spellEnd"/>
      <w:r>
        <w:rPr>
          <w:snapToGrid w:val="0"/>
        </w:rPr>
        <w:t xml:space="preserve">, Automotive plastics: An accelerating market, </w:t>
      </w:r>
      <w:r>
        <w:rPr>
          <w:i/>
          <w:snapToGrid w:val="0"/>
        </w:rPr>
        <w:t>Plastics Engineering</w:t>
      </w:r>
      <w:r>
        <w:rPr>
          <w:snapToGrid w:val="0"/>
        </w:rPr>
        <w:t xml:space="preserve"> </w:t>
      </w:r>
      <w:r>
        <w:rPr>
          <w:b/>
          <w:snapToGrid w:val="0"/>
        </w:rPr>
        <w:t>64</w:t>
      </w:r>
      <w:r>
        <w:rPr>
          <w:snapToGrid w:val="0"/>
        </w:rPr>
        <w:t xml:space="preserve"> (2008), 10-16+18.</w:t>
      </w:r>
    </w:p>
    <w:p w14:paraId="033BF360" w14:textId="77777777" w:rsidR="00107C84" w:rsidRDefault="00107C84">
      <w:pPr>
        <w:pStyle w:val="References"/>
        <w:ind w:left="357" w:hanging="357"/>
        <w:rPr>
          <w:snapToGrid w:val="0"/>
        </w:rPr>
      </w:pPr>
      <w:r>
        <w:rPr>
          <w:snapToGrid w:val="0"/>
        </w:rPr>
        <w:t xml:space="preserve">K. Friedrich, A. A. </w:t>
      </w:r>
      <w:proofErr w:type="spellStart"/>
      <w:r>
        <w:rPr>
          <w:snapToGrid w:val="0"/>
        </w:rPr>
        <w:t>Almajid</w:t>
      </w:r>
      <w:proofErr w:type="spellEnd"/>
      <w:r>
        <w:rPr>
          <w:snapToGrid w:val="0"/>
        </w:rPr>
        <w:t xml:space="preserve">, Manufacturing Aspects of Advanced Polymer Composites for Automotive applications, </w:t>
      </w:r>
      <w:r>
        <w:rPr>
          <w:i/>
          <w:snapToGrid w:val="0"/>
        </w:rPr>
        <w:t xml:space="preserve">Applied Composite Materials </w:t>
      </w:r>
      <w:r>
        <w:rPr>
          <w:b/>
          <w:snapToGrid w:val="0"/>
        </w:rPr>
        <w:t>20</w:t>
      </w:r>
      <w:r>
        <w:rPr>
          <w:snapToGrid w:val="0"/>
        </w:rPr>
        <w:t xml:space="preserve"> (2013), 107-128</w:t>
      </w:r>
    </w:p>
    <w:p w14:paraId="2DF44BAB" w14:textId="77777777" w:rsidR="00AE550A" w:rsidRDefault="00E9738B" w:rsidP="00AE550A">
      <w:pPr>
        <w:pStyle w:val="References"/>
        <w:ind w:left="357" w:hanging="357"/>
        <w:rPr>
          <w:snapToGrid w:val="0"/>
        </w:rPr>
      </w:pPr>
      <w:r>
        <w:rPr>
          <w:snapToGrid w:val="0"/>
        </w:rPr>
        <w:t xml:space="preserve">K. </w:t>
      </w:r>
      <w:proofErr w:type="spellStart"/>
      <w:r>
        <w:rPr>
          <w:snapToGrid w:val="0"/>
        </w:rPr>
        <w:t>Bielefeldt</w:t>
      </w:r>
      <w:proofErr w:type="spellEnd"/>
      <w:r>
        <w:rPr>
          <w:snapToGrid w:val="0"/>
        </w:rPr>
        <w:t xml:space="preserve">, J. </w:t>
      </w:r>
      <w:proofErr w:type="spellStart"/>
      <w:r>
        <w:rPr>
          <w:snapToGrid w:val="0"/>
        </w:rPr>
        <w:t>Walkowiak</w:t>
      </w:r>
      <w:proofErr w:type="spellEnd"/>
      <w:r>
        <w:rPr>
          <w:snapToGrid w:val="0"/>
        </w:rPr>
        <w:t xml:space="preserve">, W. </w:t>
      </w:r>
      <w:proofErr w:type="spellStart"/>
      <w:r>
        <w:rPr>
          <w:snapToGrid w:val="0"/>
        </w:rPr>
        <w:t>Papacz</w:t>
      </w:r>
      <w:proofErr w:type="spellEnd"/>
      <w:r>
        <w:rPr>
          <w:snapToGrid w:val="0"/>
        </w:rPr>
        <w:t xml:space="preserve">, Composites and reinforced plastics in the automotive industry, </w:t>
      </w:r>
      <w:r>
        <w:rPr>
          <w:i/>
          <w:snapToGrid w:val="0"/>
        </w:rPr>
        <w:t xml:space="preserve">Applied Mechanics and Materials </w:t>
      </w:r>
      <w:r>
        <w:rPr>
          <w:b/>
          <w:snapToGrid w:val="0"/>
        </w:rPr>
        <w:t>611</w:t>
      </w:r>
      <w:r>
        <w:rPr>
          <w:snapToGrid w:val="0"/>
        </w:rPr>
        <w:t xml:space="preserve"> (2014), 352-357</w:t>
      </w:r>
    </w:p>
    <w:p w14:paraId="1007B5E5" w14:textId="77777777" w:rsidR="0048351B" w:rsidRPr="00517D39" w:rsidRDefault="0048351B" w:rsidP="0048351B">
      <w:pPr>
        <w:pStyle w:val="References"/>
        <w:ind w:left="357" w:hanging="357"/>
        <w:rPr>
          <w:snapToGrid w:val="0"/>
        </w:rPr>
      </w:pPr>
      <w:r>
        <w:rPr>
          <w:snapToGrid w:val="0"/>
        </w:rPr>
        <w:t xml:space="preserve">A. </w:t>
      </w:r>
      <w:proofErr w:type="spellStart"/>
      <w:r>
        <w:rPr>
          <w:snapToGrid w:val="0"/>
        </w:rPr>
        <w:t>Elmarakbi</w:t>
      </w:r>
      <w:proofErr w:type="spellEnd"/>
      <w:r>
        <w:rPr>
          <w:snapToGrid w:val="0"/>
        </w:rPr>
        <w:t xml:space="preserve">, </w:t>
      </w:r>
      <w:r w:rsidRPr="00735917">
        <w:rPr>
          <w:i/>
          <w:iCs/>
          <w:szCs w:val="16"/>
          <w:lang w:eastAsia="it-IT"/>
        </w:rPr>
        <w:t>Advanced Composite Materials for Automotive Applications: Structural Integrity and Crashworthiness</w:t>
      </w:r>
      <w:r>
        <w:rPr>
          <w:i/>
          <w:iCs/>
          <w:szCs w:val="16"/>
          <w:lang w:eastAsia="it-IT"/>
        </w:rPr>
        <w:t>,</w:t>
      </w:r>
      <w:r>
        <w:rPr>
          <w:iCs/>
          <w:szCs w:val="16"/>
          <w:lang w:eastAsia="it-IT"/>
        </w:rPr>
        <w:t xml:space="preserve"> John Wiley &amp; Sons, Ltd., Hoboken, 2014</w:t>
      </w:r>
    </w:p>
    <w:p w14:paraId="12D9C359" w14:textId="77777777" w:rsidR="00770768" w:rsidRDefault="00770768" w:rsidP="00AE550A">
      <w:pPr>
        <w:pStyle w:val="References"/>
        <w:ind w:left="357" w:hanging="357"/>
        <w:rPr>
          <w:snapToGrid w:val="0"/>
        </w:rPr>
      </w:pPr>
      <w:r>
        <w:rPr>
          <w:snapToGrid w:val="0"/>
        </w:rPr>
        <w:t xml:space="preserve">S.A. Pradeep, R.K. </w:t>
      </w:r>
      <w:proofErr w:type="spellStart"/>
      <w:r>
        <w:rPr>
          <w:snapToGrid w:val="0"/>
        </w:rPr>
        <w:t>Iyer</w:t>
      </w:r>
      <w:proofErr w:type="spellEnd"/>
      <w:r>
        <w:rPr>
          <w:snapToGrid w:val="0"/>
        </w:rPr>
        <w:t xml:space="preserve">, H. Kazan, S. </w:t>
      </w:r>
      <w:proofErr w:type="spellStart"/>
      <w:r>
        <w:rPr>
          <w:snapToGrid w:val="0"/>
        </w:rPr>
        <w:t>Pilla</w:t>
      </w:r>
      <w:proofErr w:type="spellEnd"/>
      <w:r>
        <w:rPr>
          <w:snapToGrid w:val="0"/>
        </w:rPr>
        <w:t xml:space="preserve">, Automotive Applications of Plastics: Past, Present and Future, </w:t>
      </w:r>
      <w:r>
        <w:rPr>
          <w:i/>
          <w:snapToGrid w:val="0"/>
        </w:rPr>
        <w:t xml:space="preserve">Applied Plastics Engineering Handbook: Processing, Materials, and Applications: Second Edition </w:t>
      </w:r>
      <w:r>
        <w:rPr>
          <w:snapToGrid w:val="0"/>
        </w:rPr>
        <w:t>(2016), 651-673.</w:t>
      </w:r>
    </w:p>
    <w:p w14:paraId="4727E6CD" w14:textId="2286F56F" w:rsidR="00517D39" w:rsidRDefault="00517D39" w:rsidP="00AE550A">
      <w:pPr>
        <w:pStyle w:val="References"/>
        <w:ind w:left="357" w:hanging="357"/>
        <w:rPr>
          <w:snapToGrid w:val="0"/>
        </w:rPr>
      </w:pPr>
      <w:r>
        <w:rPr>
          <w:snapToGrid w:val="0"/>
        </w:rPr>
        <w:t xml:space="preserve">L.M. Sherman, Automotive plastics: New thermoplastic solutions redefine ‘performance’ from all angles, </w:t>
      </w:r>
      <w:r>
        <w:rPr>
          <w:i/>
          <w:snapToGrid w:val="0"/>
        </w:rPr>
        <w:t>Plastics Technology</w:t>
      </w:r>
      <w:r>
        <w:rPr>
          <w:snapToGrid w:val="0"/>
        </w:rPr>
        <w:t xml:space="preserve"> </w:t>
      </w:r>
      <w:r>
        <w:rPr>
          <w:b/>
          <w:snapToGrid w:val="0"/>
        </w:rPr>
        <w:t>63</w:t>
      </w:r>
      <w:r>
        <w:rPr>
          <w:snapToGrid w:val="0"/>
        </w:rPr>
        <w:t xml:space="preserve"> (2017), 44-47.</w:t>
      </w:r>
    </w:p>
    <w:p w14:paraId="2E825FCB" w14:textId="2994EACF" w:rsidR="007C395E" w:rsidRDefault="007C395E" w:rsidP="00AE550A">
      <w:pPr>
        <w:pStyle w:val="References"/>
        <w:ind w:left="357" w:hanging="357"/>
        <w:rPr>
          <w:snapToGrid w:val="0"/>
        </w:rPr>
      </w:pPr>
      <w:r>
        <w:rPr>
          <w:snapToGrid w:val="0"/>
        </w:rPr>
        <w:t xml:space="preserve">H. </w:t>
      </w:r>
      <w:proofErr w:type="spellStart"/>
      <w:r>
        <w:rPr>
          <w:snapToGrid w:val="0"/>
        </w:rPr>
        <w:t>Saechtling</w:t>
      </w:r>
      <w:proofErr w:type="spellEnd"/>
      <w:r>
        <w:rPr>
          <w:snapToGrid w:val="0"/>
        </w:rPr>
        <w:t xml:space="preserve">, </w:t>
      </w:r>
      <w:r>
        <w:rPr>
          <w:i/>
          <w:snapToGrid w:val="0"/>
        </w:rPr>
        <w:t>Handbook Plastic Material 7</w:t>
      </w:r>
      <w:r>
        <w:rPr>
          <w:i/>
          <w:snapToGrid w:val="0"/>
          <w:vertAlign w:val="superscript"/>
        </w:rPr>
        <w:t>th</w:t>
      </w:r>
      <w:r>
        <w:rPr>
          <w:i/>
          <w:snapToGrid w:val="0"/>
        </w:rPr>
        <w:t xml:space="preserve"> Edition</w:t>
      </w:r>
      <w:r>
        <w:rPr>
          <w:snapToGrid w:val="0"/>
        </w:rPr>
        <w:t xml:space="preserve">, </w:t>
      </w:r>
      <w:proofErr w:type="spellStart"/>
      <w:r>
        <w:rPr>
          <w:snapToGrid w:val="0"/>
        </w:rPr>
        <w:t>Kunstoff-Taschenbuch</w:t>
      </w:r>
      <w:proofErr w:type="spellEnd"/>
      <w:r>
        <w:rPr>
          <w:snapToGrid w:val="0"/>
        </w:rPr>
        <w:t xml:space="preserve">, </w:t>
      </w:r>
      <w:proofErr w:type="spellStart"/>
      <w:r>
        <w:rPr>
          <w:snapToGrid w:val="0"/>
        </w:rPr>
        <w:t>München</w:t>
      </w:r>
      <w:proofErr w:type="spellEnd"/>
      <w:r>
        <w:rPr>
          <w:snapToGrid w:val="0"/>
        </w:rPr>
        <w:t>, 1995</w:t>
      </w:r>
    </w:p>
    <w:p w14:paraId="5100CF48" w14:textId="73D29F94" w:rsidR="007C395E" w:rsidRDefault="007C395E" w:rsidP="00AE550A">
      <w:pPr>
        <w:pStyle w:val="References"/>
        <w:ind w:left="357" w:hanging="357"/>
        <w:rPr>
          <w:snapToGrid w:val="0"/>
        </w:rPr>
      </w:pPr>
      <w:r>
        <w:rPr>
          <w:snapToGrid w:val="0"/>
        </w:rPr>
        <w:t xml:space="preserve">T.A. </w:t>
      </w:r>
      <w:proofErr w:type="spellStart"/>
      <w:r>
        <w:rPr>
          <w:snapToGrid w:val="0"/>
        </w:rPr>
        <w:t>Osswald</w:t>
      </w:r>
      <w:proofErr w:type="spellEnd"/>
      <w:r>
        <w:rPr>
          <w:snapToGrid w:val="0"/>
        </w:rPr>
        <w:t xml:space="preserve">, G. </w:t>
      </w:r>
      <w:proofErr w:type="spellStart"/>
      <w:r>
        <w:rPr>
          <w:snapToGrid w:val="0"/>
        </w:rPr>
        <w:t>Menges</w:t>
      </w:r>
      <w:proofErr w:type="spellEnd"/>
      <w:r>
        <w:rPr>
          <w:snapToGrid w:val="0"/>
        </w:rPr>
        <w:t xml:space="preserve">, </w:t>
      </w:r>
      <w:r>
        <w:rPr>
          <w:i/>
          <w:snapToGrid w:val="0"/>
        </w:rPr>
        <w:t>Materials Science of Polymers for Engineers 2</w:t>
      </w:r>
      <w:r>
        <w:rPr>
          <w:i/>
          <w:snapToGrid w:val="0"/>
          <w:vertAlign w:val="superscript"/>
        </w:rPr>
        <w:t>nd</w:t>
      </w:r>
      <w:r>
        <w:rPr>
          <w:i/>
          <w:snapToGrid w:val="0"/>
        </w:rPr>
        <w:t xml:space="preserve"> Edition</w:t>
      </w:r>
      <w:r>
        <w:rPr>
          <w:snapToGrid w:val="0"/>
        </w:rPr>
        <w:t xml:space="preserve">, </w:t>
      </w:r>
      <w:proofErr w:type="spellStart"/>
      <w:r>
        <w:rPr>
          <w:snapToGrid w:val="0"/>
        </w:rPr>
        <w:t>Hanser</w:t>
      </w:r>
      <w:proofErr w:type="spellEnd"/>
      <w:r>
        <w:rPr>
          <w:snapToGrid w:val="0"/>
        </w:rPr>
        <w:t xml:space="preserve"> Gardner Publications, Valley Avenue, 2003</w:t>
      </w:r>
    </w:p>
    <w:p w14:paraId="37FC4F53" w14:textId="4C38C9D2" w:rsidR="003F49B2" w:rsidRDefault="0016317C" w:rsidP="00AE550A">
      <w:pPr>
        <w:pStyle w:val="References"/>
        <w:ind w:left="357" w:hanging="357"/>
        <w:rPr>
          <w:snapToGrid w:val="0"/>
        </w:rPr>
      </w:pPr>
      <w:r>
        <w:rPr>
          <w:snapToGrid w:val="0"/>
        </w:rPr>
        <w:t>…,</w:t>
      </w:r>
      <w:r w:rsidR="00E47152">
        <w:rPr>
          <w:snapToGrid w:val="0"/>
        </w:rPr>
        <w:t xml:space="preserve"> </w:t>
      </w:r>
      <w:r w:rsidR="003F49B2" w:rsidRPr="00E66232">
        <w:rPr>
          <w:i/>
          <w:snapToGrid w:val="0"/>
        </w:rPr>
        <w:t>SOLAS Consolidated Edition 2014</w:t>
      </w:r>
      <w:r w:rsidR="003F49B2">
        <w:rPr>
          <w:snapToGrid w:val="0"/>
        </w:rPr>
        <w:t xml:space="preserve">, Polestar </w:t>
      </w:r>
      <w:proofErr w:type="spellStart"/>
      <w:r w:rsidR="003F49B2">
        <w:rPr>
          <w:snapToGrid w:val="0"/>
        </w:rPr>
        <w:t>Wheatons</w:t>
      </w:r>
      <w:proofErr w:type="spellEnd"/>
      <w:r w:rsidR="003F49B2">
        <w:rPr>
          <w:snapToGrid w:val="0"/>
        </w:rPr>
        <w:t xml:space="preserve"> (UK) Ltd, Exeter, 2014</w:t>
      </w:r>
    </w:p>
    <w:p w14:paraId="0464CD48" w14:textId="7E0F0E15" w:rsidR="003F49B2" w:rsidRDefault="0016317C" w:rsidP="00AE550A">
      <w:pPr>
        <w:pStyle w:val="References"/>
        <w:ind w:left="357" w:hanging="357"/>
        <w:rPr>
          <w:snapToGrid w:val="0"/>
        </w:rPr>
      </w:pPr>
      <w:r>
        <w:rPr>
          <w:snapToGrid w:val="0"/>
        </w:rPr>
        <w:t>…,</w:t>
      </w:r>
      <w:r w:rsidR="003F49B2">
        <w:rPr>
          <w:snapToGrid w:val="0"/>
        </w:rPr>
        <w:t xml:space="preserve"> </w:t>
      </w:r>
      <w:r w:rsidR="003F49B2" w:rsidRPr="00E66232">
        <w:rPr>
          <w:i/>
          <w:snapToGrid w:val="0"/>
        </w:rPr>
        <w:t>Fire Test Procedure Code 2010</w:t>
      </w:r>
      <w:r w:rsidR="003F49B2">
        <w:rPr>
          <w:snapToGrid w:val="0"/>
        </w:rPr>
        <w:t>, MSC.307(88), International Maritime Organization, 2010</w:t>
      </w:r>
    </w:p>
    <w:p w14:paraId="0CF371F3" w14:textId="234F6B6E" w:rsidR="00E47152" w:rsidRDefault="0016317C" w:rsidP="00AE550A">
      <w:pPr>
        <w:pStyle w:val="References"/>
        <w:ind w:left="357" w:hanging="357"/>
        <w:rPr>
          <w:snapToGrid w:val="0"/>
        </w:rPr>
      </w:pPr>
      <w:r>
        <w:rPr>
          <w:snapToGrid w:val="0"/>
        </w:rPr>
        <w:t>…,</w:t>
      </w:r>
      <w:r w:rsidR="003F49B2">
        <w:rPr>
          <w:snapToGrid w:val="0"/>
        </w:rPr>
        <w:t xml:space="preserve"> </w:t>
      </w:r>
      <w:r w:rsidR="003F49B2" w:rsidRPr="00E66232">
        <w:rPr>
          <w:i/>
          <w:snapToGrid w:val="0"/>
        </w:rPr>
        <w:t>Interpretations of the International Convention for the Safety of Life at Sea (SOLAS), 1974 and its Amendments</w:t>
      </w:r>
      <w:r w:rsidR="003F49B2">
        <w:rPr>
          <w:snapToGrid w:val="0"/>
        </w:rPr>
        <w:t>, International Association of Classification Societies, 2018</w:t>
      </w:r>
    </w:p>
    <w:p w14:paraId="5F277208" w14:textId="156FBEFB" w:rsidR="003F49B2" w:rsidRDefault="0016317C" w:rsidP="00AE550A">
      <w:pPr>
        <w:pStyle w:val="References"/>
        <w:ind w:left="357" w:hanging="357"/>
        <w:rPr>
          <w:snapToGrid w:val="0"/>
        </w:rPr>
      </w:pPr>
      <w:r>
        <w:rPr>
          <w:snapToGrid w:val="0"/>
        </w:rPr>
        <w:t>…,</w:t>
      </w:r>
      <w:r w:rsidR="003F49B2">
        <w:rPr>
          <w:snapToGrid w:val="0"/>
        </w:rPr>
        <w:t xml:space="preserve"> </w:t>
      </w:r>
      <w:r w:rsidR="003F49B2" w:rsidRPr="00E66232">
        <w:rPr>
          <w:i/>
          <w:snapToGrid w:val="0"/>
        </w:rPr>
        <w:t>UL Standard for Safety for Test for Flammability of Plastic Materials for Parts in Devices and Appliance, UL 94, Fifth Edition</w:t>
      </w:r>
      <w:r w:rsidR="003F49B2">
        <w:rPr>
          <w:snapToGrid w:val="0"/>
        </w:rPr>
        <w:t>, Underwriters Laboratories, Northbrook, 1996</w:t>
      </w:r>
    </w:p>
    <w:p w14:paraId="20F20D0E" w14:textId="3A63F656" w:rsidR="00B71735" w:rsidRDefault="003F49B2" w:rsidP="00B71735">
      <w:pPr>
        <w:pStyle w:val="References"/>
        <w:ind w:left="357" w:hanging="357"/>
        <w:rPr>
          <w:snapToGrid w:val="0"/>
        </w:rPr>
      </w:pPr>
      <w:r>
        <w:rPr>
          <w:snapToGrid w:val="0"/>
        </w:rPr>
        <w:t xml:space="preserve"> </w:t>
      </w:r>
      <w:r w:rsidR="0016317C">
        <w:rPr>
          <w:snapToGrid w:val="0"/>
        </w:rPr>
        <w:t>…,</w:t>
      </w:r>
      <w:r w:rsidR="007C395E">
        <w:rPr>
          <w:snapToGrid w:val="0"/>
        </w:rPr>
        <w:t xml:space="preserve"> </w:t>
      </w:r>
      <w:r w:rsidR="007C395E" w:rsidRPr="00E66232">
        <w:rPr>
          <w:i/>
          <w:snapToGrid w:val="0"/>
        </w:rPr>
        <w:t>Rules for the Manufacture, Testing and Certification of Materials</w:t>
      </w:r>
      <w:r w:rsidR="007C395E">
        <w:rPr>
          <w:snapToGrid w:val="0"/>
        </w:rPr>
        <w:t>, Lloyd’s Register Group Limited, London, 2014</w:t>
      </w:r>
    </w:p>
    <w:p w14:paraId="220D8E23" w14:textId="135431E9" w:rsidR="00B71735" w:rsidRDefault="0016317C" w:rsidP="00B71735">
      <w:pPr>
        <w:pStyle w:val="References"/>
        <w:ind w:left="357" w:hanging="357"/>
        <w:rPr>
          <w:snapToGrid w:val="0"/>
        </w:rPr>
      </w:pPr>
      <w:r>
        <w:rPr>
          <w:snapToGrid w:val="0"/>
        </w:rPr>
        <w:t>…,</w:t>
      </w:r>
      <w:r w:rsidR="00B71735">
        <w:rPr>
          <w:snapToGrid w:val="0"/>
        </w:rPr>
        <w:t xml:space="preserve"> </w:t>
      </w:r>
      <w:r w:rsidR="00B71735" w:rsidRPr="00E66232">
        <w:rPr>
          <w:i/>
          <w:snapToGrid w:val="0"/>
        </w:rPr>
        <w:t>Guide for Technology Qualification Processes</w:t>
      </w:r>
      <w:r w:rsidR="00B71735">
        <w:rPr>
          <w:snapToGrid w:val="0"/>
        </w:rPr>
        <w:t xml:space="preserve">, </w:t>
      </w:r>
      <w:proofErr w:type="spellStart"/>
      <w:r w:rsidR="00B71735">
        <w:rPr>
          <w:snapToGrid w:val="0"/>
        </w:rPr>
        <w:t>R</w:t>
      </w:r>
      <w:r w:rsidR="006D03BB">
        <w:rPr>
          <w:snapToGrid w:val="0"/>
        </w:rPr>
        <w:t>egistro</w:t>
      </w:r>
      <w:proofErr w:type="spellEnd"/>
      <w:r w:rsidR="006D03BB">
        <w:rPr>
          <w:snapToGrid w:val="0"/>
        </w:rPr>
        <w:t xml:space="preserve"> </w:t>
      </w:r>
      <w:proofErr w:type="spellStart"/>
      <w:r w:rsidR="00B71735">
        <w:rPr>
          <w:snapToGrid w:val="0"/>
        </w:rPr>
        <w:t>I</w:t>
      </w:r>
      <w:r w:rsidR="006D03BB">
        <w:rPr>
          <w:snapToGrid w:val="0"/>
        </w:rPr>
        <w:t>taliano</w:t>
      </w:r>
      <w:proofErr w:type="spellEnd"/>
      <w:r w:rsidR="006D03BB">
        <w:rPr>
          <w:snapToGrid w:val="0"/>
        </w:rPr>
        <w:t xml:space="preserve"> </w:t>
      </w:r>
      <w:proofErr w:type="spellStart"/>
      <w:r w:rsidR="006D03BB">
        <w:rPr>
          <w:snapToGrid w:val="0"/>
        </w:rPr>
        <w:t>Navale</w:t>
      </w:r>
      <w:proofErr w:type="spellEnd"/>
      <w:r w:rsidR="00B71735">
        <w:rPr>
          <w:snapToGrid w:val="0"/>
        </w:rPr>
        <w:t>, Genova, 2016</w:t>
      </w:r>
    </w:p>
    <w:p w14:paraId="2239C0B4" w14:textId="1CADEF33" w:rsidR="00B71735" w:rsidRDefault="0016317C" w:rsidP="00B71735">
      <w:pPr>
        <w:pStyle w:val="References"/>
        <w:ind w:left="357" w:hanging="357"/>
        <w:rPr>
          <w:snapToGrid w:val="0"/>
        </w:rPr>
      </w:pPr>
      <w:r>
        <w:rPr>
          <w:snapToGrid w:val="0"/>
        </w:rPr>
        <w:t>…,</w:t>
      </w:r>
      <w:r w:rsidR="00B71735">
        <w:rPr>
          <w:snapToGrid w:val="0"/>
        </w:rPr>
        <w:t xml:space="preserve"> </w:t>
      </w:r>
      <w:r w:rsidR="00B71735" w:rsidRPr="00E66232">
        <w:rPr>
          <w:i/>
          <w:snapToGrid w:val="0"/>
        </w:rPr>
        <w:t>Guide for Risk Analysis</w:t>
      </w:r>
      <w:r w:rsidR="00B71735">
        <w:rPr>
          <w:snapToGrid w:val="0"/>
        </w:rPr>
        <w:t xml:space="preserve">, </w:t>
      </w:r>
      <w:proofErr w:type="spellStart"/>
      <w:r w:rsidR="006D03BB">
        <w:rPr>
          <w:snapToGrid w:val="0"/>
        </w:rPr>
        <w:t>Registro</w:t>
      </w:r>
      <w:proofErr w:type="spellEnd"/>
      <w:r w:rsidR="006D03BB">
        <w:rPr>
          <w:snapToGrid w:val="0"/>
        </w:rPr>
        <w:t xml:space="preserve"> </w:t>
      </w:r>
      <w:proofErr w:type="spellStart"/>
      <w:r w:rsidR="006D03BB">
        <w:rPr>
          <w:snapToGrid w:val="0"/>
        </w:rPr>
        <w:t>Italiano</w:t>
      </w:r>
      <w:proofErr w:type="spellEnd"/>
      <w:r w:rsidR="006D03BB">
        <w:rPr>
          <w:snapToGrid w:val="0"/>
        </w:rPr>
        <w:t xml:space="preserve"> </w:t>
      </w:r>
      <w:proofErr w:type="spellStart"/>
      <w:r w:rsidR="006D03BB">
        <w:rPr>
          <w:snapToGrid w:val="0"/>
        </w:rPr>
        <w:t>Navale</w:t>
      </w:r>
      <w:proofErr w:type="spellEnd"/>
      <w:r w:rsidR="00B71735">
        <w:rPr>
          <w:snapToGrid w:val="0"/>
        </w:rPr>
        <w:t>, Genova, 2010</w:t>
      </w:r>
    </w:p>
    <w:p w14:paraId="630C4E5E" w14:textId="371704EE" w:rsidR="00B71735" w:rsidRPr="00B71735" w:rsidRDefault="0016317C" w:rsidP="00B71735">
      <w:pPr>
        <w:pStyle w:val="References"/>
        <w:ind w:left="357" w:hanging="357"/>
        <w:rPr>
          <w:snapToGrid w:val="0"/>
        </w:rPr>
      </w:pPr>
      <w:r>
        <w:rPr>
          <w:snapToGrid w:val="0"/>
        </w:rPr>
        <w:t>…,</w:t>
      </w:r>
      <w:r w:rsidR="00B71735">
        <w:rPr>
          <w:snapToGrid w:val="0"/>
        </w:rPr>
        <w:t xml:space="preserve"> </w:t>
      </w:r>
      <w:r w:rsidR="00B71735" w:rsidRPr="00E66232">
        <w:rPr>
          <w:i/>
          <w:snapToGrid w:val="0"/>
        </w:rPr>
        <w:t>Guide for Failure Mode and Effect Analysis</w:t>
      </w:r>
      <w:r w:rsidR="00B71735">
        <w:rPr>
          <w:snapToGrid w:val="0"/>
        </w:rPr>
        <w:t xml:space="preserve">, </w:t>
      </w:r>
      <w:proofErr w:type="spellStart"/>
      <w:r w:rsidR="006D03BB">
        <w:rPr>
          <w:snapToGrid w:val="0"/>
        </w:rPr>
        <w:t>Registro</w:t>
      </w:r>
      <w:proofErr w:type="spellEnd"/>
      <w:r w:rsidR="006D03BB">
        <w:rPr>
          <w:snapToGrid w:val="0"/>
        </w:rPr>
        <w:t xml:space="preserve"> </w:t>
      </w:r>
      <w:proofErr w:type="spellStart"/>
      <w:r w:rsidR="006D03BB">
        <w:rPr>
          <w:snapToGrid w:val="0"/>
        </w:rPr>
        <w:t>Italiano</w:t>
      </w:r>
      <w:proofErr w:type="spellEnd"/>
      <w:r w:rsidR="006D03BB">
        <w:rPr>
          <w:snapToGrid w:val="0"/>
        </w:rPr>
        <w:t xml:space="preserve"> </w:t>
      </w:r>
      <w:proofErr w:type="spellStart"/>
      <w:r w:rsidR="006D03BB">
        <w:rPr>
          <w:snapToGrid w:val="0"/>
        </w:rPr>
        <w:t>Navale</w:t>
      </w:r>
      <w:proofErr w:type="spellEnd"/>
      <w:r w:rsidR="00B71735">
        <w:rPr>
          <w:snapToGrid w:val="0"/>
        </w:rPr>
        <w:t>, 2017</w:t>
      </w:r>
    </w:p>
    <w:p w14:paraId="2AF4E7F6" w14:textId="77777777" w:rsidR="00DE196A" w:rsidRPr="00496C34" w:rsidRDefault="00DE196A" w:rsidP="00DE196A">
      <w:pPr>
        <w:pStyle w:val="References"/>
        <w:rPr>
          <w:snapToGrid w:val="0"/>
        </w:rPr>
      </w:pPr>
      <w:r>
        <w:rPr>
          <w:snapToGrid w:val="0"/>
        </w:rPr>
        <w:t xml:space="preserve">E. </w:t>
      </w:r>
      <w:proofErr w:type="spellStart"/>
      <w:r>
        <w:rPr>
          <w:snapToGrid w:val="0"/>
        </w:rPr>
        <w:t>Laurini</w:t>
      </w:r>
      <w:proofErr w:type="spellEnd"/>
      <w:r>
        <w:rPr>
          <w:snapToGrid w:val="0"/>
        </w:rPr>
        <w:t xml:space="preserve">, P. </w:t>
      </w:r>
      <w:proofErr w:type="spellStart"/>
      <w:r>
        <w:rPr>
          <w:snapToGrid w:val="0"/>
        </w:rPr>
        <w:t>Posocco</w:t>
      </w:r>
      <w:proofErr w:type="spellEnd"/>
      <w:r>
        <w:rPr>
          <w:snapToGrid w:val="0"/>
        </w:rPr>
        <w:t xml:space="preserve">, M. </w:t>
      </w:r>
      <w:proofErr w:type="spellStart"/>
      <w:r>
        <w:rPr>
          <w:snapToGrid w:val="0"/>
        </w:rPr>
        <w:t>Fermeglia</w:t>
      </w:r>
      <w:proofErr w:type="spellEnd"/>
      <w:r>
        <w:rPr>
          <w:snapToGrid w:val="0"/>
        </w:rPr>
        <w:t xml:space="preserve">, S. </w:t>
      </w:r>
      <w:proofErr w:type="spellStart"/>
      <w:r>
        <w:rPr>
          <w:snapToGrid w:val="0"/>
        </w:rPr>
        <w:t>Pricl</w:t>
      </w:r>
      <w:proofErr w:type="spellEnd"/>
      <w:r>
        <w:rPr>
          <w:snapToGrid w:val="0"/>
        </w:rPr>
        <w:t xml:space="preserve">, </w:t>
      </w:r>
      <w:proofErr w:type="spellStart"/>
      <w:r w:rsidRPr="001C6644">
        <w:rPr>
          <w:snapToGrid w:val="0"/>
        </w:rPr>
        <w:t>MoDeNa</w:t>
      </w:r>
      <w:proofErr w:type="spellEnd"/>
      <w:r w:rsidRPr="001C6644">
        <w:rPr>
          <w:snapToGrid w:val="0"/>
        </w:rPr>
        <w:t xml:space="preserve"> </w:t>
      </w:r>
      <w:proofErr w:type="spellStart"/>
      <w:r w:rsidRPr="001C6644">
        <w:rPr>
          <w:snapToGrid w:val="0"/>
        </w:rPr>
        <w:t>Nanotools</w:t>
      </w:r>
      <w:proofErr w:type="spellEnd"/>
      <w:r w:rsidRPr="001C6644">
        <w:rPr>
          <w:snapToGrid w:val="0"/>
        </w:rPr>
        <w:t>: An integrated multiscale simulation workflow to</w:t>
      </w:r>
      <w:r>
        <w:rPr>
          <w:snapToGrid w:val="0"/>
        </w:rPr>
        <w:t xml:space="preserve"> </w:t>
      </w:r>
      <w:r w:rsidRPr="001C6644">
        <w:rPr>
          <w:snapToGrid w:val="0"/>
        </w:rPr>
        <w:t xml:space="preserve">predict </w:t>
      </w:r>
      <w:proofErr w:type="spellStart"/>
      <w:r w:rsidRPr="001C6644">
        <w:rPr>
          <w:snapToGrid w:val="0"/>
        </w:rPr>
        <w:t>thermophysical</w:t>
      </w:r>
      <w:proofErr w:type="spellEnd"/>
      <w:r w:rsidRPr="001C6644">
        <w:rPr>
          <w:snapToGrid w:val="0"/>
        </w:rPr>
        <w:t xml:space="preserve"> properties of thermoplastic polyurethanes</w:t>
      </w:r>
      <w:r>
        <w:rPr>
          <w:snapToGrid w:val="0"/>
        </w:rPr>
        <w:t xml:space="preserve">, </w:t>
      </w:r>
      <w:r w:rsidRPr="001C6644">
        <w:rPr>
          <w:i/>
          <w:snapToGrid w:val="0"/>
        </w:rPr>
        <w:t>Journal of Computational Science</w:t>
      </w:r>
      <w:r>
        <w:rPr>
          <w:snapToGrid w:val="0"/>
        </w:rPr>
        <w:t xml:space="preserve"> </w:t>
      </w:r>
      <w:r w:rsidRPr="001C6644">
        <w:rPr>
          <w:b/>
          <w:snapToGrid w:val="0"/>
        </w:rPr>
        <w:t>15</w:t>
      </w:r>
      <w:r>
        <w:rPr>
          <w:snapToGrid w:val="0"/>
        </w:rPr>
        <w:t xml:space="preserve"> (2016), 24-33.</w:t>
      </w:r>
    </w:p>
    <w:p w14:paraId="10739B2B" w14:textId="77777777" w:rsidR="00DE196A" w:rsidRDefault="00DE196A" w:rsidP="00DE196A">
      <w:pPr>
        <w:pStyle w:val="References"/>
        <w:rPr>
          <w:snapToGrid w:val="0"/>
        </w:rPr>
      </w:pPr>
      <w:r w:rsidRPr="000A596A">
        <w:rPr>
          <w:snapToGrid w:val="0"/>
        </w:rPr>
        <w:t xml:space="preserve">E. </w:t>
      </w:r>
      <w:proofErr w:type="spellStart"/>
      <w:r w:rsidRPr="000A596A">
        <w:rPr>
          <w:snapToGrid w:val="0"/>
        </w:rPr>
        <w:t>Laurini</w:t>
      </w:r>
      <w:proofErr w:type="spellEnd"/>
      <w:r w:rsidRPr="000A596A">
        <w:rPr>
          <w:snapToGrid w:val="0"/>
        </w:rPr>
        <w:t xml:space="preserve">, P. </w:t>
      </w:r>
      <w:proofErr w:type="spellStart"/>
      <w:r w:rsidRPr="000A596A">
        <w:rPr>
          <w:snapToGrid w:val="0"/>
        </w:rPr>
        <w:t>Posocco</w:t>
      </w:r>
      <w:proofErr w:type="spellEnd"/>
      <w:r w:rsidRPr="000A596A">
        <w:rPr>
          <w:snapToGrid w:val="0"/>
        </w:rPr>
        <w:t xml:space="preserve">, M. </w:t>
      </w:r>
      <w:proofErr w:type="spellStart"/>
      <w:r w:rsidRPr="000A596A">
        <w:rPr>
          <w:snapToGrid w:val="0"/>
        </w:rPr>
        <w:t>Fermeglia</w:t>
      </w:r>
      <w:proofErr w:type="spellEnd"/>
      <w:r w:rsidRPr="000A596A">
        <w:rPr>
          <w:snapToGrid w:val="0"/>
        </w:rPr>
        <w:t xml:space="preserve">, S. </w:t>
      </w:r>
      <w:proofErr w:type="spellStart"/>
      <w:r w:rsidRPr="000A596A">
        <w:rPr>
          <w:snapToGrid w:val="0"/>
        </w:rPr>
        <w:t>Pricl</w:t>
      </w:r>
      <w:proofErr w:type="spellEnd"/>
      <w:r w:rsidRPr="000A596A">
        <w:rPr>
          <w:snapToGrid w:val="0"/>
        </w:rPr>
        <w:t xml:space="preserve">, Multiscale molecular modeling of clay-polymer nanocomposites, </w:t>
      </w:r>
      <w:r>
        <w:rPr>
          <w:i/>
          <w:snapToGrid w:val="0"/>
        </w:rPr>
        <w:t>Clay-Polymer N</w:t>
      </w:r>
      <w:r w:rsidRPr="00034705">
        <w:rPr>
          <w:i/>
          <w:snapToGrid w:val="0"/>
        </w:rPr>
        <w:t>anocomposites</w:t>
      </w:r>
      <w:r w:rsidRPr="000A596A">
        <w:rPr>
          <w:snapToGrid w:val="0"/>
        </w:rPr>
        <w:t xml:space="preserve">. </w:t>
      </w:r>
      <w:r>
        <w:rPr>
          <w:i/>
          <w:snapToGrid w:val="0"/>
        </w:rPr>
        <w:t xml:space="preserve">Morphology, Structure, Properties </w:t>
      </w:r>
      <w:proofErr w:type="spellStart"/>
      <w:r>
        <w:rPr>
          <w:i/>
          <w:snapToGrid w:val="0"/>
        </w:rPr>
        <w:t>andA</w:t>
      </w:r>
      <w:r w:rsidRPr="000A596A">
        <w:rPr>
          <w:i/>
          <w:snapToGrid w:val="0"/>
        </w:rPr>
        <w:t>applications</w:t>
      </w:r>
      <w:proofErr w:type="spellEnd"/>
      <w:r w:rsidRPr="000A596A">
        <w:rPr>
          <w:snapToGrid w:val="0"/>
        </w:rPr>
        <w:t xml:space="preserve">, </w:t>
      </w:r>
      <w:r>
        <w:rPr>
          <w:snapToGrid w:val="0"/>
        </w:rPr>
        <w:t>Elsevier B.V., Amsterdam, The Netherlands, 2017, 83-112.</w:t>
      </w:r>
    </w:p>
    <w:p w14:paraId="3E146915" w14:textId="77777777" w:rsidR="00DE196A" w:rsidRPr="000A596A" w:rsidRDefault="00DE196A" w:rsidP="00DE196A">
      <w:pPr>
        <w:pStyle w:val="References"/>
        <w:rPr>
          <w:snapToGrid w:val="0"/>
        </w:rPr>
      </w:pPr>
      <w:r>
        <w:rPr>
          <w:snapToGrid w:val="0"/>
        </w:rPr>
        <w:t xml:space="preserve">E. </w:t>
      </w:r>
      <w:proofErr w:type="spellStart"/>
      <w:r>
        <w:rPr>
          <w:snapToGrid w:val="0"/>
        </w:rPr>
        <w:t>Laurini</w:t>
      </w:r>
      <w:proofErr w:type="spellEnd"/>
      <w:r>
        <w:rPr>
          <w:snapToGrid w:val="0"/>
        </w:rPr>
        <w:t xml:space="preserve">, M. </w:t>
      </w:r>
      <w:proofErr w:type="spellStart"/>
      <w:r>
        <w:rPr>
          <w:snapToGrid w:val="0"/>
        </w:rPr>
        <w:t>Fermeglia</w:t>
      </w:r>
      <w:proofErr w:type="spellEnd"/>
      <w:r>
        <w:rPr>
          <w:snapToGrid w:val="0"/>
        </w:rPr>
        <w:t xml:space="preserve">, S. </w:t>
      </w:r>
      <w:proofErr w:type="spellStart"/>
      <w:r>
        <w:rPr>
          <w:snapToGrid w:val="0"/>
        </w:rPr>
        <w:t>Pricl</w:t>
      </w:r>
      <w:proofErr w:type="spellEnd"/>
      <w:r>
        <w:rPr>
          <w:snapToGrid w:val="0"/>
        </w:rPr>
        <w:t xml:space="preserve">, </w:t>
      </w:r>
      <w:r w:rsidRPr="002C3713">
        <w:rPr>
          <w:snapToGrid w:val="0"/>
        </w:rPr>
        <w:t>Materials by de</w:t>
      </w:r>
      <w:r>
        <w:rPr>
          <w:snapToGrid w:val="0"/>
        </w:rPr>
        <w:t>sign: multiscale molecular mode</w:t>
      </w:r>
      <w:r w:rsidRPr="002C3713">
        <w:rPr>
          <w:snapToGrid w:val="0"/>
        </w:rPr>
        <w:t>ling for the design of nanostructured membranes</w:t>
      </w:r>
      <w:r>
        <w:rPr>
          <w:snapToGrid w:val="0"/>
        </w:rPr>
        <w:t xml:space="preserve">, </w:t>
      </w:r>
      <w:r w:rsidRPr="00034705">
        <w:rPr>
          <w:i/>
          <w:snapToGrid w:val="0"/>
        </w:rPr>
        <w:t>Membrane Engineering for the Treatment of Gases</w:t>
      </w:r>
      <w:r>
        <w:rPr>
          <w:snapToGrid w:val="0"/>
        </w:rPr>
        <w:t xml:space="preserve">, The Royal </w:t>
      </w:r>
      <w:proofErr w:type="spellStart"/>
      <w:r>
        <w:rPr>
          <w:snapToGrid w:val="0"/>
        </w:rPr>
        <w:t>Sociaty</w:t>
      </w:r>
      <w:proofErr w:type="spellEnd"/>
      <w:r>
        <w:rPr>
          <w:snapToGrid w:val="0"/>
        </w:rPr>
        <w:t xml:space="preserve"> of Chemistry, London, United Kingdom, 2018, 28-49.</w:t>
      </w:r>
    </w:p>
    <w:p w14:paraId="3EF96E37" w14:textId="45B0A2CF" w:rsidR="00631672" w:rsidRPr="00D6512A" w:rsidRDefault="00DE196A" w:rsidP="00D6512A">
      <w:pPr>
        <w:pStyle w:val="References"/>
        <w:rPr>
          <w:snapToGrid w:val="0"/>
        </w:rPr>
      </w:pPr>
      <w:r>
        <w:rPr>
          <w:snapToGrid w:val="0"/>
        </w:rPr>
        <w:t xml:space="preserve">M. F. Ashby, </w:t>
      </w:r>
      <w:r w:rsidRPr="00487A17">
        <w:rPr>
          <w:i/>
          <w:snapToGrid w:val="0"/>
        </w:rPr>
        <w:t>Materials Selection in Mechanical Design</w:t>
      </w:r>
      <w:r>
        <w:rPr>
          <w:snapToGrid w:val="0"/>
        </w:rPr>
        <w:t xml:space="preserve">, </w:t>
      </w:r>
      <w:r w:rsidRPr="00487A17">
        <w:rPr>
          <w:snapToGrid w:val="0"/>
        </w:rPr>
        <w:t xml:space="preserve">Butterworth Heinemann, </w:t>
      </w:r>
      <w:r>
        <w:rPr>
          <w:snapToGrid w:val="0"/>
        </w:rPr>
        <w:t xml:space="preserve">Linacre House, United Kingdom, </w:t>
      </w:r>
      <w:r w:rsidRPr="00487A17">
        <w:rPr>
          <w:snapToGrid w:val="0"/>
        </w:rPr>
        <w:t>19</w:t>
      </w:r>
      <w:r>
        <w:rPr>
          <w:snapToGrid w:val="0"/>
        </w:rPr>
        <w:t>99.</w:t>
      </w:r>
    </w:p>
    <w:sectPr w:rsidR="00631672" w:rsidRPr="00D6512A">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33C52" w14:textId="77777777" w:rsidR="00AF6A93" w:rsidRDefault="00AF6A93">
      <w:r>
        <w:separator/>
      </w:r>
    </w:p>
  </w:endnote>
  <w:endnote w:type="continuationSeparator" w:id="0">
    <w:p w14:paraId="0FB55E74" w14:textId="77777777" w:rsidR="00AF6A93" w:rsidRDefault="00AF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51E85" w14:textId="77777777" w:rsidR="00AF6A93" w:rsidRDefault="00AF6A93">
      <w:r>
        <w:separator/>
      </w:r>
    </w:p>
  </w:footnote>
  <w:footnote w:type="continuationSeparator" w:id="0">
    <w:p w14:paraId="67C2DFDD" w14:textId="77777777" w:rsidR="00AF6A93" w:rsidRDefault="00AF6A93">
      <w:r>
        <w:continuationSeparator/>
      </w:r>
    </w:p>
  </w:footnote>
  <w:footnote w:id="1">
    <w:p w14:paraId="3AA69A72" w14:textId="3B23268D" w:rsidR="00B05D6E" w:rsidRPr="006A3A85" w:rsidRDefault="00B05D6E">
      <w:pPr>
        <w:pStyle w:val="FootnoteText"/>
        <w:rPr>
          <w:rStyle w:val="FootnoteChar"/>
          <w:szCs w:val="16"/>
        </w:rPr>
      </w:pPr>
      <w:r>
        <w:rPr>
          <w:rStyle w:val="FootnoteReference"/>
        </w:rPr>
        <w:footnoteRef/>
      </w:r>
      <w:r w:rsidRPr="006A3A85">
        <w:rPr>
          <w:rStyle w:val="FootnoteChar"/>
        </w:rPr>
        <w:t xml:space="preserve"> </w:t>
      </w:r>
      <w:r w:rsidR="006A3A85" w:rsidRPr="006A3A85">
        <w:rPr>
          <w:rStyle w:val="FootnoteChar"/>
        </w:rPr>
        <w:t xml:space="preserve">Serena </w:t>
      </w:r>
      <w:proofErr w:type="spellStart"/>
      <w:r w:rsidR="006A3A85" w:rsidRPr="006A3A85">
        <w:rPr>
          <w:rStyle w:val="FootnoteChar"/>
        </w:rPr>
        <w:t>Bertagna</w:t>
      </w:r>
      <w:proofErr w:type="spellEnd"/>
      <w:r w:rsidR="006161C2" w:rsidRPr="006A3A85">
        <w:rPr>
          <w:rStyle w:val="FootnoteChar"/>
          <w:szCs w:val="16"/>
        </w:rPr>
        <w:t>,</w:t>
      </w:r>
      <w:r w:rsidR="006A3A85" w:rsidRPr="006A3A85">
        <w:rPr>
          <w:rStyle w:val="FootnoteChar"/>
          <w:szCs w:val="16"/>
        </w:rPr>
        <w:t xml:space="preserve"> Department of Engineering and Architecture, University of Trieste, via A.</w:t>
      </w:r>
      <w:r w:rsidR="006A3A85">
        <w:rPr>
          <w:rStyle w:val="FootnoteChar"/>
          <w:szCs w:val="16"/>
        </w:rPr>
        <w:t xml:space="preserve"> Valerio, 10, I-34127 Trieste</w:t>
      </w:r>
      <w:r w:rsidR="006161C2" w:rsidRPr="006A3A85">
        <w:rPr>
          <w:sz w:val="16"/>
          <w:szCs w:val="16"/>
        </w:rPr>
        <w:t xml:space="preserve">; </w:t>
      </w:r>
      <w:r w:rsidR="000731A0">
        <w:rPr>
          <w:sz w:val="16"/>
          <w:szCs w:val="16"/>
        </w:rPr>
        <w:t>e</w:t>
      </w:r>
      <w:r w:rsidR="006161C2" w:rsidRPr="006A3A85">
        <w:rPr>
          <w:sz w:val="16"/>
          <w:szCs w:val="16"/>
        </w:rPr>
        <w:t xml:space="preserve">-mail: </w:t>
      </w:r>
      <w:r w:rsidR="006A3A85">
        <w:rPr>
          <w:sz w:val="16"/>
          <w:szCs w:val="16"/>
        </w:rPr>
        <w:t>sbertagna@units.it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4330FAC4"/>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D8"/>
    <w:rsid w:val="000067BA"/>
    <w:rsid w:val="000304E8"/>
    <w:rsid w:val="000320F8"/>
    <w:rsid w:val="000569DF"/>
    <w:rsid w:val="000642D0"/>
    <w:rsid w:val="00064B86"/>
    <w:rsid w:val="000667CE"/>
    <w:rsid w:val="000731A0"/>
    <w:rsid w:val="0007342D"/>
    <w:rsid w:val="00073851"/>
    <w:rsid w:val="00082279"/>
    <w:rsid w:val="00083B35"/>
    <w:rsid w:val="00086579"/>
    <w:rsid w:val="000867F6"/>
    <w:rsid w:val="000932DB"/>
    <w:rsid w:val="000C3306"/>
    <w:rsid w:val="000C3D6C"/>
    <w:rsid w:val="000F148F"/>
    <w:rsid w:val="000F7BC4"/>
    <w:rsid w:val="000F7E2F"/>
    <w:rsid w:val="001032BC"/>
    <w:rsid w:val="00106142"/>
    <w:rsid w:val="00107C84"/>
    <w:rsid w:val="0016317C"/>
    <w:rsid w:val="001752A0"/>
    <w:rsid w:val="001846CD"/>
    <w:rsid w:val="00190CC7"/>
    <w:rsid w:val="001B4C95"/>
    <w:rsid w:val="001C2116"/>
    <w:rsid w:val="001E5A01"/>
    <w:rsid w:val="001F0EC6"/>
    <w:rsid w:val="002063AD"/>
    <w:rsid w:val="00237FA0"/>
    <w:rsid w:val="002508D0"/>
    <w:rsid w:val="0028266A"/>
    <w:rsid w:val="0029493F"/>
    <w:rsid w:val="002C1257"/>
    <w:rsid w:val="002E4AEB"/>
    <w:rsid w:val="0031267F"/>
    <w:rsid w:val="00332516"/>
    <w:rsid w:val="003371E0"/>
    <w:rsid w:val="00350DAE"/>
    <w:rsid w:val="00357A4A"/>
    <w:rsid w:val="003628C6"/>
    <w:rsid w:val="003725B4"/>
    <w:rsid w:val="00374FB1"/>
    <w:rsid w:val="003A0873"/>
    <w:rsid w:val="003C20D9"/>
    <w:rsid w:val="003F39D8"/>
    <w:rsid w:val="003F49B2"/>
    <w:rsid w:val="0040339B"/>
    <w:rsid w:val="00451230"/>
    <w:rsid w:val="00451285"/>
    <w:rsid w:val="00470902"/>
    <w:rsid w:val="00472AB0"/>
    <w:rsid w:val="0048351B"/>
    <w:rsid w:val="004962D6"/>
    <w:rsid w:val="004B49D8"/>
    <w:rsid w:val="004C2330"/>
    <w:rsid w:val="004C33D5"/>
    <w:rsid w:val="004E04CC"/>
    <w:rsid w:val="0050682B"/>
    <w:rsid w:val="00516288"/>
    <w:rsid w:val="00517D39"/>
    <w:rsid w:val="00523782"/>
    <w:rsid w:val="00533D80"/>
    <w:rsid w:val="00534B68"/>
    <w:rsid w:val="00535BD3"/>
    <w:rsid w:val="005510BF"/>
    <w:rsid w:val="005551AB"/>
    <w:rsid w:val="005562D3"/>
    <w:rsid w:val="00585012"/>
    <w:rsid w:val="005910C6"/>
    <w:rsid w:val="005B15EB"/>
    <w:rsid w:val="005B5AE7"/>
    <w:rsid w:val="005F63C9"/>
    <w:rsid w:val="005F6B35"/>
    <w:rsid w:val="00605D38"/>
    <w:rsid w:val="00612575"/>
    <w:rsid w:val="006161C2"/>
    <w:rsid w:val="00631672"/>
    <w:rsid w:val="00636607"/>
    <w:rsid w:val="00643D99"/>
    <w:rsid w:val="00677D9F"/>
    <w:rsid w:val="006909CD"/>
    <w:rsid w:val="00692397"/>
    <w:rsid w:val="006A3A85"/>
    <w:rsid w:val="006D03BB"/>
    <w:rsid w:val="006E1A3E"/>
    <w:rsid w:val="006E4480"/>
    <w:rsid w:val="006E528E"/>
    <w:rsid w:val="006F6D3C"/>
    <w:rsid w:val="007133CC"/>
    <w:rsid w:val="00735917"/>
    <w:rsid w:val="007553EE"/>
    <w:rsid w:val="00763F3B"/>
    <w:rsid w:val="00770768"/>
    <w:rsid w:val="00791773"/>
    <w:rsid w:val="007A4E3B"/>
    <w:rsid w:val="007A61EC"/>
    <w:rsid w:val="007B2530"/>
    <w:rsid w:val="007C0DE8"/>
    <w:rsid w:val="007C3880"/>
    <w:rsid w:val="007C395E"/>
    <w:rsid w:val="007C62EF"/>
    <w:rsid w:val="007E19C4"/>
    <w:rsid w:val="007E2F7F"/>
    <w:rsid w:val="00800F65"/>
    <w:rsid w:val="00815906"/>
    <w:rsid w:val="00826E9B"/>
    <w:rsid w:val="0083197E"/>
    <w:rsid w:val="00840AB8"/>
    <w:rsid w:val="00842AD3"/>
    <w:rsid w:val="00860CFB"/>
    <w:rsid w:val="0087759F"/>
    <w:rsid w:val="008815F9"/>
    <w:rsid w:val="008A6A5B"/>
    <w:rsid w:val="008E032D"/>
    <w:rsid w:val="008F2677"/>
    <w:rsid w:val="008F641D"/>
    <w:rsid w:val="00966F8C"/>
    <w:rsid w:val="00991C0B"/>
    <w:rsid w:val="009A1926"/>
    <w:rsid w:val="009A226B"/>
    <w:rsid w:val="009A4272"/>
    <w:rsid w:val="009A7EBD"/>
    <w:rsid w:val="009B3E09"/>
    <w:rsid w:val="009D6793"/>
    <w:rsid w:val="009D6957"/>
    <w:rsid w:val="00A20129"/>
    <w:rsid w:val="00A21FF4"/>
    <w:rsid w:val="00A56983"/>
    <w:rsid w:val="00A57359"/>
    <w:rsid w:val="00A80BDC"/>
    <w:rsid w:val="00A81FCA"/>
    <w:rsid w:val="00A83E4A"/>
    <w:rsid w:val="00A8765C"/>
    <w:rsid w:val="00A87C40"/>
    <w:rsid w:val="00A9478B"/>
    <w:rsid w:val="00AB1473"/>
    <w:rsid w:val="00AB4801"/>
    <w:rsid w:val="00AC5EB9"/>
    <w:rsid w:val="00AE2DD3"/>
    <w:rsid w:val="00AE550A"/>
    <w:rsid w:val="00AF4E06"/>
    <w:rsid w:val="00AF6A93"/>
    <w:rsid w:val="00B05D6E"/>
    <w:rsid w:val="00B15B55"/>
    <w:rsid w:val="00B2283D"/>
    <w:rsid w:val="00B26489"/>
    <w:rsid w:val="00B30855"/>
    <w:rsid w:val="00B4099E"/>
    <w:rsid w:val="00B50FE6"/>
    <w:rsid w:val="00B518F8"/>
    <w:rsid w:val="00B54295"/>
    <w:rsid w:val="00B71735"/>
    <w:rsid w:val="00B85301"/>
    <w:rsid w:val="00B95D94"/>
    <w:rsid w:val="00BA3B1E"/>
    <w:rsid w:val="00BC20CA"/>
    <w:rsid w:val="00BC2997"/>
    <w:rsid w:val="00BD33C3"/>
    <w:rsid w:val="00BD51E4"/>
    <w:rsid w:val="00BF7E47"/>
    <w:rsid w:val="00C01B3D"/>
    <w:rsid w:val="00C02EA8"/>
    <w:rsid w:val="00C10F61"/>
    <w:rsid w:val="00C1538B"/>
    <w:rsid w:val="00C26904"/>
    <w:rsid w:val="00C34CC6"/>
    <w:rsid w:val="00C5178B"/>
    <w:rsid w:val="00C620FE"/>
    <w:rsid w:val="00C80698"/>
    <w:rsid w:val="00C97D11"/>
    <w:rsid w:val="00CA07AC"/>
    <w:rsid w:val="00CA468B"/>
    <w:rsid w:val="00CA745F"/>
    <w:rsid w:val="00CB36B1"/>
    <w:rsid w:val="00CC5006"/>
    <w:rsid w:val="00CD13DA"/>
    <w:rsid w:val="00CF5C91"/>
    <w:rsid w:val="00D128CA"/>
    <w:rsid w:val="00D20F2F"/>
    <w:rsid w:val="00D24AA7"/>
    <w:rsid w:val="00D27E74"/>
    <w:rsid w:val="00D448D5"/>
    <w:rsid w:val="00D51473"/>
    <w:rsid w:val="00D6512A"/>
    <w:rsid w:val="00D82BC9"/>
    <w:rsid w:val="00D86505"/>
    <w:rsid w:val="00DA060E"/>
    <w:rsid w:val="00DE196A"/>
    <w:rsid w:val="00DE6056"/>
    <w:rsid w:val="00E121BF"/>
    <w:rsid w:val="00E161F3"/>
    <w:rsid w:val="00E443F1"/>
    <w:rsid w:val="00E47152"/>
    <w:rsid w:val="00E66232"/>
    <w:rsid w:val="00E8137F"/>
    <w:rsid w:val="00E91DE1"/>
    <w:rsid w:val="00E9738B"/>
    <w:rsid w:val="00EA1A8C"/>
    <w:rsid w:val="00ED0975"/>
    <w:rsid w:val="00EE0B98"/>
    <w:rsid w:val="00EF7FD0"/>
    <w:rsid w:val="00F0142E"/>
    <w:rsid w:val="00F0411F"/>
    <w:rsid w:val="00F07FC3"/>
    <w:rsid w:val="00F14C9B"/>
    <w:rsid w:val="00F15F7A"/>
    <w:rsid w:val="00F23ABE"/>
    <w:rsid w:val="00F244C0"/>
    <w:rsid w:val="00F326C6"/>
    <w:rsid w:val="00F33B0A"/>
    <w:rsid w:val="00F41053"/>
    <w:rsid w:val="00F53B3A"/>
    <w:rsid w:val="00F57A73"/>
    <w:rsid w:val="00F67A03"/>
    <w:rsid w:val="00F76BBB"/>
    <w:rsid w:val="00F807A8"/>
    <w:rsid w:val="00F9550A"/>
    <w:rsid w:val="00F97687"/>
    <w:rsid w:val="00FA424B"/>
    <w:rsid w:val="00FE53A4"/>
    <w:rsid w:val="00FE693E"/>
    <w:rsid w:val="00FF73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E2581"/>
  <w15:docId w15:val="{76F07DED-4AAC-4F39-BA8D-F69FAA80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A0"/>
    <w:pPr>
      <w:ind w:firstLine="357"/>
      <w:jc w:val="both"/>
    </w:pPr>
    <w:rPr>
      <w:szCs w:val="24"/>
      <w:lang w:val="en-US" w:eastAsia="ja-JP"/>
    </w:rPr>
  </w:style>
  <w:style w:type="paragraph" w:styleId="Heading1">
    <w:name w:val="heading 1"/>
    <w:basedOn w:val="Normal"/>
    <w:next w:val="NoindentNormal"/>
    <w:link w:val="Heading1Char"/>
    <w:uiPriority w:val="9"/>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Header">
    <w:name w:val="header"/>
    <w:basedOn w:val="Normal"/>
    <w:link w:val="HeaderChar"/>
    <w:uiPriority w:val="99"/>
    <w:unhideWhenUsed/>
    <w:rsid w:val="004B49D8"/>
    <w:pPr>
      <w:tabs>
        <w:tab w:val="center" w:pos="4819"/>
        <w:tab w:val="right" w:pos="9638"/>
      </w:tabs>
    </w:pPr>
  </w:style>
  <w:style w:type="character" w:customStyle="1" w:styleId="HeaderChar">
    <w:name w:val="Header Char"/>
    <w:basedOn w:val="DefaultParagraphFont"/>
    <w:link w:val="Header"/>
    <w:uiPriority w:val="99"/>
    <w:rsid w:val="004B49D8"/>
    <w:rPr>
      <w:szCs w:val="24"/>
      <w:lang w:val="en-US" w:eastAsia="ja-JP"/>
    </w:rPr>
  </w:style>
  <w:style w:type="paragraph" w:styleId="Footer">
    <w:name w:val="footer"/>
    <w:basedOn w:val="Normal"/>
    <w:link w:val="FooterChar"/>
    <w:uiPriority w:val="99"/>
    <w:unhideWhenUsed/>
    <w:rsid w:val="004B49D8"/>
    <w:pPr>
      <w:tabs>
        <w:tab w:val="center" w:pos="4819"/>
        <w:tab w:val="right" w:pos="9638"/>
      </w:tabs>
    </w:pPr>
  </w:style>
  <w:style w:type="character" w:customStyle="1" w:styleId="FooterChar">
    <w:name w:val="Footer Char"/>
    <w:basedOn w:val="DefaultParagraphFont"/>
    <w:link w:val="Footer"/>
    <w:uiPriority w:val="99"/>
    <w:rsid w:val="004B49D8"/>
    <w:rPr>
      <w:szCs w:val="24"/>
      <w:lang w:val="en-US" w:eastAsia="ja-JP"/>
    </w:rPr>
  </w:style>
  <w:style w:type="character" w:styleId="CommentReference">
    <w:name w:val="annotation reference"/>
    <w:uiPriority w:val="99"/>
    <w:semiHidden/>
    <w:unhideWhenUsed/>
    <w:rsid w:val="00CA07AC"/>
    <w:rPr>
      <w:sz w:val="16"/>
      <w:szCs w:val="16"/>
    </w:rPr>
  </w:style>
  <w:style w:type="paragraph" w:styleId="CommentText">
    <w:name w:val="annotation text"/>
    <w:basedOn w:val="Normal"/>
    <w:link w:val="CommentTextChar"/>
    <w:uiPriority w:val="99"/>
    <w:semiHidden/>
    <w:unhideWhenUsed/>
    <w:rsid w:val="00CA07AC"/>
    <w:rPr>
      <w:szCs w:val="20"/>
    </w:rPr>
  </w:style>
  <w:style w:type="character" w:customStyle="1" w:styleId="CommentTextChar">
    <w:name w:val="Comment Text Char"/>
    <w:basedOn w:val="DefaultParagraphFont"/>
    <w:link w:val="CommentText"/>
    <w:uiPriority w:val="99"/>
    <w:semiHidden/>
    <w:rsid w:val="00CA07AC"/>
    <w:rPr>
      <w:lang w:val="en-US" w:eastAsia="ja-JP"/>
    </w:rPr>
  </w:style>
  <w:style w:type="paragraph" w:styleId="CommentSubject">
    <w:name w:val="annotation subject"/>
    <w:basedOn w:val="CommentText"/>
    <w:next w:val="CommentText"/>
    <w:link w:val="CommentSubjectChar"/>
    <w:uiPriority w:val="99"/>
    <w:semiHidden/>
    <w:unhideWhenUsed/>
    <w:rsid w:val="00E121BF"/>
    <w:rPr>
      <w:b/>
      <w:bCs/>
    </w:rPr>
  </w:style>
  <w:style w:type="character" w:customStyle="1" w:styleId="CommentSubjectChar">
    <w:name w:val="Comment Subject Char"/>
    <w:basedOn w:val="CommentTextChar"/>
    <w:link w:val="CommentSubject"/>
    <w:uiPriority w:val="99"/>
    <w:semiHidden/>
    <w:rsid w:val="00E121BF"/>
    <w:rPr>
      <w:b/>
      <w:bCs/>
      <w:lang w:val="en-US" w:eastAsia="ja-JP"/>
    </w:rPr>
  </w:style>
  <w:style w:type="paragraph" w:styleId="BalloonText">
    <w:name w:val="Balloon Text"/>
    <w:basedOn w:val="Normal"/>
    <w:link w:val="BalloonTextChar"/>
    <w:uiPriority w:val="99"/>
    <w:semiHidden/>
    <w:unhideWhenUsed/>
    <w:rsid w:val="00E1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BF"/>
    <w:rPr>
      <w:rFonts w:ascii="Segoe UI" w:hAnsi="Segoe UI" w:cs="Segoe UI"/>
      <w:sz w:val="18"/>
      <w:szCs w:val="18"/>
      <w:lang w:val="en-US" w:eastAsia="ja-JP"/>
    </w:rPr>
  </w:style>
  <w:style w:type="character" w:customStyle="1" w:styleId="Heading1Char">
    <w:name w:val="Heading 1 Char"/>
    <w:basedOn w:val="DefaultParagraphFont"/>
    <w:link w:val="Heading1"/>
    <w:uiPriority w:val="9"/>
    <w:rsid w:val="00A56983"/>
    <w:rPr>
      <w:rFonts w:cs="Arial"/>
      <w:b/>
      <w:bCs/>
      <w:kern w:val="32"/>
      <w:szCs w:val="32"/>
      <w:lang w:val="en-US" w:eastAsia="ja-JP"/>
    </w:rPr>
  </w:style>
  <w:style w:type="paragraph" w:styleId="Bibliography">
    <w:name w:val="Bibliography"/>
    <w:basedOn w:val="Normal"/>
    <w:next w:val="Normal"/>
    <w:uiPriority w:val="37"/>
    <w:unhideWhenUsed/>
    <w:rsid w:val="00A5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5304">
      <w:bodyDiv w:val="1"/>
      <w:marLeft w:val="0"/>
      <w:marRight w:val="0"/>
      <w:marTop w:val="0"/>
      <w:marBottom w:val="0"/>
      <w:divBdr>
        <w:top w:val="none" w:sz="0" w:space="0" w:color="auto"/>
        <w:left w:val="none" w:sz="0" w:space="0" w:color="auto"/>
        <w:bottom w:val="none" w:sz="0" w:space="0" w:color="auto"/>
        <w:right w:val="none" w:sz="0" w:space="0" w:color="auto"/>
      </w:divBdr>
    </w:div>
    <w:div w:id="672875775">
      <w:bodyDiv w:val="1"/>
      <w:marLeft w:val="0"/>
      <w:marRight w:val="0"/>
      <w:marTop w:val="0"/>
      <w:marBottom w:val="0"/>
      <w:divBdr>
        <w:top w:val="none" w:sz="0" w:space="0" w:color="auto"/>
        <w:left w:val="none" w:sz="0" w:space="0" w:color="auto"/>
        <w:bottom w:val="none" w:sz="0" w:space="0" w:color="auto"/>
        <w:right w:val="none" w:sz="0" w:space="0" w:color="auto"/>
      </w:divBdr>
    </w:div>
    <w:div w:id="681207175">
      <w:bodyDiv w:val="1"/>
      <w:marLeft w:val="0"/>
      <w:marRight w:val="0"/>
      <w:marTop w:val="0"/>
      <w:marBottom w:val="0"/>
      <w:divBdr>
        <w:top w:val="none" w:sz="0" w:space="0" w:color="auto"/>
        <w:left w:val="none" w:sz="0" w:space="0" w:color="auto"/>
        <w:bottom w:val="none" w:sz="0" w:space="0" w:color="auto"/>
        <w:right w:val="none" w:sz="0" w:space="0" w:color="auto"/>
      </w:divBdr>
    </w:div>
    <w:div w:id="704133981">
      <w:bodyDiv w:val="1"/>
      <w:marLeft w:val="0"/>
      <w:marRight w:val="0"/>
      <w:marTop w:val="0"/>
      <w:marBottom w:val="0"/>
      <w:divBdr>
        <w:top w:val="none" w:sz="0" w:space="0" w:color="auto"/>
        <w:left w:val="none" w:sz="0" w:space="0" w:color="auto"/>
        <w:bottom w:val="none" w:sz="0" w:space="0" w:color="auto"/>
        <w:right w:val="none" w:sz="0" w:space="0" w:color="auto"/>
      </w:divBdr>
    </w:div>
    <w:div w:id="739523272">
      <w:bodyDiv w:val="1"/>
      <w:marLeft w:val="0"/>
      <w:marRight w:val="0"/>
      <w:marTop w:val="0"/>
      <w:marBottom w:val="0"/>
      <w:divBdr>
        <w:top w:val="none" w:sz="0" w:space="0" w:color="auto"/>
        <w:left w:val="none" w:sz="0" w:space="0" w:color="auto"/>
        <w:bottom w:val="none" w:sz="0" w:space="0" w:color="auto"/>
        <w:right w:val="none" w:sz="0" w:space="0" w:color="auto"/>
      </w:divBdr>
    </w:div>
    <w:div w:id="1149830347">
      <w:bodyDiv w:val="1"/>
      <w:marLeft w:val="0"/>
      <w:marRight w:val="0"/>
      <w:marTop w:val="0"/>
      <w:marBottom w:val="0"/>
      <w:divBdr>
        <w:top w:val="none" w:sz="0" w:space="0" w:color="auto"/>
        <w:left w:val="none" w:sz="0" w:space="0" w:color="auto"/>
        <w:bottom w:val="none" w:sz="0" w:space="0" w:color="auto"/>
        <w:right w:val="none" w:sz="0" w:space="0" w:color="auto"/>
      </w:divBdr>
    </w:div>
    <w:div w:id="1687175646">
      <w:bodyDiv w:val="1"/>
      <w:marLeft w:val="0"/>
      <w:marRight w:val="0"/>
      <w:marTop w:val="0"/>
      <w:marBottom w:val="0"/>
      <w:divBdr>
        <w:top w:val="none" w:sz="0" w:space="0" w:color="auto"/>
        <w:left w:val="none" w:sz="0" w:space="0" w:color="auto"/>
        <w:bottom w:val="none" w:sz="0" w:space="0" w:color="auto"/>
        <w:right w:val="none" w:sz="0" w:space="0" w:color="auto"/>
      </w:divBdr>
    </w:div>
    <w:div w:id="1813399689">
      <w:bodyDiv w:val="1"/>
      <w:marLeft w:val="0"/>
      <w:marRight w:val="0"/>
      <w:marTop w:val="0"/>
      <w:marBottom w:val="0"/>
      <w:divBdr>
        <w:top w:val="none" w:sz="0" w:space="0" w:color="auto"/>
        <w:left w:val="none" w:sz="0" w:space="0" w:color="auto"/>
        <w:bottom w:val="none" w:sz="0" w:space="0" w:color="auto"/>
        <w:right w:val="none" w:sz="0" w:space="0" w:color="auto"/>
      </w:divBdr>
    </w:div>
    <w:div w:id="19265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Articoli\Plastico\NAV\ECRC-Author-Instructions-and-tools-Word\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KBi14</b:Tag>
    <b:SourceType>JournalArticle</b:SourceType>
    <b:Guid>{D6B7BE02-F9F3-473F-A67E-2F038769BF32}</b:Guid>
    <b:Title>Composites and Reinforced Plastics in the Automotive Industry</b:Title>
    <b:Year>2014</b:Year>
    <b:Author>
      <b:Author>
        <b:NameList>
          <b:Person>
            <b:Last>K. Bielefeldt</b:Last>
            <b:First>J.</b:First>
            <b:Middle>Walkowiak, W. Papacz</b:Middle>
          </b:Person>
        </b:NameList>
      </b:Author>
    </b:Author>
    <b:JournalName>Applied Mechanics and Materials</b:JournalName>
    <b:Pages>352-357</b:Pages>
    <b:RefOrder>2</b:RefOrder>
  </b:Source>
  <b:Source>
    <b:Tag>1</b:Tag>
    <b:SourceType>JournalArticle</b:SourceType>
    <b:Guid>{010D9995-7FCF-42C1-ABFD-3C3403D075E4}</b:Guid>
    <b:RefOrder>1</b:RefOrder>
  </b:Source>
</b:Sources>
</file>

<file path=customXml/itemProps1.xml><?xml version="1.0" encoding="utf-8"?>
<ds:datastoreItem xmlns:ds="http://schemas.openxmlformats.org/officeDocument/2006/customXml" ds:itemID="{5AEAD244-9F2E-4413-BBED-433760D3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19</TotalTime>
  <Pages>1</Pages>
  <Words>3361</Words>
  <Characters>19162</Characters>
  <Application>Microsoft Office Word</Application>
  <DocSecurity>0</DocSecurity>
  <Lines>159</Lines>
  <Paragraphs>44</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utente</dc:creator>
  <cp:keywords/>
  <cp:lastModifiedBy>BERTAGNA SERENA</cp:lastModifiedBy>
  <cp:revision>9</cp:revision>
  <cp:lastPrinted>2018-03-22T16:07:00Z</cp:lastPrinted>
  <dcterms:created xsi:type="dcterms:W3CDTF">2018-03-20T16:55:00Z</dcterms:created>
  <dcterms:modified xsi:type="dcterms:W3CDTF">2018-03-22T16:07:00Z</dcterms:modified>
</cp:coreProperties>
</file>