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Default="00DD267A">
      <w:pPr>
        <w:pStyle w:val="Titolo"/>
      </w:pPr>
      <w:r>
        <w:t>An Italian Way for Yacht C</w:t>
      </w:r>
      <w:r w:rsidR="002F01A8" w:rsidRPr="002F01A8">
        <w:t>oding?</w:t>
      </w:r>
    </w:p>
    <w:p w:rsidR="00B05D6E" w:rsidRDefault="00FB2118">
      <w:pPr>
        <w:pStyle w:val="Author"/>
      </w:pPr>
      <w:proofErr w:type="spellStart"/>
      <w:r>
        <w:t>Leonida</w:t>
      </w:r>
      <w:proofErr w:type="spellEnd"/>
      <w:r>
        <w:t xml:space="preserve"> </w:t>
      </w:r>
      <w:proofErr w:type="spellStart"/>
      <w:r>
        <w:t>GIUNTA</w:t>
      </w:r>
      <w:r w:rsidR="00B05D6E">
        <w:rPr>
          <w:vertAlign w:val="superscript"/>
        </w:rPr>
        <w:t>a</w:t>
      </w:r>
      <w:proofErr w:type="spellEnd"/>
      <w:r w:rsidR="00B05D6E">
        <w:rPr>
          <w:vertAlign w:val="superscript"/>
        </w:rPr>
        <w:t>,</w:t>
      </w:r>
      <w:r w:rsidR="00B05D6E">
        <w:rPr>
          <w:rStyle w:val="Rimandonotaapidipagina"/>
        </w:rPr>
        <w:footnoteReference w:id="1"/>
      </w:r>
    </w:p>
    <w:p w:rsidR="00B05D6E" w:rsidRDefault="00B05D6E">
      <w:pPr>
        <w:pStyle w:val="Affiliation"/>
      </w:pPr>
      <w:proofErr w:type="gramStart"/>
      <w:r>
        <w:rPr>
          <w:i w:val="0"/>
          <w:vertAlign w:val="superscript"/>
        </w:rPr>
        <w:t>a</w:t>
      </w:r>
      <w:proofErr w:type="gramEnd"/>
      <w:r>
        <w:rPr>
          <w:sz w:val="8"/>
          <w:szCs w:val="8"/>
        </w:rPr>
        <w:t xml:space="preserve"> </w:t>
      </w:r>
      <w:r w:rsidR="00FB2118">
        <w:t xml:space="preserve">Ca’ </w:t>
      </w:r>
      <w:proofErr w:type="spellStart"/>
      <w:r w:rsidR="00FB2118">
        <w:t>Foscari</w:t>
      </w:r>
      <w:proofErr w:type="spellEnd"/>
      <w:r w:rsidR="00FB2118">
        <w:t xml:space="preserve"> University of Venice</w:t>
      </w:r>
    </w:p>
    <w:p w:rsidR="00B05D6E" w:rsidRDefault="00B05D6E" w:rsidP="00FB2118">
      <w:pPr>
        <w:pStyle w:val="Affiliation"/>
        <w:jc w:val="both"/>
      </w:pPr>
    </w:p>
    <w:p w:rsidR="002F01A8" w:rsidRPr="002F01A8" w:rsidRDefault="00B05D6E" w:rsidP="00A64143">
      <w:pPr>
        <w:pStyle w:val="Abstract"/>
      </w:pPr>
      <w:r>
        <w:rPr>
          <w:b/>
        </w:rPr>
        <w:t>Abstract.</w:t>
      </w:r>
      <w:r w:rsidR="002F01A8" w:rsidRPr="002F01A8">
        <w:t xml:space="preserve"> Many international conventions adopted at IMO level were conceived for “merchant” ships and their application to leisure yachts turned out to be challenging. That’s why alternative solutions have been explored worldwide. In a nutshell, the idea was to create a set of rules and standards specifically adapted to this genre of vessel. Here, the key issue is represented by the establishment of technical, safety and operational parameters appropriate to the size and operation of the said crafts. A successful example of these attempts is offered by t</w:t>
      </w:r>
      <w:r w:rsidR="006F3805">
        <w:t>he two Codes of Practice publish</w:t>
      </w:r>
      <w:r w:rsidR="002F01A8" w:rsidRPr="002F01A8">
        <w:t xml:space="preserve">ed by the UK Maritime &amp; Coastguard Agency (MCA): the Large Commercial Yacht Code (LY3) applicable to vessels </w:t>
      </w:r>
      <w:r w:rsidR="007E2B8B">
        <w:t xml:space="preserve">of </w:t>
      </w:r>
      <w:r w:rsidR="002F01A8" w:rsidRPr="002F01A8">
        <w:t xml:space="preserve">24 </w:t>
      </w:r>
      <w:proofErr w:type="spellStart"/>
      <w:r w:rsidR="002F01A8" w:rsidRPr="002F01A8">
        <w:t>metres</w:t>
      </w:r>
      <w:proofErr w:type="spellEnd"/>
      <w:r w:rsidR="002F01A8" w:rsidRPr="002F01A8">
        <w:t xml:space="preserve"> and over in load line length that don’t carry more than 12 passengers, and the Passenger Yacht Code (PYC) devoted to rule pleasure yachts of any size, which carry more than 12 but not more than 36 passengers.</w:t>
      </w:r>
      <w:r w:rsidR="002F01A8">
        <w:t xml:space="preserve"> </w:t>
      </w:r>
      <w:r w:rsidR="002F01A8" w:rsidRPr="002F01A8">
        <w:t>The Red Ensign Group (REG) is currently updating them through a new regulatory framework. Could this approach be followed also in Italy?</w:t>
      </w:r>
    </w:p>
    <w:p w:rsidR="00B05D6E" w:rsidRPr="0080145E" w:rsidRDefault="00B05D6E" w:rsidP="0080145E">
      <w:pPr>
        <w:pStyle w:val="Keywords"/>
      </w:pPr>
      <w:r>
        <w:rPr>
          <w:b/>
        </w:rPr>
        <w:t>Keywords.</w:t>
      </w:r>
      <w:r w:rsidR="002F01A8">
        <w:t xml:space="preserve"> </w:t>
      </w:r>
      <w:r w:rsidR="0080145E">
        <w:t xml:space="preserve">Yacht; </w:t>
      </w:r>
      <w:r w:rsidR="00AC7249">
        <w:t xml:space="preserve">IMO Conventions; </w:t>
      </w:r>
      <w:r w:rsidR="0080145E">
        <w:t xml:space="preserve">LY3 Code; PYC; REG Yacht Code; Italian </w:t>
      </w:r>
      <w:r w:rsidR="0080145E" w:rsidRPr="0080145E">
        <w:t>Recreational Craft Code</w:t>
      </w:r>
      <w:r w:rsidR="0080145E">
        <w:t xml:space="preserve">; </w:t>
      </w:r>
      <w:r w:rsidR="0080145E" w:rsidRPr="0080145E">
        <w:t>Italian Passenger Yacht Code</w:t>
      </w:r>
    </w:p>
    <w:p w:rsidR="00B05D6E" w:rsidRDefault="00B05D6E" w:rsidP="00F07FC3">
      <w:pPr>
        <w:pStyle w:val="Titolo1"/>
      </w:pPr>
      <w:r>
        <w:t>Introduction</w:t>
      </w:r>
    </w:p>
    <w:p w:rsidR="00B05D6E" w:rsidRDefault="006347FB">
      <w:pPr>
        <w:pStyle w:val="NoindentNormal"/>
      </w:pPr>
      <w:r>
        <w:t>With Legislative Decree No. 229 of November 3</w:t>
      </w:r>
      <w:r w:rsidRPr="006347FB">
        <w:rPr>
          <w:vertAlign w:val="superscript"/>
        </w:rPr>
        <w:t>rd</w:t>
      </w:r>
      <w:r>
        <w:t xml:space="preserve"> 2017 </w:t>
      </w:r>
      <w:r w:rsidR="008E6EA8">
        <w:t xml:space="preserve">a significant </w:t>
      </w:r>
      <w:r w:rsidR="00345D81">
        <w:t xml:space="preserve">market-oriented </w:t>
      </w:r>
      <w:r w:rsidR="008E6EA8">
        <w:t xml:space="preserve">reform of the </w:t>
      </w:r>
      <w:r w:rsidR="00345D81">
        <w:t xml:space="preserve">Italian </w:t>
      </w:r>
      <w:r w:rsidR="008E6EA8">
        <w:t xml:space="preserve">recreational boating </w:t>
      </w:r>
      <w:r w:rsidR="00345D81">
        <w:t>regulation</w:t>
      </w:r>
      <w:r w:rsidR="00A61AA9">
        <w:t xml:space="preserve"> has been </w:t>
      </w:r>
      <w:r w:rsidR="00345D81">
        <w:t>accomplished.</w:t>
      </w:r>
      <w:r w:rsidR="00A61AA9">
        <w:t xml:space="preserve"> In </w:t>
      </w:r>
      <w:r w:rsidR="00C324CB">
        <w:t xml:space="preserve">fact, Legislative Decree No. </w:t>
      </w:r>
      <w:r w:rsidR="00A61AA9">
        <w:t xml:space="preserve">171 </w:t>
      </w:r>
      <w:r w:rsidR="00C324CB">
        <w:t>of July</w:t>
      </w:r>
      <w:r w:rsidR="00A61AA9">
        <w:t xml:space="preserve"> </w:t>
      </w:r>
      <w:r w:rsidR="00C324CB">
        <w:t>18</w:t>
      </w:r>
      <w:r w:rsidR="00C324CB" w:rsidRPr="00C324CB">
        <w:rPr>
          <w:vertAlign w:val="superscript"/>
        </w:rPr>
        <w:t>th</w:t>
      </w:r>
      <w:r w:rsidR="00C324CB">
        <w:t xml:space="preserve"> 2005,</w:t>
      </w:r>
      <w:r w:rsidR="00A61AA9">
        <w:t xml:space="preserve"> which constitutes the Recreational Craft Code, has </w:t>
      </w:r>
      <w:r w:rsidR="0042697A">
        <w:t>been integrated an</w:t>
      </w:r>
      <w:r w:rsidR="0075084A">
        <w:t>d</w:t>
      </w:r>
      <w:r w:rsidR="0042697A">
        <w:t xml:space="preserve"> revised by</w:t>
      </w:r>
      <w:r w:rsidR="0075084A">
        <w:t xml:space="preserve"> the first one. The main aims of the actio</w:t>
      </w:r>
      <w:r w:rsidR="002F01A8">
        <w:t xml:space="preserve">n </w:t>
      </w:r>
      <w:r w:rsidR="008A6EAA">
        <w:t xml:space="preserve">were </w:t>
      </w:r>
      <w:r w:rsidR="002F01A8">
        <w:t xml:space="preserve">already </w:t>
      </w:r>
      <w:r w:rsidR="0075084A">
        <w:t>laid down in Art. 1 of the enabling act, Law No. 167 of October 7</w:t>
      </w:r>
      <w:r w:rsidR="0075084A" w:rsidRPr="0075084A">
        <w:rPr>
          <w:vertAlign w:val="superscript"/>
        </w:rPr>
        <w:t>th</w:t>
      </w:r>
      <w:r w:rsidR="0075084A">
        <w:t xml:space="preserve"> 2015</w:t>
      </w:r>
      <w:r w:rsidR="008A6EAA">
        <w:t>, which had delegated the government to amend the relevant legislation within 24 months.</w:t>
      </w:r>
      <w:r w:rsidR="00B83758">
        <w:t>[</w:t>
      </w:r>
      <w:r w:rsidR="00504DDF">
        <w:t>1</w:t>
      </w:r>
      <w:r w:rsidR="00B83758">
        <w:t>]</w:t>
      </w:r>
      <w:r w:rsidR="008A1D9A">
        <w:t xml:space="preserve"> </w:t>
      </w:r>
      <w:r w:rsidR="00AE567E">
        <w:t>Such a wide-ranging review of t</w:t>
      </w:r>
      <w:r w:rsidR="00780BD7">
        <w:t xml:space="preserve">he previous discipline has been </w:t>
      </w:r>
      <w:r w:rsidR="00AE567E">
        <w:t xml:space="preserve">directed </w:t>
      </w:r>
      <w:r w:rsidR="00780BD7">
        <w:t xml:space="preserve">accordingly </w:t>
      </w:r>
      <w:r w:rsidR="00AE567E">
        <w:t>to</w:t>
      </w:r>
      <w:r w:rsidR="00780BD7">
        <w:t xml:space="preserve"> modify the administrative and navigational regime of watercrafts, to implement controls on the shipping safety and to prevent fires along the coastlines, </w:t>
      </w:r>
      <w:r w:rsidR="003F705E">
        <w:t xml:space="preserve">to update the psychophysical requirements needed for achieving the boating </w:t>
      </w:r>
      <w:proofErr w:type="spellStart"/>
      <w:r w:rsidR="003F705E">
        <w:t>licence</w:t>
      </w:r>
      <w:proofErr w:type="spellEnd"/>
      <w:r w:rsidR="003F705E">
        <w:t xml:space="preserve">, to set up new procedures for the installation of </w:t>
      </w:r>
      <w:r w:rsidR="00735069">
        <w:t xml:space="preserve">cutting edge </w:t>
      </w:r>
      <w:r w:rsidR="003F705E">
        <w:t>feeding machinery</w:t>
      </w:r>
      <w:r w:rsidR="00735069">
        <w:t xml:space="preserve"> for craft engines (using LPG, methane and electricity as a fuel), </w:t>
      </w:r>
      <w:r w:rsidR="000C05CB">
        <w:t xml:space="preserve">to adapt the system of penalties </w:t>
      </w:r>
      <w:r w:rsidR="0054188D">
        <w:t xml:space="preserve">in respect of </w:t>
      </w:r>
      <w:r w:rsidR="00ED061E">
        <w:t>the seriousness of the conduct, of the harm caused to public interests a</w:t>
      </w:r>
      <w:r w:rsidR="003F705E">
        <w:t>nd of the nature of the hazard.</w:t>
      </w:r>
      <w:r w:rsidR="009369ED">
        <w:t>[2]</w:t>
      </w:r>
      <w:r w:rsidR="003F705E">
        <w:t xml:space="preserve"> </w:t>
      </w:r>
      <w:r w:rsidR="00ED061E">
        <w:t xml:space="preserve"> </w:t>
      </w:r>
      <w:r w:rsidR="00780BD7">
        <w:t xml:space="preserve">  </w:t>
      </w:r>
      <w:r w:rsidR="00AE567E">
        <w:t xml:space="preserve"> </w:t>
      </w:r>
      <w:r w:rsidR="002F01A8">
        <w:t xml:space="preserve"> </w:t>
      </w:r>
    </w:p>
    <w:p w:rsidR="00B05D6E" w:rsidRDefault="007E2B8B" w:rsidP="005B057D">
      <w:r>
        <w:t xml:space="preserve">In this context, the </w:t>
      </w:r>
      <w:r w:rsidR="001C180E">
        <w:t xml:space="preserve">attentiveness </w:t>
      </w:r>
      <w:r>
        <w:t xml:space="preserve">to stay at </w:t>
      </w:r>
      <w:r w:rsidR="001C180E" w:rsidRPr="001C180E">
        <w:t>forefront of technological developments</w:t>
      </w:r>
      <w:r w:rsidR="001C180E">
        <w:t xml:space="preserve"> and to intercept the latest economic phenomena have represented two </w:t>
      </w:r>
      <w:r>
        <w:t>of the major challenges</w:t>
      </w:r>
      <w:r w:rsidR="001C180E">
        <w:t xml:space="preserve"> to </w:t>
      </w:r>
      <w:r w:rsidR="00B729B7">
        <w:t xml:space="preserve">be </w:t>
      </w:r>
      <w:r w:rsidR="001C180E">
        <w:t>face</w:t>
      </w:r>
      <w:r w:rsidR="00AE39C5">
        <w:t>d</w:t>
      </w:r>
      <w:r w:rsidR="001C180E">
        <w:t>.</w:t>
      </w:r>
      <w:r>
        <w:t xml:space="preserve"> </w:t>
      </w:r>
      <w:r w:rsidR="008D7323">
        <w:t xml:space="preserve">Indeed, given the </w:t>
      </w:r>
      <w:r w:rsidR="00CA5E40">
        <w:t>transnational character of the nautical tourism as well as of the boating,</w:t>
      </w:r>
      <w:r w:rsidR="00B729B7">
        <w:t xml:space="preserve"> the efficiency and the value of the newborn measure s</w:t>
      </w:r>
      <w:r w:rsidR="00F16BC5">
        <w:t xml:space="preserve">hould be </w:t>
      </w:r>
      <w:r w:rsidR="00E0366F">
        <w:lastRenderedPageBreak/>
        <w:t xml:space="preserve">weighed in relation to other forms of encoding and </w:t>
      </w:r>
      <w:r w:rsidR="00F954D6">
        <w:t>sets of rules.</w:t>
      </w:r>
      <w:r w:rsidR="00F16BC5">
        <w:t xml:space="preserve"> Here, a profile for comparison and an outstanding question can be constituted by leisure yacht</w:t>
      </w:r>
      <w:r w:rsidR="00D046C3">
        <w:t xml:space="preserve">s, a category of ships regulated in a manifold way and </w:t>
      </w:r>
      <w:r w:rsidR="00B13DE8">
        <w:t xml:space="preserve">that would require </w:t>
      </w:r>
      <w:r w:rsidR="00B13DE8" w:rsidRPr="00B13DE8">
        <w:t>s</w:t>
      </w:r>
      <w:r w:rsidR="00B13DE8">
        <w:t>tandards</w:t>
      </w:r>
      <w:r w:rsidR="00912670">
        <w:t xml:space="preserve"> specifically dedicated to them</w:t>
      </w:r>
      <w:proofErr w:type="gramStart"/>
      <w:r w:rsidR="00912670">
        <w:t>.</w:t>
      </w:r>
      <w:r w:rsidR="009947DD">
        <w:t>[</w:t>
      </w:r>
      <w:proofErr w:type="gramEnd"/>
      <w:r w:rsidR="009947DD">
        <w:t>3]</w:t>
      </w:r>
    </w:p>
    <w:p w:rsidR="00B05D6E" w:rsidRDefault="00DE5AB7">
      <w:pPr>
        <w:pStyle w:val="Titolo1"/>
        <w:rPr>
          <w:szCs w:val="20"/>
          <w:lang w:eastAsia="en-US"/>
        </w:rPr>
      </w:pPr>
      <w:r>
        <w:rPr>
          <w:lang w:eastAsia="en-US"/>
        </w:rPr>
        <w:t xml:space="preserve">The discipline of </w:t>
      </w:r>
      <w:r w:rsidR="005E7530">
        <w:rPr>
          <w:lang w:eastAsia="en-US"/>
        </w:rPr>
        <w:t>yachts: a glance at the main defin</w:t>
      </w:r>
      <w:r w:rsidR="00496BA5">
        <w:rPr>
          <w:lang w:eastAsia="en-US"/>
        </w:rPr>
        <w:t>i</w:t>
      </w:r>
      <w:r w:rsidR="005E7530">
        <w:rPr>
          <w:lang w:eastAsia="en-US"/>
        </w:rPr>
        <w:t>tions</w:t>
      </w:r>
    </w:p>
    <w:p w:rsidR="00B05D6E" w:rsidRDefault="00B26502" w:rsidP="005B057D">
      <w:pPr>
        <w:pStyle w:val="NoindentNormal"/>
      </w:pPr>
      <w:r>
        <w:t>Apart from a few exceptions, t</w:t>
      </w:r>
      <w:r w:rsidR="00FA4455">
        <w:t xml:space="preserve">he yachting industry is </w:t>
      </w:r>
      <w:r w:rsidR="003A068C">
        <w:t>governed by law</w:t>
      </w:r>
      <w:r>
        <w:t>s and conventions conceived for commercial and private vessels indistinctly.</w:t>
      </w:r>
      <w:r w:rsidR="00496BA5">
        <w:t xml:space="preserve"> </w:t>
      </w:r>
      <w:r w:rsidR="00DD05E1">
        <w:t xml:space="preserve">This implies the extension to the sector of </w:t>
      </w:r>
      <w:r w:rsidR="00397095">
        <w:t xml:space="preserve">rules </w:t>
      </w:r>
      <w:r w:rsidR="00E512F8">
        <w:t>which were built mostly for the resolution of safety concerns and crucial aspects raised by the merchant marine.</w:t>
      </w:r>
      <w:r w:rsidR="00FA4455">
        <w:t xml:space="preserve"> Considering such a background, to fully grasp the intricacy of the regulatory framework it is now appropriate to explore the galaxy of </w:t>
      </w:r>
      <w:r w:rsidR="00564C7A">
        <w:t xml:space="preserve">existing </w:t>
      </w:r>
      <w:r w:rsidR="00FA4455">
        <w:t>yachts</w:t>
      </w:r>
      <w:r w:rsidR="008F4606">
        <w:t>, through a continent hopping</w:t>
      </w:r>
      <w:r w:rsidR="00564C7A">
        <w:t>.</w:t>
      </w:r>
      <w:r w:rsidR="00FA4455">
        <w:t xml:space="preserve">  </w:t>
      </w:r>
    </w:p>
    <w:p w:rsidR="00A96F0B" w:rsidRDefault="00B63CF9" w:rsidP="005B057D">
      <w:r>
        <w:t xml:space="preserve">For the sake of uniformity, </w:t>
      </w:r>
      <w:r w:rsidR="00A21C26">
        <w:t>the complex picture of definitions provided by at national l</w:t>
      </w:r>
      <w:r>
        <w:t>evel should be overcome</w:t>
      </w:r>
      <w:r w:rsidR="003A068C">
        <w:t xml:space="preserve">; </w:t>
      </w:r>
      <w:r w:rsidR="00DD193C">
        <w:t>it is then possible to distinguish three basic categories: large yachts; private yachts and commercial yachts.</w:t>
      </w:r>
      <w:r w:rsidR="00623208">
        <w:t xml:space="preserve"> Only the first one has gained a universal acknowledgement in the legal community</w:t>
      </w:r>
      <w:r w:rsidR="00E23B7D">
        <w:t xml:space="preserve"> and in the international disc</w:t>
      </w:r>
      <w:r w:rsidR="00C33353">
        <w:t>ipline dedicated to the subject-</w:t>
      </w:r>
      <w:r w:rsidR="00E23B7D">
        <w:t>matter</w:t>
      </w:r>
      <w:r w:rsidR="00623208">
        <w:t xml:space="preserve">, while the other two groups maintain more nuanced boundaries. </w:t>
      </w:r>
      <w:r w:rsidR="00784FB5">
        <w:t xml:space="preserve">Large yachts are recreational crafts characterized by a load line length equal to or greater than 24 m. Given the size, </w:t>
      </w:r>
      <w:r w:rsidR="00A2338C">
        <w:t xml:space="preserve">they have been </w:t>
      </w:r>
      <w:r w:rsidR="00784FB5">
        <w:t xml:space="preserve">made subject to safety codes by </w:t>
      </w:r>
      <w:r w:rsidR="00B6521C">
        <w:t>nearly</w:t>
      </w:r>
      <w:r w:rsidR="00784FB5">
        <w:t xml:space="preserve"> all the flag administrations.</w:t>
      </w:r>
      <w:r w:rsidR="00A2338C">
        <w:t xml:space="preserve"> Private yachts represent pleasure vessel deployed exclusively for </w:t>
      </w:r>
      <w:r w:rsidR="00CA4597">
        <w:t xml:space="preserve">the </w:t>
      </w:r>
      <w:r w:rsidR="00A2338C">
        <w:t>entertainment of the owners or their guests. Conversely, commercial yachts</w:t>
      </w:r>
      <w:r w:rsidR="00DE5AB7">
        <w:t xml:space="preserve"> </w:t>
      </w:r>
      <w:r w:rsidR="00BD1BDC">
        <w:t xml:space="preserve">can </w:t>
      </w:r>
      <w:r w:rsidR="00CA4597">
        <w:t xml:space="preserve">be identified in vessels </w:t>
      </w:r>
      <w:r w:rsidR="00F14537">
        <w:t xml:space="preserve">intended for commercial </w:t>
      </w:r>
      <w:r w:rsidR="00002AFE">
        <w:t xml:space="preserve">exploitation, with </w:t>
      </w:r>
      <w:r w:rsidR="00F14537">
        <w:t xml:space="preserve">no cargo </w:t>
      </w:r>
      <w:r w:rsidR="00002AFE">
        <w:t xml:space="preserve">on board </w:t>
      </w:r>
      <w:r w:rsidR="00F14537">
        <w:t>and</w:t>
      </w:r>
      <w:r w:rsidR="00002AFE">
        <w:t xml:space="preserve"> receiving</w:t>
      </w:r>
      <w:r w:rsidR="001B7EF1">
        <w:t xml:space="preserve"> no</w:t>
      </w:r>
      <w:r w:rsidR="00F14537">
        <w:t xml:space="preserve"> more than twelve passengers</w:t>
      </w:r>
      <w:proofErr w:type="gramStart"/>
      <w:r w:rsidR="00F14537">
        <w:t>.</w:t>
      </w:r>
      <w:r w:rsidR="00912670">
        <w:t>[</w:t>
      </w:r>
      <w:proofErr w:type="gramEnd"/>
      <w:r w:rsidR="00912670">
        <w:t>4]</w:t>
      </w:r>
    </w:p>
    <w:p w:rsidR="00DE5AB7" w:rsidRDefault="00A96F0B" w:rsidP="005B057D">
      <w:r>
        <w:t>A</w:t>
      </w:r>
      <w:r w:rsidR="00566D15">
        <w:t xml:space="preserve">nyhow, if from an international </w:t>
      </w:r>
      <w:r>
        <w:t xml:space="preserve">viewpoint </w:t>
      </w:r>
      <w:r w:rsidR="00BF767B">
        <w:t xml:space="preserve">uncertainties </w:t>
      </w:r>
      <w:r w:rsidR="00F027A1">
        <w:t xml:space="preserve">in the defining framework are </w:t>
      </w:r>
      <w:r>
        <w:t>still existing,</w:t>
      </w:r>
      <w:r w:rsidR="00BF767B">
        <w:t xml:space="preserve"> it can be noticed that,</w:t>
      </w:r>
      <w:r w:rsidR="00EF6BC7">
        <w:t xml:space="preserve"> thanks to the creditable</w:t>
      </w:r>
      <w:r w:rsidR="009025D9">
        <w:t xml:space="preserve"> work of the IMO, which has laid</w:t>
      </w:r>
      <w:r w:rsidR="00BF767B">
        <w:t xml:space="preserve"> the juridical foundation</w:t>
      </w:r>
      <w:r w:rsidR="003B5AD0">
        <w:t xml:space="preserve"> </w:t>
      </w:r>
      <w:r w:rsidR="000948AE">
        <w:t xml:space="preserve">of an articulated </w:t>
      </w:r>
      <w:r w:rsidR="009025D9">
        <w:t xml:space="preserve">system of </w:t>
      </w:r>
      <w:r w:rsidR="000948AE">
        <w:t>conve</w:t>
      </w:r>
      <w:r w:rsidR="009025D9">
        <w:t>ntions in the maritime domain,</w:t>
      </w:r>
      <w:r w:rsidR="00085F54">
        <w:t xml:space="preserve"> </w:t>
      </w:r>
      <w:r w:rsidR="004D2FBA">
        <w:t xml:space="preserve">the yachting industry has been affected by </w:t>
      </w:r>
      <w:r w:rsidR="00E46236">
        <w:t xml:space="preserve">a wide spectrum of </w:t>
      </w:r>
      <w:r w:rsidR="004D2FBA">
        <w:t>general rules</w:t>
      </w:r>
      <w:r w:rsidR="00B519FA">
        <w:t>.</w:t>
      </w:r>
      <w:r w:rsidR="00DE5AB7">
        <w:t xml:space="preserve"> Nonetheless, </w:t>
      </w:r>
      <w:r w:rsidR="002F0F00">
        <w:t xml:space="preserve">the </w:t>
      </w:r>
      <w:r w:rsidR="00675E03">
        <w:t>extension</w:t>
      </w:r>
      <w:r w:rsidR="002F0F00">
        <w:t xml:space="preserve"> of this discipline is not easy and precise</w:t>
      </w:r>
      <w:r w:rsidR="00F027A1">
        <w:t>, since the vessels under consideration have peculiar features which deserv</w:t>
      </w:r>
      <w:r w:rsidR="000B1051">
        <w:t>e to be specifically addressed.[5]</w:t>
      </w:r>
      <w:r w:rsidR="004D2FBA">
        <w:t xml:space="preserve"> </w:t>
      </w:r>
    </w:p>
    <w:p w:rsidR="00DE5AB7" w:rsidRDefault="00DE5AB7" w:rsidP="00DE5AB7">
      <w:pPr>
        <w:pStyle w:val="Titolo1"/>
      </w:pPr>
      <w:r>
        <w:t xml:space="preserve">The application of IMO conventions to the yachting industry </w:t>
      </w:r>
    </w:p>
    <w:p w:rsidR="00A21C26" w:rsidRDefault="0063602F" w:rsidP="00A21C26">
      <w:pPr>
        <w:ind w:firstLine="0"/>
      </w:pPr>
      <w:r>
        <w:t xml:space="preserve">While noting the undoubted difficulties in applying the conventions elaborated within the IMO </w:t>
      </w:r>
      <w:r w:rsidR="00BD1BDC">
        <w:t>to yachts</w:t>
      </w:r>
      <w:r w:rsidR="00511C31">
        <w:t xml:space="preserve">, it is very important </w:t>
      </w:r>
      <w:r w:rsidR="005C6AB7">
        <w:t xml:space="preserve">at the outset </w:t>
      </w:r>
      <w:r w:rsidR="00511C31">
        <w:t>to inve</w:t>
      </w:r>
      <w:r w:rsidR="003D5949">
        <w:t xml:space="preserve">stigate </w:t>
      </w:r>
      <w:r w:rsidR="003D5949" w:rsidRPr="003D5949">
        <w:t xml:space="preserve">those </w:t>
      </w:r>
      <w:r w:rsidR="005F6227">
        <w:t xml:space="preserve">among them </w:t>
      </w:r>
      <w:r w:rsidR="005C6AB7">
        <w:t xml:space="preserve">which have </w:t>
      </w:r>
      <w:r w:rsidR="005F6227">
        <w:t xml:space="preserve">a </w:t>
      </w:r>
      <w:r w:rsidR="00AC6DA8">
        <w:t>significant impact in the field</w:t>
      </w:r>
      <w:r w:rsidR="005F6227">
        <w:t xml:space="preserve"> and to grasp their rationale</w:t>
      </w:r>
      <w:r w:rsidR="00AC6DA8">
        <w:t>.</w:t>
      </w:r>
      <w:r w:rsidR="00511C31">
        <w:t xml:space="preserve"> </w:t>
      </w:r>
      <w:r w:rsidR="00BD1BDC">
        <w:t xml:space="preserve"> </w:t>
      </w:r>
      <w:r>
        <w:t xml:space="preserve">  </w:t>
      </w:r>
    </w:p>
    <w:p w:rsidR="00963706" w:rsidRDefault="002F0F00" w:rsidP="00963706">
      <w:pPr>
        <w:pStyle w:val="Titolo2"/>
        <w:rPr>
          <w:lang w:eastAsia="en-US"/>
        </w:rPr>
      </w:pPr>
      <w:r>
        <w:rPr>
          <w:lang w:eastAsia="en-US"/>
        </w:rPr>
        <w:t xml:space="preserve"> The </w:t>
      </w:r>
      <w:r w:rsidR="00A72530">
        <w:rPr>
          <w:lang w:eastAsia="en-US"/>
        </w:rPr>
        <w:t>TONNAGE</w:t>
      </w:r>
      <w:r w:rsidR="00963706">
        <w:rPr>
          <w:lang w:eastAsia="en-US"/>
        </w:rPr>
        <w:t xml:space="preserve"> Convention</w:t>
      </w:r>
    </w:p>
    <w:p w:rsidR="00A72530" w:rsidRPr="00A72530" w:rsidRDefault="00A72530" w:rsidP="00A72530">
      <w:pPr>
        <w:pStyle w:val="NoindentNormal"/>
        <w:rPr>
          <w:lang w:eastAsia="en-US"/>
        </w:rPr>
      </w:pPr>
      <w:r>
        <w:rPr>
          <w:lang w:eastAsia="en-US"/>
        </w:rPr>
        <w:t>Taking into consideration the International Convention on Tonnage Measurement of Ships (TONNAGE Convention)</w:t>
      </w:r>
      <w:r w:rsidR="0007131B">
        <w:rPr>
          <w:lang w:eastAsia="en-US"/>
        </w:rPr>
        <w:t>,</w:t>
      </w:r>
      <w:r>
        <w:rPr>
          <w:lang w:eastAsia="en-US"/>
        </w:rPr>
        <w:t xml:space="preserve"> established in London on June 23</w:t>
      </w:r>
      <w:r w:rsidRPr="00A72530">
        <w:rPr>
          <w:vertAlign w:val="superscript"/>
          <w:lang w:eastAsia="en-US"/>
        </w:rPr>
        <w:t>rd</w:t>
      </w:r>
      <w:r>
        <w:rPr>
          <w:lang w:eastAsia="en-US"/>
        </w:rPr>
        <w:t xml:space="preserve"> 1969, it is fundamental to reckon that the latter </w:t>
      </w:r>
      <w:r w:rsidR="0007131B">
        <w:rPr>
          <w:lang w:eastAsia="en-US"/>
        </w:rPr>
        <w:t xml:space="preserve">can be applied only to large yachts. Indeed, according to its Art. 4, par. 1, </w:t>
      </w:r>
      <w:proofErr w:type="spellStart"/>
      <w:proofErr w:type="gramStart"/>
      <w:r w:rsidR="0007131B">
        <w:rPr>
          <w:lang w:eastAsia="en-US"/>
        </w:rPr>
        <w:t>lett</w:t>
      </w:r>
      <w:proofErr w:type="spellEnd"/>
      <w:proofErr w:type="gramEnd"/>
      <w:r w:rsidR="0007131B">
        <w:rPr>
          <w:lang w:eastAsia="en-US"/>
        </w:rPr>
        <w:t xml:space="preserve">. b), “ships of less than 24 </w:t>
      </w:r>
      <w:proofErr w:type="spellStart"/>
      <w:r w:rsidR="0007131B">
        <w:rPr>
          <w:lang w:eastAsia="en-US"/>
        </w:rPr>
        <w:t>metres</w:t>
      </w:r>
      <w:proofErr w:type="spellEnd"/>
      <w:r w:rsidR="0007131B">
        <w:rPr>
          <w:lang w:eastAsia="en-US"/>
        </w:rPr>
        <w:t xml:space="preserve"> (79 feet) in length” are </w:t>
      </w:r>
      <w:r w:rsidR="0055615E">
        <w:rPr>
          <w:lang w:eastAsia="en-US"/>
        </w:rPr>
        <w:t xml:space="preserve">explicitly </w:t>
      </w:r>
      <w:r w:rsidR="0007131B">
        <w:rPr>
          <w:lang w:eastAsia="en-US"/>
        </w:rPr>
        <w:t>excluded from the sco</w:t>
      </w:r>
      <w:r w:rsidR="007878A6">
        <w:rPr>
          <w:lang w:eastAsia="en-US"/>
        </w:rPr>
        <w:t>pe of application of such agreement. Moreover, in line with the previous Art. 3, only vessels</w:t>
      </w:r>
      <w:r w:rsidR="00D84C63">
        <w:rPr>
          <w:lang w:eastAsia="en-US"/>
        </w:rPr>
        <w:t xml:space="preserve"> “engag</w:t>
      </w:r>
      <w:r w:rsidR="007878A6">
        <w:rPr>
          <w:lang w:eastAsia="en-US"/>
        </w:rPr>
        <w:t xml:space="preserve">ed </w:t>
      </w:r>
      <w:r w:rsidR="00D84C63">
        <w:rPr>
          <w:lang w:eastAsia="en-US"/>
        </w:rPr>
        <w:t>o</w:t>
      </w:r>
      <w:r w:rsidR="007878A6">
        <w:rPr>
          <w:lang w:eastAsia="en-US"/>
        </w:rPr>
        <w:t>n international voyages</w:t>
      </w:r>
      <w:r w:rsidR="00D84C63">
        <w:rPr>
          <w:lang w:eastAsia="en-US"/>
        </w:rPr>
        <w:t>”</w:t>
      </w:r>
      <w:r w:rsidR="007878A6">
        <w:rPr>
          <w:lang w:eastAsia="en-US"/>
        </w:rPr>
        <w:t xml:space="preserve"> can be directly subjected to the provisions of this legal tool.</w:t>
      </w:r>
      <w:r w:rsidR="00A464B3">
        <w:rPr>
          <w:lang w:eastAsia="en-US"/>
        </w:rPr>
        <w:t xml:space="preserve"> Furthermore, in compliance with </w:t>
      </w:r>
      <w:r w:rsidR="00A464B3">
        <w:rPr>
          <w:lang w:eastAsia="en-US"/>
        </w:rPr>
        <w:lastRenderedPageBreak/>
        <w:t>its Art. 4, par. 2, when the boat is “solely navigating” in specific stretches of water (as, for example, the Great Lakes of North America</w:t>
      </w:r>
      <w:r w:rsidR="00923F78">
        <w:rPr>
          <w:lang w:eastAsia="en-US"/>
        </w:rPr>
        <w:t xml:space="preserve"> or the Caspian Sea), it is exem</w:t>
      </w:r>
      <w:r w:rsidR="00A464B3">
        <w:rPr>
          <w:lang w:eastAsia="en-US"/>
        </w:rPr>
        <w:t>pted from</w:t>
      </w:r>
      <w:r w:rsidR="00923F78">
        <w:rPr>
          <w:lang w:eastAsia="en-US"/>
        </w:rPr>
        <w:t xml:space="preserve"> the obligations set out therein.</w:t>
      </w:r>
      <w:r w:rsidR="00A464B3">
        <w:rPr>
          <w:lang w:eastAsia="en-US"/>
        </w:rPr>
        <w:t xml:space="preserve"> However, no distinction is</w:t>
      </w:r>
      <w:r w:rsidR="00974514">
        <w:rPr>
          <w:lang w:eastAsia="en-US"/>
        </w:rPr>
        <w:t xml:space="preserve"> made on the basis of the use, commercial or private one, of the ship</w:t>
      </w:r>
      <w:proofErr w:type="gramStart"/>
      <w:r w:rsidR="00974514">
        <w:rPr>
          <w:lang w:eastAsia="en-US"/>
        </w:rPr>
        <w:t>.</w:t>
      </w:r>
      <w:r w:rsidR="001F5376">
        <w:rPr>
          <w:lang w:eastAsia="en-US"/>
        </w:rPr>
        <w:t>[</w:t>
      </w:r>
      <w:proofErr w:type="gramEnd"/>
      <w:r w:rsidR="00C56EC0">
        <w:rPr>
          <w:lang w:eastAsia="en-US"/>
        </w:rPr>
        <w:t>6</w:t>
      </w:r>
      <w:r w:rsidR="001F5376">
        <w:rPr>
          <w:lang w:eastAsia="en-US"/>
        </w:rPr>
        <w:t>]</w:t>
      </w:r>
      <w:r w:rsidR="00A464B3">
        <w:rPr>
          <w:lang w:eastAsia="en-US"/>
        </w:rPr>
        <w:t xml:space="preserve"> </w:t>
      </w:r>
      <w:r>
        <w:rPr>
          <w:lang w:eastAsia="en-US"/>
        </w:rPr>
        <w:t xml:space="preserve">   </w:t>
      </w:r>
    </w:p>
    <w:p w:rsidR="00963706" w:rsidRPr="00963706" w:rsidRDefault="00963706" w:rsidP="00963706">
      <w:pPr>
        <w:pStyle w:val="NoindentNormal"/>
        <w:rPr>
          <w:lang w:eastAsia="en-US"/>
        </w:rPr>
      </w:pPr>
    </w:p>
    <w:p w:rsidR="006625E0" w:rsidRPr="006625E0" w:rsidRDefault="00963706" w:rsidP="006625E0">
      <w:pPr>
        <w:pStyle w:val="Titolo2"/>
        <w:rPr>
          <w:lang w:eastAsia="en-US"/>
        </w:rPr>
      </w:pPr>
      <w:r w:rsidRPr="00963706">
        <w:rPr>
          <w:lang w:eastAsia="en-US"/>
        </w:rPr>
        <w:t xml:space="preserve"> The MARPOL </w:t>
      </w:r>
      <w:r w:rsidR="00C36B4A">
        <w:rPr>
          <w:lang w:eastAsia="en-US"/>
        </w:rPr>
        <w:t xml:space="preserve">73/78 </w:t>
      </w:r>
      <w:r w:rsidRPr="00963706">
        <w:rPr>
          <w:lang w:eastAsia="en-US"/>
        </w:rPr>
        <w:t>Convention</w:t>
      </w:r>
    </w:p>
    <w:p w:rsidR="00E613EF" w:rsidRDefault="00C36B4A" w:rsidP="00373061">
      <w:pPr>
        <w:pStyle w:val="NoindentNormal"/>
        <w:rPr>
          <w:lang w:eastAsia="en-US"/>
        </w:rPr>
      </w:pPr>
      <w:r>
        <w:rPr>
          <w:lang w:eastAsia="en-US"/>
        </w:rPr>
        <w:t xml:space="preserve">With reference to </w:t>
      </w:r>
      <w:r w:rsidR="00373061">
        <w:rPr>
          <w:lang w:eastAsia="en-US"/>
        </w:rPr>
        <w:t>the International Convention for the Prevention of Pollution from Ships</w:t>
      </w:r>
      <w:r>
        <w:rPr>
          <w:lang w:eastAsia="en-US"/>
        </w:rPr>
        <w:t xml:space="preserve"> of 1973,</w:t>
      </w:r>
      <w:r w:rsidR="00373061">
        <w:rPr>
          <w:lang w:eastAsia="en-US"/>
        </w:rPr>
        <w:t xml:space="preserve"> </w:t>
      </w:r>
      <w:r>
        <w:rPr>
          <w:lang w:eastAsia="en-US"/>
        </w:rPr>
        <w:t>as deeply modified by a Protocol of 1978 (</w:t>
      </w:r>
      <w:r w:rsidR="00373061">
        <w:rPr>
          <w:lang w:eastAsia="en-US"/>
        </w:rPr>
        <w:t>MARPOL</w:t>
      </w:r>
      <w:r>
        <w:rPr>
          <w:lang w:eastAsia="en-US"/>
        </w:rPr>
        <w:t xml:space="preserve"> 73/78)</w:t>
      </w:r>
      <w:r w:rsidR="00373061">
        <w:rPr>
          <w:lang w:eastAsia="en-US"/>
        </w:rPr>
        <w:t>, it should be underlined that foreclosures grounded on dimensional requirements are not expected.</w:t>
      </w:r>
      <w:r>
        <w:rPr>
          <w:lang w:eastAsia="en-US"/>
        </w:rPr>
        <w:t xml:space="preserve"> In fact, according to its Art. 2, n. 4, a ship has been </w:t>
      </w:r>
      <w:r w:rsidR="000F34F2">
        <w:rPr>
          <w:lang w:eastAsia="en-US"/>
        </w:rPr>
        <w:t>identified in “a vessel of any type whatsoever operating in the marine environment”. Understandably, such a broad definition allows the inclusion of every yacht in the recalled concept.</w:t>
      </w:r>
      <w:r w:rsidR="00E613EF">
        <w:rPr>
          <w:lang w:eastAsia="en-US"/>
        </w:rPr>
        <w:t xml:space="preserve"> Suffice it to say that </w:t>
      </w:r>
      <w:r w:rsidR="000F34F2">
        <w:rPr>
          <w:lang w:eastAsia="en-US"/>
        </w:rPr>
        <w:t xml:space="preserve">the term here expressly includes hydrofoil boats, floating crafts and air-cushion vehicles. </w:t>
      </w:r>
      <w:r w:rsidR="004037C9">
        <w:rPr>
          <w:lang w:eastAsia="en-US"/>
        </w:rPr>
        <w:t>In this text, the notion assumes a comprehensive meaning, encompassing several aspects and goods connected with the maritime sphere</w:t>
      </w:r>
      <w:proofErr w:type="gramStart"/>
      <w:r w:rsidR="004037C9">
        <w:rPr>
          <w:lang w:eastAsia="en-US"/>
        </w:rPr>
        <w:t>.</w:t>
      </w:r>
      <w:r w:rsidR="00C56EC0">
        <w:rPr>
          <w:lang w:eastAsia="en-US"/>
        </w:rPr>
        <w:t>[</w:t>
      </w:r>
      <w:proofErr w:type="gramEnd"/>
      <w:r w:rsidR="00C56EC0">
        <w:rPr>
          <w:lang w:eastAsia="en-US"/>
        </w:rPr>
        <w:t>7]</w:t>
      </w:r>
      <w:r w:rsidR="000F34F2">
        <w:rPr>
          <w:lang w:eastAsia="en-US"/>
        </w:rPr>
        <w:t xml:space="preserve"> </w:t>
      </w:r>
    </w:p>
    <w:p w:rsidR="006625E0" w:rsidRDefault="00A515C8" w:rsidP="005B057D">
      <w:pPr>
        <w:pStyle w:val="NoindentNormal"/>
        <w:ind w:firstLine="357"/>
        <w:rPr>
          <w:lang w:eastAsia="en-US"/>
        </w:rPr>
      </w:pPr>
      <w:r>
        <w:rPr>
          <w:lang w:eastAsia="en-US"/>
        </w:rPr>
        <w:t>Going into details</w:t>
      </w:r>
      <w:r w:rsidR="00347008">
        <w:rPr>
          <w:lang w:eastAsia="en-US"/>
        </w:rPr>
        <w:t xml:space="preserve">, as far as the prevention of pollution by oil is concerned, Annex I of </w:t>
      </w:r>
      <w:r w:rsidR="00347008" w:rsidRPr="00347008">
        <w:rPr>
          <w:lang w:eastAsia="en-US"/>
        </w:rPr>
        <w:t>MARPOL 73/78</w:t>
      </w:r>
      <w:r w:rsidR="00726DD7">
        <w:rPr>
          <w:lang w:eastAsia="en-US"/>
        </w:rPr>
        <w:t xml:space="preserve"> Convention</w:t>
      </w:r>
      <w:r>
        <w:rPr>
          <w:lang w:eastAsia="en-US"/>
        </w:rPr>
        <w:t xml:space="preserve">, which is dedicated to the issue, states in its Regulation 2, par. 3, </w:t>
      </w:r>
      <w:proofErr w:type="spellStart"/>
      <w:proofErr w:type="gramStart"/>
      <w:r>
        <w:rPr>
          <w:lang w:eastAsia="en-US"/>
        </w:rPr>
        <w:t>lett</w:t>
      </w:r>
      <w:proofErr w:type="spellEnd"/>
      <w:proofErr w:type="gramEnd"/>
      <w:r>
        <w:rPr>
          <w:lang w:eastAsia="en-US"/>
        </w:rPr>
        <w:t xml:space="preserve">. a) </w:t>
      </w:r>
      <w:proofErr w:type="gramStart"/>
      <w:r>
        <w:rPr>
          <w:lang w:eastAsia="en-US"/>
        </w:rPr>
        <w:t>that</w:t>
      </w:r>
      <w:proofErr w:type="gramEnd"/>
      <w:r w:rsidR="00F0253A">
        <w:rPr>
          <w:lang w:eastAsia="en-US"/>
        </w:rPr>
        <w:t>,</w:t>
      </w:r>
      <w:r>
        <w:rPr>
          <w:lang w:eastAsia="en-US"/>
        </w:rPr>
        <w:t xml:space="preserve"> when the constructional features of any “hydrofoil, air-cushion vehicle and other new type of vessels”, like near-surface craft, make unreasonable or impracticable to </w:t>
      </w:r>
      <w:r w:rsidR="00F0253A">
        <w:rPr>
          <w:lang w:eastAsia="en-US"/>
        </w:rPr>
        <w:t>apply</w:t>
      </w:r>
      <w:r w:rsidR="002B7A73">
        <w:rPr>
          <w:lang w:eastAsia="en-US"/>
        </w:rPr>
        <w:t xml:space="preserve"> the rules contained therein </w:t>
      </w:r>
      <w:r w:rsidR="00F0253A">
        <w:rPr>
          <w:lang w:eastAsia="en-US"/>
        </w:rPr>
        <w:t xml:space="preserve">regarding their equipment and building, the </w:t>
      </w:r>
      <w:r w:rsidR="005C71D5">
        <w:rPr>
          <w:lang w:eastAsia="en-US"/>
        </w:rPr>
        <w:t>relevant national authority</w:t>
      </w:r>
      <w:r w:rsidR="00F0253A">
        <w:rPr>
          <w:lang w:eastAsia="en-US"/>
        </w:rPr>
        <w:t xml:space="preserve"> </w:t>
      </w:r>
      <w:r w:rsidR="00F31EE5">
        <w:rPr>
          <w:lang w:eastAsia="en-US"/>
        </w:rPr>
        <w:t>can decide to exempt the</w:t>
      </w:r>
      <w:r w:rsidR="002B7A73">
        <w:rPr>
          <w:lang w:eastAsia="en-US"/>
        </w:rPr>
        <w:t>m from the said precepts,</w:t>
      </w:r>
      <w:r w:rsidR="00F31EE5">
        <w:rPr>
          <w:lang w:eastAsia="en-US"/>
        </w:rPr>
        <w:t xml:space="preserve"> provided that equivalent protection is ensured.</w:t>
      </w:r>
      <w:r w:rsidR="002B50EC">
        <w:rPr>
          <w:lang w:eastAsia="en-US"/>
        </w:rPr>
        <w:t xml:space="preserve"> This provision testifies the importance </w:t>
      </w:r>
      <w:r w:rsidR="009D3C62">
        <w:rPr>
          <w:lang w:eastAsia="en-US"/>
        </w:rPr>
        <w:t xml:space="preserve">of guaranteeing respect for the parameters fixed by the convention under scrutiny and </w:t>
      </w:r>
      <w:r w:rsidR="000120F8">
        <w:rPr>
          <w:lang w:eastAsia="en-US"/>
        </w:rPr>
        <w:t xml:space="preserve">the sectoral legislation </w:t>
      </w:r>
      <w:r w:rsidR="00C56EC0">
        <w:rPr>
          <w:lang w:eastAsia="en-US"/>
        </w:rPr>
        <w:t>associated to it</w:t>
      </w:r>
      <w:proofErr w:type="gramStart"/>
      <w:r w:rsidR="00C56EC0">
        <w:rPr>
          <w:lang w:eastAsia="en-US"/>
        </w:rPr>
        <w:t>.[</w:t>
      </w:r>
      <w:proofErr w:type="gramEnd"/>
      <w:r w:rsidR="00C56EC0">
        <w:rPr>
          <w:lang w:eastAsia="en-US"/>
        </w:rPr>
        <w:t>8]</w:t>
      </w:r>
      <w:r w:rsidR="00F0253A">
        <w:rPr>
          <w:lang w:eastAsia="en-US"/>
        </w:rPr>
        <w:t xml:space="preserve">  </w:t>
      </w:r>
      <w:r>
        <w:rPr>
          <w:lang w:eastAsia="en-US"/>
        </w:rPr>
        <w:t xml:space="preserve"> </w:t>
      </w:r>
    </w:p>
    <w:p w:rsidR="006625E0" w:rsidRPr="006625E0" w:rsidRDefault="006625E0" w:rsidP="006625E0">
      <w:pPr>
        <w:rPr>
          <w:lang w:eastAsia="en-US"/>
        </w:rPr>
      </w:pPr>
    </w:p>
    <w:p w:rsidR="006625E0" w:rsidRDefault="007A12CD" w:rsidP="006625E0">
      <w:pPr>
        <w:pStyle w:val="Titolo2"/>
        <w:rPr>
          <w:lang w:eastAsia="en-US"/>
        </w:rPr>
      </w:pPr>
      <w:r>
        <w:rPr>
          <w:lang w:eastAsia="en-US"/>
        </w:rPr>
        <w:t xml:space="preserve"> The AFS </w:t>
      </w:r>
      <w:r w:rsidR="006625E0" w:rsidRPr="006625E0">
        <w:rPr>
          <w:lang w:eastAsia="en-US"/>
        </w:rPr>
        <w:t>Convention</w:t>
      </w:r>
    </w:p>
    <w:p w:rsidR="006625E0" w:rsidRDefault="00B8195C" w:rsidP="00300AAB">
      <w:pPr>
        <w:pStyle w:val="NoindentNormal"/>
        <w:rPr>
          <w:lang w:eastAsia="en-US"/>
        </w:rPr>
      </w:pPr>
      <w:r>
        <w:rPr>
          <w:lang w:eastAsia="en-US"/>
        </w:rPr>
        <w:t>Anti-</w:t>
      </w:r>
      <w:r w:rsidR="0053010E">
        <w:rPr>
          <w:lang w:eastAsia="en-US"/>
        </w:rPr>
        <w:t xml:space="preserve">fouling treatment aims at </w:t>
      </w:r>
      <w:r w:rsidRPr="00B8195C">
        <w:rPr>
          <w:lang w:eastAsia="en-US"/>
        </w:rPr>
        <w:t>coat</w:t>
      </w:r>
      <w:r w:rsidR="0053010E">
        <w:rPr>
          <w:lang w:eastAsia="en-US"/>
        </w:rPr>
        <w:t>ing the bottom</w:t>
      </w:r>
      <w:r w:rsidRPr="00B8195C">
        <w:rPr>
          <w:lang w:eastAsia="en-US"/>
        </w:rPr>
        <w:t xml:space="preserve"> of ships to prevent </w:t>
      </w:r>
      <w:r w:rsidR="0053010E">
        <w:rPr>
          <w:lang w:eastAsia="en-US"/>
        </w:rPr>
        <w:t>the birth and the growth of marine organisms, such as algae and mollusk</w:t>
      </w:r>
      <w:r w:rsidRPr="00B8195C">
        <w:rPr>
          <w:lang w:eastAsia="en-US"/>
        </w:rPr>
        <w:t>s</w:t>
      </w:r>
      <w:r w:rsidR="0053010E">
        <w:rPr>
          <w:lang w:eastAsia="en-US"/>
        </w:rPr>
        <w:t>,</w:t>
      </w:r>
      <w:r w:rsidRPr="00B8195C">
        <w:rPr>
          <w:lang w:eastAsia="en-US"/>
        </w:rPr>
        <w:t xml:space="preserve"> att</w:t>
      </w:r>
      <w:r w:rsidR="0053010E">
        <w:rPr>
          <w:lang w:eastAsia="en-US"/>
        </w:rPr>
        <w:t xml:space="preserve">aching themselves to the hull. </w:t>
      </w:r>
      <w:r w:rsidR="005778EB" w:rsidRPr="005778EB">
        <w:rPr>
          <w:lang w:eastAsia="en-US"/>
        </w:rPr>
        <w:t>The phenomenon</w:t>
      </w:r>
      <w:r w:rsidR="005778EB">
        <w:rPr>
          <w:lang w:eastAsia="en-US"/>
        </w:rPr>
        <w:t xml:space="preserve"> is impeded since it slows down the vessel and can </w:t>
      </w:r>
      <w:r w:rsidR="00B055FB">
        <w:rPr>
          <w:lang w:eastAsia="en-US"/>
        </w:rPr>
        <w:t xml:space="preserve">raise </w:t>
      </w:r>
      <w:r w:rsidRPr="00B8195C">
        <w:rPr>
          <w:lang w:eastAsia="en-US"/>
        </w:rPr>
        <w:t>fuel consumption</w:t>
      </w:r>
      <w:r>
        <w:rPr>
          <w:lang w:eastAsia="en-US"/>
        </w:rPr>
        <w:t xml:space="preserve">. </w:t>
      </w:r>
      <w:r w:rsidR="00C21099">
        <w:rPr>
          <w:lang w:eastAsia="en-US"/>
        </w:rPr>
        <w:t>The used product</w:t>
      </w:r>
      <w:r w:rsidR="005D5C66">
        <w:rPr>
          <w:lang w:eastAsia="en-US"/>
        </w:rPr>
        <w:t>s progressively percolate</w:t>
      </w:r>
      <w:r w:rsidR="004E3253">
        <w:rPr>
          <w:lang w:eastAsia="en-US"/>
        </w:rPr>
        <w:t xml:space="preserve"> into the sea </w:t>
      </w:r>
      <w:r w:rsidR="00C21099" w:rsidRPr="00C21099">
        <w:rPr>
          <w:lang w:eastAsia="en-US"/>
        </w:rPr>
        <w:t>water, kil</w:t>
      </w:r>
      <w:r w:rsidR="005D5C66">
        <w:rPr>
          <w:lang w:eastAsia="en-US"/>
        </w:rPr>
        <w:t xml:space="preserve">ling barnacles and </w:t>
      </w:r>
      <w:proofErr w:type="spellStart"/>
      <w:r w:rsidR="005D5C66">
        <w:rPr>
          <w:lang w:eastAsia="en-US"/>
        </w:rPr>
        <w:t>sea</w:t>
      </w:r>
      <w:r w:rsidR="00C21099" w:rsidRPr="00C21099">
        <w:rPr>
          <w:lang w:eastAsia="en-US"/>
        </w:rPr>
        <w:t>lif</w:t>
      </w:r>
      <w:r w:rsidR="005D5C66">
        <w:rPr>
          <w:lang w:eastAsia="en-US"/>
        </w:rPr>
        <w:t>e</w:t>
      </w:r>
      <w:proofErr w:type="spellEnd"/>
      <w:r w:rsidR="005D5C66">
        <w:rPr>
          <w:lang w:eastAsia="en-US"/>
        </w:rPr>
        <w:t xml:space="preserve"> attached to the ship. Still, </w:t>
      </w:r>
      <w:r w:rsidR="00C21099" w:rsidRPr="00C21099">
        <w:rPr>
          <w:lang w:eastAsia="en-US"/>
        </w:rPr>
        <w:t>thes</w:t>
      </w:r>
      <w:r w:rsidR="009E3E6D">
        <w:rPr>
          <w:lang w:eastAsia="en-US"/>
        </w:rPr>
        <w:t>e substances</w:t>
      </w:r>
      <w:r w:rsidR="005D5C66">
        <w:rPr>
          <w:lang w:eastAsia="en-US"/>
        </w:rPr>
        <w:t xml:space="preserve"> persist in the environment, </w:t>
      </w:r>
      <w:r w:rsidR="009E3E6D">
        <w:rPr>
          <w:lang w:eastAsia="en-US"/>
        </w:rPr>
        <w:t xml:space="preserve">causing its gradual contamination and </w:t>
      </w:r>
      <w:r w:rsidR="006A5A7C">
        <w:rPr>
          <w:lang w:eastAsia="en-US"/>
        </w:rPr>
        <w:t>potential</w:t>
      </w:r>
      <w:r w:rsidR="00C21099" w:rsidRPr="00C21099">
        <w:rPr>
          <w:lang w:eastAsia="en-US"/>
        </w:rPr>
        <w:t>ly entering the food chain</w:t>
      </w:r>
      <w:r w:rsidR="00C21099">
        <w:rPr>
          <w:lang w:eastAsia="en-US"/>
        </w:rPr>
        <w:t xml:space="preserve">. </w:t>
      </w:r>
      <w:r w:rsidR="000F0864">
        <w:rPr>
          <w:lang w:eastAsia="en-US"/>
        </w:rPr>
        <w:t xml:space="preserve">The </w:t>
      </w:r>
      <w:r w:rsidR="000F0864" w:rsidRPr="000F0864">
        <w:rPr>
          <w:lang w:eastAsia="en-US"/>
        </w:rPr>
        <w:t xml:space="preserve">International Convention </w:t>
      </w:r>
      <w:r>
        <w:rPr>
          <w:lang w:eastAsia="en-US"/>
        </w:rPr>
        <w:t>on the Control of Harmful Anti-f</w:t>
      </w:r>
      <w:r w:rsidR="000F0864" w:rsidRPr="000F0864">
        <w:rPr>
          <w:lang w:eastAsia="en-US"/>
        </w:rPr>
        <w:t>ouling Systems on Ships</w:t>
      </w:r>
      <w:r w:rsidR="006A5A7C">
        <w:rPr>
          <w:lang w:eastAsia="en-US"/>
        </w:rPr>
        <w:t xml:space="preserve"> </w:t>
      </w:r>
      <w:r w:rsidR="00954526">
        <w:rPr>
          <w:lang w:eastAsia="en-US"/>
        </w:rPr>
        <w:t xml:space="preserve">(AFS) </w:t>
      </w:r>
      <w:r w:rsidR="006A5A7C">
        <w:rPr>
          <w:lang w:eastAsia="en-US"/>
        </w:rPr>
        <w:t>has been thought to address</w:t>
      </w:r>
      <w:r w:rsidR="000F0864">
        <w:rPr>
          <w:lang w:eastAsia="en-US"/>
        </w:rPr>
        <w:t xml:space="preserve"> </w:t>
      </w:r>
      <w:r w:rsidR="006A5A7C">
        <w:rPr>
          <w:lang w:eastAsia="en-US"/>
        </w:rPr>
        <w:t>the just mentioned issue.</w:t>
      </w:r>
      <w:r w:rsidR="00C56EC0">
        <w:rPr>
          <w:lang w:eastAsia="en-US"/>
        </w:rPr>
        <w:t xml:space="preserve">[9] </w:t>
      </w:r>
      <w:r w:rsidR="00EA5C9A">
        <w:rPr>
          <w:lang w:eastAsia="en-US"/>
        </w:rPr>
        <w:t>Adopted on October 5</w:t>
      </w:r>
      <w:r w:rsidR="00EA5C9A" w:rsidRPr="00EA5C9A">
        <w:rPr>
          <w:vertAlign w:val="superscript"/>
          <w:lang w:eastAsia="en-US"/>
        </w:rPr>
        <w:t>th</w:t>
      </w:r>
      <w:r w:rsidR="00EA5C9A">
        <w:rPr>
          <w:lang w:eastAsia="en-US"/>
        </w:rPr>
        <w:t xml:space="preserve"> 2001 and </w:t>
      </w:r>
      <w:r w:rsidR="000A06EA">
        <w:rPr>
          <w:lang w:eastAsia="en-US"/>
        </w:rPr>
        <w:t>entered into force on September 17</w:t>
      </w:r>
      <w:r w:rsidR="000A06EA" w:rsidRPr="000A06EA">
        <w:rPr>
          <w:vertAlign w:val="superscript"/>
          <w:lang w:eastAsia="en-US"/>
        </w:rPr>
        <w:t>th</w:t>
      </w:r>
      <w:r w:rsidR="00D00053">
        <w:rPr>
          <w:lang w:eastAsia="en-US"/>
        </w:rPr>
        <w:t xml:space="preserve"> 2008, the convention</w:t>
      </w:r>
      <w:r w:rsidR="00A15194">
        <w:rPr>
          <w:lang w:eastAsia="en-US"/>
        </w:rPr>
        <w:t xml:space="preserve"> in question prohibits or controls the use of these elements, which </w:t>
      </w:r>
      <w:r w:rsidR="00D00053" w:rsidRPr="00D00053">
        <w:rPr>
          <w:lang w:eastAsia="en-US"/>
        </w:rPr>
        <w:t xml:space="preserve">are </w:t>
      </w:r>
      <w:r w:rsidR="00A15194">
        <w:rPr>
          <w:lang w:eastAsia="en-US"/>
        </w:rPr>
        <w:t xml:space="preserve">accurately </w:t>
      </w:r>
      <w:r w:rsidR="00D00053" w:rsidRPr="00D00053">
        <w:rPr>
          <w:lang w:eastAsia="en-US"/>
        </w:rPr>
        <w:t>list</w:t>
      </w:r>
      <w:r w:rsidR="00A15194">
        <w:rPr>
          <w:lang w:eastAsia="en-US"/>
        </w:rPr>
        <w:t>ed in an annex to it.</w:t>
      </w:r>
      <w:r w:rsidR="00BE5603">
        <w:rPr>
          <w:lang w:eastAsia="en-US"/>
        </w:rPr>
        <w:t xml:space="preserve"> </w:t>
      </w:r>
      <w:r w:rsidR="004352DA">
        <w:rPr>
          <w:lang w:eastAsia="en-US"/>
        </w:rPr>
        <w:t xml:space="preserve">Now, pursuant to Art. </w:t>
      </w:r>
      <w:r w:rsidR="000A2524">
        <w:rPr>
          <w:lang w:eastAsia="en-US"/>
        </w:rPr>
        <w:t xml:space="preserve">2, n. 9, to be read in conjunction with </w:t>
      </w:r>
      <w:r w:rsidR="004352DA">
        <w:rPr>
          <w:lang w:eastAsia="en-US"/>
        </w:rPr>
        <w:t>the following Art. 3</w:t>
      </w:r>
      <w:r w:rsidR="009535B3">
        <w:rPr>
          <w:lang w:eastAsia="en-US"/>
        </w:rPr>
        <w:t>,</w:t>
      </w:r>
      <w:r w:rsidR="004352DA">
        <w:rPr>
          <w:lang w:eastAsia="en-US"/>
        </w:rPr>
        <w:t xml:space="preserve"> </w:t>
      </w:r>
      <w:r w:rsidR="000A2524">
        <w:rPr>
          <w:lang w:eastAsia="en-US"/>
        </w:rPr>
        <w:t>the</w:t>
      </w:r>
      <w:r w:rsidR="000A2524" w:rsidRPr="000A2524">
        <w:t xml:space="preserve"> </w:t>
      </w:r>
      <w:r w:rsidR="00954526">
        <w:rPr>
          <w:lang w:eastAsia="en-US"/>
        </w:rPr>
        <w:t xml:space="preserve">AFS </w:t>
      </w:r>
      <w:r w:rsidR="000A2524" w:rsidRPr="000A2524">
        <w:rPr>
          <w:lang w:eastAsia="en-US"/>
        </w:rPr>
        <w:t>Convention</w:t>
      </w:r>
      <w:r w:rsidR="000A2524">
        <w:rPr>
          <w:lang w:eastAsia="en-US"/>
        </w:rPr>
        <w:t xml:space="preserve"> </w:t>
      </w:r>
      <w:r w:rsidR="000E7290">
        <w:rPr>
          <w:lang w:eastAsia="en-US"/>
        </w:rPr>
        <w:t>should apply to all sort of ships and</w:t>
      </w:r>
      <w:r w:rsidR="000F0B7C">
        <w:rPr>
          <w:lang w:eastAsia="en-US"/>
        </w:rPr>
        <w:t>,</w:t>
      </w:r>
      <w:r w:rsidR="000E7290">
        <w:rPr>
          <w:lang w:eastAsia="en-US"/>
        </w:rPr>
        <w:t xml:space="preserve"> hence</w:t>
      </w:r>
      <w:r w:rsidR="000F0B7C">
        <w:rPr>
          <w:lang w:eastAsia="en-US"/>
        </w:rPr>
        <w:t>,</w:t>
      </w:r>
      <w:r w:rsidR="000E7290">
        <w:rPr>
          <w:lang w:eastAsia="en-US"/>
        </w:rPr>
        <w:t xml:space="preserve"> also to every yacht.</w:t>
      </w:r>
      <w:r w:rsidR="000A2524">
        <w:rPr>
          <w:lang w:eastAsia="en-US"/>
        </w:rPr>
        <w:t xml:space="preserve"> </w:t>
      </w:r>
      <w:r w:rsidR="00EE7697">
        <w:rPr>
          <w:lang w:eastAsia="en-US"/>
        </w:rPr>
        <w:t xml:space="preserve">Indeed, the first provision pinpoints the traits of a </w:t>
      </w:r>
      <w:r w:rsidR="00D32BCD">
        <w:rPr>
          <w:lang w:eastAsia="en-US"/>
        </w:rPr>
        <w:t>ship, within the meaning of the</w:t>
      </w:r>
      <w:r w:rsidR="00FC5013">
        <w:rPr>
          <w:lang w:eastAsia="en-US"/>
        </w:rPr>
        <w:t xml:space="preserve"> </w:t>
      </w:r>
      <w:r w:rsidR="009162CA">
        <w:rPr>
          <w:lang w:eastAsia="en-US"/>
        </w:rPr>
        <w:t xml:space="preserve">examined </w:t>
      </w:r>
      <w:r w:rsidR="00FC5013">
        <w:rPr>
          <w:lang w:eastAsia="en-US"/>
        </w:rPr>
        <w:t>legal instrument</w:t>
      </w:r>
      <w:r w:rsidR="009162CA">
        <w:rPr>
          <w:lang w:eastAsia="en-US"/>
        </w:rPr>
        <w:t xml:space="preserve">, in a “vessel </w:t>
      </w:r>
      <w:r w:rsidR="009162CA" w:rsidRPr="009162CA">
        <w:rPr>
          <w:lang w:eastAsia="en-US"/>
        </w:rPr>
        <w:t>of any type whatsoever operating in the marine</w:t>
      </w:r>
      <w:r w:rsidR="009162CA">
        <w:rPr>
          <w:lang w:eastAsia="en-US"/>
        </w:rPr>
        <w:t xml:space="preserve"> </w:t>
      </w:r>
      <w:r w:rsidR="009162CA" w:rsidRPr="009162CA">
        <w:rPr>
          <w:lang w:eastAsia="en-US"/>
        </w:rPr>
        <w:t>environment</w:t>
      </w:r>
      <w:r w:rsidR="009162CA">
        <w:rPr>
          <w:lang w:eastAsia="en-US"/>
        </w:rPr>
        <w:t>”</w:t>
      </w:r>
      <w:r w:rsidR="00F34F13">
        <w:rPr>
          <w:lang w:eastAsia="en-US"/>
        </w:rPr>
        <w:t xml:space="preserve">. This part of the definition is identical to that furnished by the </w:t>
      </w:r>
      <w:r w:rsidR="0024777F">
        <w:rPr>
          <w:lang w:eastAsia="en-US"/>
        </w:rPr>
        <w:t xml:space="preserve">MARPOL </w:t>
      </w:r>
      <w:r w:rsidR="00F34F13" w:rsidRPr="00F34F13">
        <w:rPr>
          <w:lang w:eastAsia="en-US"/>
        </w:rPr>
        <w:t>73/78</w:t>
      </w:r>
      <w:r w:rsidR="009C7248">
        <w:rPr>
          <w:lang w:eastAsia="en-US"/>
        </w:rPr>
        <w:t xml:space="preserve"> Convention, as shown above.</w:t>
      </w:r>
      <w:r w:rsidR="00077EB9">
        <w:rPr>
          <w:lang w:eastAsia="en-US"/>
        </w:rPr>
        <w:t xml:space="preserve"> Likewise, </w:t>
      </w:r>
      <w:r w:rsidR="008157AA">
        <w:rPr>
          <w:lang w:eastAsia="en-US"/>
        </w:rPr>
        <w:t>f</w:t>
      </w:r>
      <w:r w:rsidR="008157AA" w:rsidRPr="008157AA">
        <w:rPr>
          <w:lang w:eastAsia="en-US"/>
        </w:rPr>
        <w:t>or greater certainty,</w:t>
      </w:r>
      <w:r w:rsidR="008157AA">
        <w:rPr>
          <w:lang w:eastAsia="en-US"/>
        </w:rPr>
        <w:t xml:space="preserve"> </w:t>
      </w:r>
      <w:r w:rsidR="00077EB9">
        <w:rPr>
          <w:lang w:eastAsia="en-US"/>
        </w:rPr>
        <w:t xml:space="preserve">the </w:t>
      </w:r>
      <w:r w:rsidR="008157AA">
        <w:rPr>
          <w:lang w:eastAsia="en-US"/>
        </w:rPr>
        <w:t>same term specifically comprises in the notion floating crafts, hydrofoil boats and air-cushion vehicles</w:t>
      </w:r>
      <w:r w:rsidR="00E55444">
        <w:rPr>
          <w:lang w:eastAsia="en-US"/>
        </w:rPr>
        <w:t xml:space="preserve"> here too</w:t>
      </w:r>
      <w:r w:rsidR="008157AA">
        <w:rPr>
          <w:lang w:eastAsia="en-US"/>
        </w:rPr>
        <w:t>.</w:t>
      </w:r>
      <w:r w:rsidR="008024F8">
        <w:rPr>
          <w:lang w:eastAsia="en-US"/>
        </w:rPr>
        <w:t xml:space="preserve"> </w:t>
      </w:r>
      <w:r w:rsidR="00B9540D">
        <w:rPr>
          <w:lang w:eastAsia="en-US"/>
        </w:rPr>
        <w:t>In conclusion, organotin compounds acting as biocides in anti-fouling systems</w:t>
      </w:r>
      <w:r w:rsidR="00566D15">
        <w:rPr>
          <w:lang w:eastAsia="en-US"/>
        </w:rPr>
        <w:t xml:space="preserve">, such </w:t>
      </w:r>
      <w:proofErr w:type="gramStart"/>
      <w:r w:rsidR="00566D15">
        <w:rPr>
          <w:lang w:eastAsia="en-US"/>
        </w:rPr>
        <w:t xml:space="preserve">as </w:t>
      </w:r>
      <w:r w:rsidR="00B9540D">
        <w:rPr>
          <w:lang w:eastAsia="en-US"/>
        </w:rPr>
        <w:t xml:space="preserve"> </w:t>
      </w:r>
      <w:r w:rsidR="00566D15" w:rsidRPr="00566D15">
        <w:rPr>
          <w:lang w:eastAsia="en-US"/>
        </w:rPr>
        <w:lastRenderedPageBreak/>
        <w:t>tributyltin</w:t>
      </w:r>
      <w:proofErr w:type="gramEnd"/>
      <w:r w:rsidR="00566D15" w:rsidRPr="00566D15">
        <w:rPr>
          <w:lang w:eastAsia="en-US"/>
        </w:rPr>
        <w:t xml:space="preserve"> (TBT)</w:t>
      </w:r>
      <w:r w:rsidR="00BD5560">
        <w:rPr>
          <w:lang w:eastAsia="en-US"/>
        </w:rPr>
        <w:t>[</w:t>
      </w:r>
      <w:r w:rsidR="00C56EC0">
        <w:rPr>
          <w:lang w:eastAsia="en-US"/>
        </w:rPr>
        <w:t>10</w:t>
      </w:r>
      <w:r w:rsidR="00BD5560">
        <w:rPr>
          <w:lang w:eastAsia="en-US"/>
        </w:rPr>
        <w:t>]</w:t>
      </w:r>
      <w:r w:rsidR="00566D15" w:rsidRPr="00566D15">
        <w:rPr>
          <w:lang w:eastAsia="en-US"/>
        </w:rPr>
        <w:t>,</w:t>
      </w:r>
      <w:r w:rsidR="00566D15">
        <w:rPr>
          <w:rStyle w:val="Rimandonotaapidipagina"/>
          <w:lang w:eastAsia="en-US"/>
        </w:rPr>
        <w:footnoteReference w:id="2"/>
      </w:r>
      <w:r w:rsidR="00566D15" w:rsidRPr="00566D15">
        <w:rPr>
          <w:lang w:eastAsia="en-US"/>
        </w:rPr>
        <w:t xml:space="preserve"> </w:t>
      </w:r>
      <w:r w:rsidR="00A82CCD">
        <w:rPr>
          <w:lang w:eastAsia="en-US"/>
        </w:rPr>
        <w:t>cannot be applied to yachts and,</w:t>
      </w:r>
      <w:r w:rsidR="00503439">
        <w:rPr>
          <w:lang w:eastAsia="en-US"/>
        </w:rPr>
        <w:t xml:space="preserve"> when appose</w:t>
      </w:r>
      <w:r w:rsidR="00A82CCD">
        <w:rPr>
          <w:lang w:eastAsia="en-US"/>
        </w:rPr>
        <w:t xml:space="preserve">d </w:t>
      </w:r>
      <w:r w:rsidR="00503439">
        <w:rPr>
          <w:lang w:eastAsia="en-US"/>
        </w:rPr>
        <w:t xml:space="preserve">on them </w:t>
      </w:r>
      <w:r w:rsidR="00A82CCD">
        <w:rPr>
          <w:lang w:eastAsia="en-US"/>
        </w:rPr>
        <w:t>in the past,</w:t>
      </w:r>
      <w:r w:rsidR="00503439">
        <w:rPr>
          <w:lang w:eastAsia="en-US"/>
        </w:rPr>
        <w:t xml:space="preserve"> the latter </w:t>
      </w:r>
      <w:r w:rsidR="00A82CCD">
        <w:rPr>
          <w:lang w:eastAsia="en-US"/>
        </w:rPr>
        <w:t>have t</w:t>
      </w:r>
      <w:r w:rsidR="00503439">
        <w:rPr>
          <w:lang w:eastAsia="en-US"/>
        </w:rPr>
        <w:t>o bear an overlay constituting a barrier to possible leaching from the underlying non-compliant treatment.</w:t>
      </w:r>
      <w:r w:rsidR="00A82CCD">
        <w:rPr>
          <w:lang w:eastAsia="en-US"/>
        </w:rPr>
        <w:t xml:space="preserve"> </w:t>
      </w:r>
      <w:r w:rsidR="00EE7697">
        <w:rPr>
          <w:lang w:eastAsia="en-US"/>
        </w:rPr>
        <w:t xml:space="preserve"> </w:t>
      </w:r>
      <w:r w:rsidR="009535B3">
        <w:rPr>
          <w:lang w:eastAsia="en-US"/>
        </w:rPr>
        <w:t xml:space="preserve">  </w:t>
      </w:r>
      <w:r w:rsidR="004352DA">
        <w:rPr>
          <w:lang w:eastAsia="en-US"/>
        </w:rPr>
        <w:t xml:space="preserve"> </w:t>
      </w:r>
    </w:p>
    <w:p w:rsidR="006625E0" w:rsidRDefault="007A12CD" w:rsidP="00884FE8">
      <w:pPr>
        <w:pStyle w:val="Titolo2"/>
      </w:pPr>
      <w:r>
        <w:t xml:space="preserve">The SALVAGE </w:t>
      </w:r>
      <w:r w:rsidR="00884FE8" w:rsidRPr="00884FE8">
        <w:t>Conve</w:t>
      </w:r>
      <w:r>
        <w:t>ntion</w:t>
      </w:r>
    </w:p>
    <w:p w:rsidR="000254A3" w:rsidRDefault="00B84216" w:rsidP="000254A3">
      <w:pPr>
        <w:pStyle w:val="NoindentNormal"/>
      </w:pPr>
      <w:r>
        <w:t>Thanks to</w:t>
      </w:r>
      <w:r w:rsidR="000B4D06">
        <w:t xml:space="preserve"> </w:t>
      </w:r>
      <w:r w:rsidR="0024777F">
        <w:t>this legal instrument the “no cure, no pay”</w:t>
      </w:r>
      <w:r w:rsidR="0024777F" w:rsidRPr="0024777F">
        <w:t xml:space="preserve"> principle</w:t>
      </w:r>
      <w:r w:rsidR="0024777F">
        <w:t xml:space="preserve">, carved in the </w:t>
      </w:r>
      <w:r w:rsidR="0024777F" w:rsidRPr="0024777F">
        <w:t>Brussels Convention for the Unification of Certain Rules with Respect to Assistance and Salvage at Sea</w:t>
      </w:r>
      <w:r w:rsidR="0024777F">
        <w:t xml:space="preserve"> of 1910,</w:t>
      </w:r>
      <w:r>
        <w:t xml:space="preserve"> </w:t>
      </w:r>
      <w:r w:rsidR="0024777F">
        <w:t>has been</w:t>
      </w:r>
      <w:r w:rsidR="003F51D5">
        <w:t xml:space="preserve"> overcome and </w:t>
      </w:r>
      <w:r w:rsidR="003F0574">
        <w:t xml:space="preserve">any </w:t>
      </w:r>
      <w:r w:rsidR="004F586C">
        <w:t>reasona</w:t>
      </w:r>
      <w:r w:rsidR="003F0574">
        <w:t xml:space="preserve">ble expenditure incurred in </w:t>
      </w:r>
      <w:r w:rsidR="003B5FB4">
        <w:t>attempt</w:t>
      </w:r>
      <w:r w:rsidR="003F0574">
        <w:t>ing</w:t>
      </w:r>
      <w:r w:rsidR="003B5FB4">
        <w:t xml:space="preserve"> to save lives at sea </w:t>
      </w:r>
      <w:r w:rsidR="004F586C">
        <w:t>should be rewarded.</w:t>
      </w:r>
      <w:r w:rsidR="0024777F">
        <w:t xml:space="preserve"> </w:t>
      </w:r>
      <w:r w:rsidR="003F0574">
        <w:t>Besides,</w:t>
      </w:r>
      <w:r w:rsidR="003F70BE">
        <w:t xml:space="preserve"> </w:t>
      </w:r>
      <w:r w:rsidR="0066451D">
        <w:t xml:space="preserve">the same treaty </w:t>
      </w:r>
      <w:r w:rsidR="00D452B5">
        <w:t xml:space="preserve">has </w:t>
      </w:r>
      <w:r w:rsidR="00431DDA">
        <w:t xml:space="preserve">acknowledged that </w:t>
      </w:r>
      <w:r w:rsidR="003F70BE">
        <w:t>every effort to avoid or reduce environmental damages is to</w:t>
      </w:r>
      <w:r w:rsidR="00431DDA">
        <w:t xml:space="preserve"> be compensated.</w:t>
      </w:r>
      <w:r w:rsidR="00337BBC">
        <w:t xml:space="preserve"> The </w:t>
      </w:r>
      <w:r w:rsidR="00337BBC" w:rsidRPr="00337BBC">
        <w:t>International Convention on Salvage</w:t>
      </w:r>
      <w:r w:rsidR="00337BBC">
        <w:t xml:space="preserve"> (SALVAGE), adopted on 28</w:t>
      </w:r>
      <w:r w:rsidR="00337BBC" w:rsidRPr="00337BBC">
        <w:rPr>
          <w:vertAlign w:val="superscript"/>
        </w:rPr>
        <w:t>th</w:t>
      </w:r>
      <w:r w:rsidR="00337BBC">
        <w:t xml:space="preserve"> April 1989 and entered into force on 14</w:t>
      </w:r>
      <w:r w:rsidR="00337BBC" w:rsidRPr="00337BBC">
        <w:rPr>
          <w:vertAlign w:val="superscript"/>
        </w:rPr>
        <w:t>th</w:t>
      </w:r>
      <w:r w:rsidR="00337BBC">
        <w:t xml:space="preserve"> July 1996, </w:t>
      </w:r>
      <w:r w:rsidR="00D452B5">
        <w:t>has su</w:t>
      </w:r>
      <w:r w:rsidR="00C33353">
        <w:t>bstantially changed the subject-</w:t>
      </w:r>
      <w:r w:rsidR="00D452B5">
        <w:t>matter. Its profound impact involves also the yachting industry, since the kn</w:t>
      </w:r>
      <w:r w:rsidR="00B27416">
        <w:t xml:space="preserve">owledge of vessel offered by its Art. 1, </w:t>
      </w:r>
      <w:proofErr w:type="spellStart"/>
      <w:proofErr w:type="gramStart"/>
      <w:r w:rsidR="00B27416">
        <w:t>lett</w:t>
      </w:r>
      <w:proofErr w:type="spellEnd"/>
      <w:proofErr w:type="gramEnd"/>
      <w:r w:rsidR="00B27416">
        <w:t xml:space="preserve">. b) </w:t>
      </w:r>
      <w:proofErr w:type="gramStart"/>
      <w:r w:rsidR="00B27416">
        <w:t>engages</w:t>
      </w:r>
      <w:proofErr w:type="gramEnd"/>
      <w:r w:rsidR="00B27416">
        <w:t xml:space="preserve"> “</w:t>
      </w:r>
      <w:r w:rsidR="00B27416" w:rsidRPr="00B27416">
        <w:t>any ship or craft, or any structure capable of navigation</w:t>
      </w:r>
      <w:r w:rsidR="00B27416">
        <w:t>”.</w:t>
      </w:r>
      <w:r w:rsidR="00016652">
        <w:t xml:space="preserve"> </w:t>
      </w:r>
      <w:r w:rsidR="001616C3">
        <w:t>O</w:t>
      </w:r>
      <w:r w:rsidR="001616C3" w:rsidRPr="001616C3">
        <w:t>ne of the major implications</w:t>
      </w:r>
      <w:r w:rsidR="001616C3">
        <w:t xml:space="preserve"> of this </w:t>
      </w:r>
      <w:r w:rsidR="00966066">
        <w:t>subjection to the said convention</w:t>
      </w:r>
      <w:r w:rsidR="00580FFC">
        <w:t xml:space="preserve"> is that the yacht master must respect the duty to render assistance as codified by its Art. 10.</w:t>
      </w:r>
      <w:r w:rsidR="00580FFC" w:rsidRPr="00580FFC">
        <w:t xml:space="preserve"> </w:t>
      </w:r>
      <w:r w:rsidR="00580FFC">
        <w:t>In practical terms, the yacht captain “</w:t>
      </w:r>
      <w:r w:rsidR="00580FFC" w:rsidRPr="00580FFC">
        <w:t>is bound, so far as he can do so without serious danger to his vessel and persons thereon, to render assistance to any person in danger of being lost at sea</w:t>
      </w:r>
      <w:r w:rsidR="00580FFC">
        <w:t>”</w:t>
      </w:r>
      <w:r w:rsidR="004E3253">
        <w:t>.</w:t>
      </w:r>
      <w:r w:rsidR="00F24683">
        <w:t>[</w:t>
      </w:r>
      <w:r w:rsidR="004E3253">
        <w:t>11]</w:t>
      </w:r>
    </w:p>
    <w:p w:rsidR="007A12CD" w:rsidRDefault="007A12CD" w:rsidP="000254A3">
      <w:pPr>
        <w:pStyle w:val="Titolo2"/>
      </w:pPr>
      <w:r>
        <w:t>The SOLAS Convention</w:t>
      </w:r>
    </w:p>
    <w:p w:rsidR="009D0B96" w:rsidRDefault="008B115A" w:rsidP="00425DB1">
      <w:pPr>
        <w:pStyle w:val="NoindentNormal"/>
      </w:pPr>
      <w:r w:rsidRPr="006C3DA8">
        <w:rPr>
          <w:szCs w:val="20"/>
        </w:rPr>
        <w:t xml:space="preserve">The International </w:t>
      </w:r>
      <w:r w:rsidR="00425DB1" w:rsidRPr="006C3DA8">
        <w:rPr>
          <w:szCs w:val="20"/>
        </w:rPr>
        <w:t xml:space="preserve">Convention </w:t>
      </w:r>
      <w:r w:rsidRPr="006C3DA8">
        <w:rPr>
          <w:szCs w:val="20"/>
        </w:rPr>
        <w:t>for th</w:t>
      </w:r>
      <w:r w:rsidR="006C3DA8" w:rsidRPr="006C3DA8">
        <w:rPr>
          <w:szCs w:val="20"/>
        </w:rPr>
        <w:t xml:space="preserve">e Safety of Life at Sea (SOLAS), </w:t>
      </w:r>
      <w:r w:rsidR="003B7DEB">
        <w:rPr>
          <w:szCs w:val="20"/>
        </w:rPr>
        <w:t>came to light on  January 20</w:t>
      </w:r>
      <w:r w:rsidR="003B7DEB" w:rsidRPr="003B7DEB">
        <w:rPr>
          <w:szCs w:val="20"/>
          <w:vertAlign w:val="superscript"/>
        </w:rPr>
        <w:t>th</w:t>
      </w:r>
      <w:r w:rsidR="003B7DEB">
        <w:rPr>
          <w:szCs w:val="20"/>
        </w:rPr>
        <w:t xml:space="preserve"> 1914</w:t>
      </w:r>
      <w:r w:rsidR="006D55F5">
        <w:rPr>
          <w:szCs w:val="20"/>
        </w:rPr>
        <w:t>, was replaced in 1960</w:t>
      </w:r>
      <w:r w:rsidR="003B7DEB">
        <w:rPr>
          <w:szCs w:val="20"/>
        </w:rPr>
        <w:t xml:space="preserve"> and, in the current</w:t>
      </w:r>
      <w:r w:rsidR="006D55F5">
        <w:rPr>
          <w:szCs w:val="20"/>
        </w:rPr>
        <w:t>ly widely used</w:t>
      </w:r>
      <w:r w:rsidR="003B7DEB">
        <w:rPr>
          <w:szCs w:val="20"/>
        </w:rPr>
        <w:t xml:space="preserve"> version, </w:t>
      </w:r>
      <w:r w:rsidR="006D55F5">
        <w:rPr>
          <w:szCs w:val="20"/>
        </w:rPr>
        <w:t xml:space="preserve">was </w:t>
      </w:r>
      <w:r w:rsidR="006C3DA8" w:rsidRPr="006C3DA8">
        <w:rPr>
          <w:szCs w:val="20"/>
        </w:rPr>
        <w:t>adopted on 1</w:t>
      </w:r>
      <w:r w:rsidR="006C3DA8" w:rsidRPr="006C3DA8">
        <w:rPr>
          <w:szCs w:val="20"/>
          <w:vertAlign w:val="superscript"/>
        </w:rPr>
        <w:t>st</w:t>
      </w:r>
      <w:r w:rsidR="006C3DA8" w:rsidRPr="006C3DA8">
        <w:rPr>
          <w:szCs w:val="20"/>
        </w:rPr>
        <w:t xml:space="preserve"> November 1974 and entered into force on 25</w:t>
      </w:r>
      <w:r w:rsidR="006C3DA8" w:rsidRPr="006C3DA8">
        <w:rPr>
          <w:szCs w:val="20"/>
          <w:vertAlign w:val="superscript"/>
        </w:rPr>
        <w:t>th</w:t>
      </w:r>
      <w:r w:rsidR="006C3DA8" w:rsidRPr="006C3DA8">
        <w:rPr>
          <w:szCs w:val="20"/>
        </w:rPr>
        <w:t xml:space="preserve"> May 1980</w:t>
      </w:r>
      <w:r w:rsidR="006C3DA8">
        <w:rPr>
          <w:szCs w:val="20"/>
        </w:rPr>
        <w:t>,</w:t>
      </w:r>
      <w:r w:rsidR="006C3DA8" w:rsidRPr="006C3DA8">
        <w:rPr>
          <w:szCs w:val="20"/>
        </w:rPr>
        <w:t xml:space="preserve"> </w:t>
      </w:r>
      <w:r w:rsidR="0025365E">
        <w:rPr>
          <w:szCs w:val="20"/>
        </w:rPr>
        <w:t xml:space="preserve">but </w:t>
      </w:r>
      <w:r w:rsidR="006D55F5">
        <w:rPr>
          <w:szCs w:val="20"/>
        </w:rPr>
        <w:t xml:space="preserve">has been </w:t>
      </w:r>
      <w:r w:rsidR="0094717E">
        <w:rPr>
          <w:szCs w:val="20"/>
        </w:rPr>
        <w:t>re</w:t>
      </w:r>
      <w:r w:rsidR="006D55F5">
        <w:rPr>
          <w:szCs w:val="20"/>
        </w:rPr>
        <w:t>peatedly amended over the recent years.</w:t>
      </w:r>
      <w:r w:rsidR="0094717E">
        <w:rPr>
          <w:szCs w:val="20"/>
        </w:rPr>
        <w:t xml:space="preserve"> </w:t>
      </w:r>
      <w:r w:rsidR="006D55F5">
        <w:rPr>
          <w:szCs w:val="20"/>
        </w:rPr>
        <w:t xml:space="preserve">It </w:t>
      </w:r>
      <w:r w:rsidR="00425DB1" w:rsidRPr="006C3DA8">
        <w:rPr>
          <w:szCs w:val="20"/>
        </w:rPr>
        <w:t>includes</w:t>
      </w:r>
      <w:r w:rsidR="00D97192">
        <w:t xml:space="preserve"> provisions</w:t>
      </w:r>
      <w:r w:rsidR="00425DB1" w:rsidRPr="00425DB1">
        <w:t xml:space="preserve"> </w:t>
      </w:r>
      <w:r w:rsidR="00D97192">
        <w:t>setting o</w:t>
      </w:r>
      <w:r w:rsidR="006D55F5">
        <w:t xml:space="preserve">ut general obligations that are </w:t>
      </w:r>
      <w:r w:rsidR="00425DB1" w:rsidRPr="00425DB1">
        <w:t>followed by an Annex divided into 14 Chapters</w:t>
      </w:r>
      <w:r w:rsidR="007036B3">
        <w:t>. The importa</w:t>
      </w:r>
      <w:r w:rsidR="0066451D">
        <w:t>nce of the legal instrument in determining</w:t>
      </w:r>
      <w:r w:rsidR="00C11568">
        <w:t xml:space="preserve"> safety standards for the shipping industry is </w:t>
      </w:r>
      <w:r w:rsidR="00C11568" w:rsidRPr="00C11568">
        <w:t>tough to deny.</w:t>
      </w:r>
      <w:r w:rsidR="00C11568">
        <w:t xml:space="preserve"> </w:t>
      </w:r>
      <w:r w:rsidR="008C0DE3">
        <w:t xml:space="preserve">Nonetheless, the validity of such an influential treaty is mainly reduced to merchant vessels. </w:t>
      </w:r>
      <w:r w:rsidR="00AF0E2C">
        <w:t xml:space="preserve">Admittedly, pursuant to Regulation </w:t>
      </w:r>
      <w:r w:rsidR="002F4BB8">
        <w:t xml:space="preserve">3, </w:t>
      </w:r>
      <w:proofErr w:type="spellStart"/>
      <w:proofErr w:type="gramStart"/>
      <w:r w:rsidR="002F4BB8">
        <w:t>lett</w:t>
      </w:r>
      <w:proofErr w:type="spellEnd"/>
      <w:proofErr w:type="gramEnd"/>
      <w:r w:rsidR="002F4BB8">
        <w:t xml:space="preserve">. a) </w:t>
      </w:r>
      <w:proofErr w:type="gramStart"/>
      <w:r w:rsidR="00321588">
        <w:t>of</w:t>
      </w:r>
      <w:proofErr w:type="gramEnd"/>
      <w:r w:rsidR="00321588">
        <w:t xml:space="preserve"> Chapter I,</w:t>
      </w:r>
      <w:r w:rsidR="009F32E3">
        <w:t xml:space="preserve"> Part A,</w:t>
      </w:r>
      <w:r w:rsidR="00321588">
        <w:t xml:space="preserve"> as a general rule, the SOLAS Convention should not be applicable to </w:t>
      </w:r>
      <w:r w:rsidR="002F4BB8">
        <w:t>“p</w:t>
      </w:r>
      <w:r w:rsidR="002F4BB8" w:rsidRPr="002F4BB8">
        <w:t>leasure yachts not engaged in trade</w:t>
      </w:r>
      <w:r w:rsidR="002F4BB8">
        <w:t xml:space="preserve">” </w:t>
      </w:r>
      <w:r w:rsidR="00ED09BC">
        <w:t>(v), to “s</w:t>
      </w:r>
      <w:r w:rsidR="00ED09BC" w:rsidRPr="00ED09BC">
        <w:t>hips no</w:t>
      </w:r>
      <w:r w:rsidR="00ED09BC">
        <w:t>t propelled by mechanical means” (iii) and</w:t>
      </w:r>
      <w:r w:rsidR="00ED09BC" w:rsidRPr="00ED09BC">
        <w:t xml:space="preserve"> </w:t>
      </w:r>
      <w:r w:rsidR="00ED09BC">
        <w:t>“w</w:t>
      </w:r>
      <w:r w:rsidR="00ED09BC" w:rsidRPr="00ED09BC">
        <w:t>ooden ships of primitive build</w:t>
      </w:r>
      <w:r w:rsidR="00ED09BC">
        <w:t>” (iv)</w:t>
      </w:r>
      <w:r w:rsidR="00DE273D">
        <w:t xml:space="preserve">. But that’s not all. As may be </w:t>
      </w:r>
      <w:r w:rsidR="002661CD">
        <w:t xml:space="preserve">evidently </w:t>
      </w:r>
      <w:r w:rsidR="00DE273D">
        <w:t xml:space="preserve">inferred from </w:t>
      </w:r>
      <w:r w:rsidR="009F32E3">
        <w:t xml:space="preserve">Regulation 1, </w:t>
      </w:r>
      <w:proofErr w:type="spellStart"/>
      <w:proofErr w:type="gramStart"/>
      <w:r w:rsidR="009F32E3">
        <w:t>lett</w:t>
      </w:r>
      <w:proofErr w:type="spellEnd"/>
      <w:proofErr w:type="gramEnd"/>
      <w:r w:rsidR="009F32E3">
        <w:t xml:space="preserve">. a) </w:t>
      </w:r>
      <w:proofErr w:type="gramStart"/>
      <w:r w:rsidR="009F32E3">
        <w:t>and</w:t>
      </w:r>
      <w:proofErr w:type="gramEnd"/>
      <w:r w:rsidR="009F32E3">
        <w:t xml:space="preserve"> </w:t>
      </w:r>
      <w:r w:rsidR="00DE273D">
        <w:t xml:space="preserve">Regulation 4, </w:t>
      </w:r>
      <w:proofErr w:type="spellStart"/>
      <w:r w:rsidR="00DE273D">
        <w:t>lett</w:t>
      </w:r>
      <w:proofErr w:type="spellEnd"/>
      <w:r w:rsidR="00DE273D">
        <w:t xml:space="preserve">. a) </w:t>
      </w:r>
      <w:proofErr w:type="gramStart"/>
      <w:r w:rsidR="00DE273D">
        <w:t>of</w:t>
      </w:r>
      <w:proofErr w:type="gramEnd"/>
      <w:r w:rsidR="00DE273D">
        <w:t xml:space="preserve"> the same Chapter I,</w:t>
      </w:r>
      <w:r w:rsidR="009F32E3">
        <w:t xml:space="preserve"> Part A,</w:t>
      </w:r>
      <w:r w:rsidR="00DE273D">
        <w:t xml:space="preserve"> the treaty concerns ships involved on international voyages.</w:t>
      </w:r>
      <w:r w:rsidR="00E923E2">
        <w:t xml:space="preserve"> The joint action of these two exclusions from the scope of the convention, severely restricts its application to yachts, since they should be </w:t>
      </w:r>
      <w:r w:rsidR="00114B83">
        <w:t>operat</w:t>
      </w:r>
      <w:r w:rsidR="009B2EE1">
        <w:t xml:space="preserve">ed only for trade, be deprived of any </w:t>
      </w:r>
      <w:r w:rsidR="00114B83">
        <w:t>recreational nature and be deployed for international routes</w:t>
      </w:r>
      <w:proofErr w:type="gramStart"/>
      <w:r w:rsidR="00114B83">
        <w:t>.</w:t>
      </w:r>
      <w:r w:rsidR="004E3253">
        <w:t>[</w:t>
      </w:r>
      <w:proofErr w:type="gramEnd"/>
      <w:r w:rsidR="00E927AE">
        <w:t>12</w:t>
      </w:r>
      <w:r w:rsidR="004E3253">
        <w:t>]</w:t>
      </w:r>
      <w:r w:rsidR="00E923E2">
        <w:t xml:space="preserve"> </w:t>
      </w:r>
    </w:p>
    <w:p w:rsidR="00442FA4" w:rsidRDefault="009D0B96" w:rsidP="005B057D">
      <w:pPr>
        <w:pStyle w:val="NoindentNormal"/>
        <w:ind w:firstLine="357"/>
        <w:rPr>
          <w:szCs w:val="20"/>
        </w:rPr>
      </w:pPr>
      <w:r w:rsidRPr="008233AB">
        <w:rPr>
          <w:szCs w:val="20"/>
        </w:rPr>
        <w:t xml:space="preserve">That </w:t>
      </w:r>
      <w:r w:rsidR="00600DB5" w:rsidRPr="008233AB">
        <w:rPr>
          <w:szCs w:val="20"/>
        </w:rPr>
        <w:t xml:space="preserve">reported, </w:t>
      </w:r>
      <w:r w:rsidR="000B207B" w:rsidRPr="008233AB">
        <w:rPr>
          <w:szCs w:val="20"/>
        </w:rPr>
        <w:t xml:space="preserve">there is a remarkable exception: Chapter V, </w:t>
      </w:r>
      <w:r w:rsidR="00D76745" w:rsidRPr="008233AB">
        <w:rPr>
          <w:szCs w:val="20"/>
        </w:rPr>
        <w:t>devoted to safety of navigation</w:t>
      </w:r>
      <w:r w:rsidR="000B207B" w:rsidRPr="008233AB">
        <w:rPr>
          <w:szCs w:val="20"/>
        </w:rPr>
        <w:t>,</w:t>
      </w:r>
      <w:r w:rsidR="00D76745" w:rsidRPr="008233AB">
        <w:rPr>
          <w:szCs w:val="20"/>
        </w:rPr>
        <w:t xml:space="preserve"> </w:t>
      </w:r>
      <w:r w:rsidR="000B207B" w:rsidRPr="008233AB">
        <w:rPr>
          <w:szCs w:val="20"/>
        </w:rPr>
        <w:t>expressly covers “all ships on all voyages”, as stated by its Regulation 1</w:t>
      </w:r>
      <w:r w:rsidR="00FC4F20">
        <w:rPr>
          <w:szCs w:val="20"/>
        </w:rPr>
        <w:t>, par. 1</w:t>
      </w:r>
      <w:r w:rsidR="000B207B" w:rsidRPr="008233AB">
        <w:rPr>
          <w:szCs w:val="20"/>
        </w:rPr>
        <w:t>. The latter exclu</w:t>
      </w:r>
      <w:r w:rsidR="009F32E3">
        <w:rPr>
          <w:szCs w:val="20"/>
        </w:rPr>
        <w:t xml:space="preserve">des the application of this portion </w:t>
      </w:r>
      <w:r w:rsidR="000B207B" w:rsidRPr="008233AB">
        <w:rPr>
          <w:szCs w:val="20"/>
        </w:rPr>
        <w:t>of the SOLAS Convention only for a</w:t>
      </w:r>
      <w:r w:rsidR="003B57EE">
        <w:rPr>
          <w:szCs w:val="20"/>
        </w:rPr>
        <w:t xml:space="preserve"> </w:t>
      </w:r>
      <w:r w:rsidR="000B207B" w:rsidRPr="008233AB">
        <w:rPr>
          <w:szCs w:val="20"/>
        </w:rPr>
        <w:t xml:space="preserve">few categories of vessels, such as </w:t>
      </w:r>
      <w:r w:rsidR="008233AB" w:rsidRPr="008233AB">
        <w:rPr>
          <w:szCs w:val="20"/>
        </w:rPr>
        <w:t>“</w:t>
      </w:r>
      <w:r w:rsidR="000B207B" w:rsidRPr="008233AB">
        <w:rPr>
          <w:szCs w:val="20"/>
        </w:rPr>
        <w:t>warships, naval auxiliaries and other ships owned or operated by a Contracting Government</w:t>
      </w:r>
      <w:r w:rsidR="008233AB" w:rsidRPr="008233AB">
        <w:rPr>
          <w:szCs w:val="20"/>
        </w:rPr>
        <w:t>” or</w:t>
      </w:r>
      <w:r w:rsidR="003B57EE">
        <w:rPr>
          <w:szCs w:val="20"/>
        </w:rPr>
        <w:t xml:space="preserve"> </w:t>
      </w:r>
      <w:r w:rsidR="00F326DE">
        <w:rPr>
          <w:szCs w:val="20"/>
        </w:rPr>
        <w:t>active in specific stretches of water.</w:t>
      </w:r>
      <w:r w:rsidR="008233AB" w:rsidRPr="008233AB">
        <w:rPr>
          <w:szCs w:val="20"/>
        </w:rPr>
        <w:t xml:space="preserve"> </w:t>
      </w:r>
      <w:r w:rsidR="002661CD">
        <w:rPr>
          <w:szCs w:val="20"/>
        </w:rPr>
        <w:t>Moreover, the latter expression has been clarified by the following Regulation 2</w:t>
      </w:r>
      <w:r w:rsidR="00784029">
        <w:rPr>
          <w:szCs w:val="20"/>
        </w:rPr>
        <w:t>, n. 3</w:t>
      </w:r>
      <w:r w:rsidR="002661CD">
        <w:rPr>
          <w:szCs w:val="20"/>
        </w:rPr>
        <w:t xml:space="preserve"> which asserts that it embraces “</w:t>
      </w:r>
      <w:r w:rsidR="002661CD" w:rsidRPr="002661CD">
        <w:rPr>
          <w:szCs w:val="20"/>
        </w:rPr>
        <w:t>any ship, vessel or craft irrespective of type and purpose</w:t>
      </w:r>
      <w:r w:rsidR="002661CD">
        <w:rPr>
          <w:szCs w:val="20"/>
        </w:rPr>
        <w:t>”.</w:t>
      </w:r>
      <w:r w:rsidR="00003CDD">
        <w:rPr>
          <w:szCs w:val="20"/>
        </w:rPr>
        <w:t xml:space="preserve"> </w:t>
      </w:r>
      <w:r w:rsidR="00904D38">
        <w:rPr>
          <w:szCs w:val="20"/>
        </w:rPr>
        <w:lastRenderedPageBreak/>
        <w:t xml:space="preserve">Consequently, yachts can be deemed to be ruled by Chapter V of the SOLAS Convention. Nevertheless, if they are not reaching sizeable thresholds (150 </w:t>
      </w:r>
      <w:r w:rsidR="00904D38" w:rsidRPr="00904D38">
        <w:rPr>
          <w:szCs w:val="20"/>
        </w:rPr>
        <w:t>gross tonnage engaged on any voyage</w:t>
      </w:r>
      <w:r w:rsidR="00904D38">
        <w:rPr>
          <w:szCs w:val="20"/>
        </w:rPr>
        <w:t xml:space="preserve"> and </w:t>
      </w:r>
      <w:r w:rsidR="00904D38" w:rsidRPr="00904D38">
        <w:rPr>
          <w:szCs w:val="20"/>
        </w:rPr>
        <w:t>500 gross tonnage not engaged on international voyages</w:t>
      </w:r>
      <w:r w:rsidR="00904D38">
        <w:rPr>
          <w:szCs w:val="20"/>
        </w:rPr>
        <w:t>) they can be exonerated from the compliance with many provisions by the flag administration</w:t>
      </w:r>
      <w:r w:rsidR="001B0A2D">
        <w:rPr>
          <w:szCs w:val="20"/>
        </w:rPr>
        <w:t>.</w:t>
      </w:r>
      <w:r w:rsidR="00904D38">
        <w:rPr>
          <w:szCs w:val="20"/>
        </w:rPr>
        <w:t xml:space="preserve"> Furthermore, </w:t>
      </w:r>
      <w:r w:rsidR="001B0A2D">
        <w:rPr>
          <w:szCs w:val="20"/>
        </w:rPr>
        <w:t>Regulation 3 of the said Chapter V foresees the possibility to benefit from</w:t>
      </w:r>
      <w:r w:rsidR="001B0A2D" w:rsidRPr="001B0A2D">
        <w:t xml:space="preserve"> </w:t>
      </w:r>
      <w:r w:rsidR="001B0A2D" w:rsidRPr="001B0A2D">
        <w:rPr>
          <w:szCs w:val="20"/>
        </w:rPr>
        <w:t>general exemptions</w:t>
      </w:r>
      <w:r w:rsidR="001B0A2D">
        <w:rPr>
          <w:szCs w:val="20"/>
        </w:rPr>
        <w:t xml:space="preserve"> from certain precepts when the ship has no </w:t>
      </w:r>
      <w:r w:rsidR="001B0A2D" w:rsidRPr="001B0A2D">
        <w:rPr>
          <w:szCs w:val="20"/>
        </w:rPr>
        <w:t>mechanical means of propulsion</w:t>
      </w:r>
      <w:r w:rsidR="00CC0ACD">
        <w:rPr>
          <w:szCs w:val="20"/>
        </w:rPr>
        <w:t>. In addition, it envisages “</w:t>
      </w:r>
      <w:r w:rsidR="00CC0ACD" w:rsidRPr="00CC0ACD">
        <w:rPr>
          <w:szCs w:val="20"/>
        </w:rPr>
        <w:t>individual ships exemptions or equivalents of a partial or conditional nature</w:t>
      </w:r>
      <w:r w:rsidR="00CC0ACD">
        <w:rPr>
          <w:szCs w:val="20"/>
        </w:rPr>
        <w:t xml:space="preserve">, when any such ship is engaged </w:t>
      </w:r>
      <w:r w:rsidR="00CC0ACD" w:rsidRPr="00CC0ACD">
        <w:rPr>
          <w:szCs w:val="20"/>
        </w:rPr>
        <w:t xml:space="preserve">on a voyage where the maximum distance of the ship from the shore, the length and nature of the voyage, the </w:t>
      </w:r>
      <w:r w:rsidR="00CC0ACD">
        <w:rPr>
          <w:szCs w:val="20"/>
        </w:rPr>
        <w:t xml:space="preserve">absence of general navigational </w:t>
      </w:r>
      <w:r w:rsidR="00CC0ACD" w:rsidRPr="00CC0ACD">
        <w:rPr>
          <w:szCs w:val="20"/>
        </w:rPr>
        <w:t>hazards, and other conditions affecting safety are such as to render the full application of this chapter unreasonab</w:t>
      </w:r>
      <w:r w:rsidR="00CC0ACD">
        <w:rPr>
          <w:szCs w:val="20"/>
        </w:rPr>
        <w:t xml:space="preserve">le or unnecessary”. Under these circumstances, the norm requires at any rate the flag administration to weigh </w:t>
      </w:r>
      <w:r w:rsidR="00CC0ACD" w:rsidRPr="00CC0ACD">
        <w:rPr>
          <w:szCs w:val="20"/>
        </w:rPr>
        <w:t>the effect</w:t>
      </w:r>
      <w:r w:rsidR="00CC0ACD">
        <w:rPr>
          <w:szCs w:val="20"/>
        </w:rPr>
        <w:t>s of</w:t>
      </w:r>
      <w:r w:rsidR="00CC0ACD" w:rsidRPr="00CC0ACD">
        <w:rPr>
          <w:szCs w:val="20"/>
        </w:rPr>
        <w:t xml:space="preserve"> such exem</w:t>
      </w:r>
      <w:r w:rsidR="00CC0ACD">
        <w:rPr>
          <w:szCs w:val="20"/>
        </w:rPr>
        <w:t xml:space="preserve">ptions and equivalents </w:t>
      </w:r>
      <w:r w:rsidR="00CC0ACD" w:rsidRPr="00CC0ACD">
        <w:rPr>
          <w:szCs w:val="20"/>
        </w:rPr>
        <w:t>up</w:t>
      </w:r>
      <w:r w:rsidR="00CC0ACD">
        <w:rPr>
          <w:szCs w:val="20"/>
        </w:rPr>
        <w:t>on the safety of all other vessels</w:t>
      </w:r>
      <w:proofErr w:type="gramStart"/>
      <w:r w:rsidR="00CC0ACD">
        <w:rPr>
          <w:szCs w:val="20"/>
        </w:rPr>
        <w:t>.</w:t>
      </w:r>
      <w:r w:rsidR="004E3253">
        <w:rPr>
          <w:szCs w:val="20"/>
        </w:rPr>
        <w:t>[</w:t>
      </w:r>
      <w:proofErr w:type="gramEnd"/>
      <w:r w:rsidR="00E927AE">
        <w:rPr>
          <w:szCs w:val="20"/>
        </w:rPr>
        <w:t>13</w:t>
      </w:r>
      <w:r w:rsidR="004E3253">
        <w:rPr>
          <w:szCs w:val="20"/>
        </w:rPr>
        <w:t>]</w:t>
      </w:r>
    </w:p>
    <w:p w:rsidR="00425DB1" w:rsidRPr="008233AB" w:rsidRDefault="00685993" w:rsidP="005B057D">
      <w:pPr>
        <w:pStyle w:val="NoindentNormal"/>
        <w:ind w:firstLine="357"/>
        <w:rPr>
          <w:szCs w:val="20"/>
        </w:rPr>
      </w:pPr>
      <w:r>
        <w:rPr>
          <w:szCs w:val="20"/>
        </w:rPr>
        <w:t xml:space="preserve">Also another segment of the SOLAS Convention could intervene in regulating yachts, although with an application circumscribed to those having </w:t>
      </w:r>
      <w:r w:rsidR="00927B06">
        <w:rPr>
          <w:szCs w:val="20"/>
        </w:rPr>
        <w:t>the strongest power.</w:t>
      </w:r>
      <w:r w:rsidR="000027F0">
        <w:rPr>
          <w:szCs w:val="20"/>
        </w:rPr>
        <w:t xml:space="preserve"> Here its Chapter X is contemplated, owing to </w:t>
      </w:r>
      <w:r w:rsidR="00BE7459">
        <w:rPr>
          <w:szCs w:val="20"/>
        </w:rPr>
        <w:t>the safety measures for high-</w:t>
      </w:r>
      <w:r w:rsidR="000079DE">
        <w:rPr>
          <w:szCs w:val="20"/>
        </w:rPr>
        <w:t xml:space="preserve">speed craft </w:t>
      </w:r>
      <w:r w:rsidR="00C41001">
        <w:rPr>
          <w:szCs w:val="20"/>
        </w:rPr>
        <w:t>prescribed</w:t>
      </w:r>
      <w:r w:rsidR="006059D2">
        <w:rPr>
          <w:szCs w:val="20"/>
        </w:rPr>
        <w:t xml:space="preserve"> therein. </w:t>
      </w:r>
      <w:r w:rsidR="000079DE">
        <w:rPr>
          <w:szCs w:val="20"/>
        </w:rPr>
        <w:t>The virtue of this invoked section</w:t>
      </w:r>
      <w:r w:rsidR="0074381C">
        <w:rPr>
          <w:szCs w:val="20"/>
        </w:rPr>
        <w:t xml:space="preserve"> is that it has made the</w:t>
      </w:r>
      <w:r w:rsidR="0074381C" w:rsidRPr="0074381C">
        <w:rPr>
          <w:szCs w:val="20"/>
        </w:rPr>
        <w:t xml:space="preserve"> International Code</w:t>
      </w:r>
      <w:r w:rsidR="00396730">
        <w:rPr>
          <w:szCs w:val="20"/>
        </w:rPr>
        <w:t>s</w:t>
      </w:r>
      <w:r w:rsidR="0074381C" w:rsidRPr="0074381C">
        <w:rPr>
          <w:szCs w:val="20"/>
        </w:rPr>
        <w:t xml:space="preserve"> of Safety for High-Speed Craft (HSC Code</w:t>
      </w:r>
      <w:r w:rsidR="00396730">
        <w:rPr>
          <w:szCs w:val="20"/>
        </w:rPr>
        <w:t>s</w:t>
      </w:r>
      <w:r w:rsidR="0074381C" w:rsidRPr="0074381C">
        <w:rPr>
          <w:szCs w:val="20"/>
        </w:rPr>
        <w:t>)</w:t>
      </w:r>
      <w:r w:rsidR="0074381C">
        <w:rPr>
          <w:szCs w:val="20"/>
        </w:rPr>
        <w:t xml:space="preserve"> </w:t>
      </w:r>
      <w:r w:rsidR="003F6978">
        <w:rPr>
          <w:szCs w:val="20"/>
        </w:rPr>
        <w:t>compulsory</w:t>
      </w:r>
      <w:r w:rsidR="0074381C">
        <w:rPr>
          <w:szCs w:val="20"/>
        </w:rPr>
        <w:t>.</w:t>
      </w:r>
      <w:r w:rsidR="003F6978">
        <w:rPr>
          <w:szCs w:val="20"/>
        </w:rPr>
        <w:t xml:space="preserve"> </w:t>
      </w:r>
      <w:r w:rsidR="0074381C">
        <w:rPr>
          <w:szCs w:val="20"/>
        </w:rPr>
        <w:t xml:space="preserve">The latter, adopted </w:t>
      </w:r>
      <w:r w:rsidR="003C1FD0">
        <w:rPr>
          <w:szCs w:val="20"/>
        </w:rPr>
        <w:t>in 1994</w:t>
      </w:r>
      <w:r w:rsidR="00396730">
        <w:rPr>
          <w:szCs w:val="20"/>
        </w:rPr>
        <w:t xml:space="preserve"> and 2000</w:t>
      </w:r>
      <w:r w:rsidR="003C1FD0">
        <w:rPr>
          <w:szCs w:val="20"/>
        </w:rPr>
        <w:t xml:space="preserve"> by IMO’s Maritime Safety Committee</w:t>
      </w:r>
      <w:r w:rsidR="00396730">
        <w:rPr>
          <w:szCs w:val="20"/>
        </w:rPr>
        <w:t>, provide</w:t>
      </w:r>
      <w:r w:rsidR="003C1FD0">
        <w:rPr>
          <w:szCs w:val="20"/>
        </w:rPr>
        <w:t xml:space="preserve"> </w:t>
      </w:r>
      <w:r w:rsidR="00C6562B">
        <w:rPr>
          <w:szCs w:val="20"/>
        </w:rPr>
        <w:t xml:space="preserve">an articulated framework </w:t>
      </w:r>
      <w:r w:rsidR="003C1FD0" w:rsidRPr="003C1FD0">
        <w:rPr>
          <w:szCs w:val="20"/>
        </w:rPr>
        <w:t>of comprehensive requirements, including equipment and conditions for operation and maintenance</w:t>
      </w:r>
      <w:r w:rsidR="003C1FD0">
        <w:rPr>
          <w:szCs w:val="20"/>
        </w:rPr>
        <w:t>.</w:t>
      </w:r>
      <w:r w:rsidR="000079DE">
        <w:rPr>
          <w:szCs w:val="20"/>
        </w:rPr>
        <w:t xml:space="preserve"> </w:t>
      </w:r>
      <w:r w:rsidR="00FB3A7F">
        <w:rPr>
          <w:szCs w:val="20"/>
        </w:rPr>
        <w:t>The legal tool</w:t>
      </w:r>
      <w:r w:rsidR="00396730">
        <w:rPr>
          <w:szCs w:val="20"/>
        </w:rPr>
        <w:t>s</w:t>
      </w:r>
      <w:r w:rsidR="008769C1">
        <w:rPr>
          <w:szCs w:val="20"/>
        </w:rPr>
        <w:t xml:space="preserve"> cover</w:t>
      </w:r>
      <w:r w:rsidR="00FB3A7F">
        <w:rPr>
          <w:szCs w:val="20"/>
        </w:rPr>
        <w:t xml:space="preserve"> </w:t>
      </w:r>
      <w:r w:rsidR="00F01432" w:rsidRPr="00F01432">
        <w:rPr>
          <w:szCs w:val="20"/>
        </w:rPr>
        <w:t>passenger craft</w:t>
      </w:r>
      <w:r w:rsidR="00F01432">
        <w:rPr>
          <w:szCs w:val="20"/>
        </w:rPr>
        <w:t>s</w:t>
      </w:r>
      <w:r w:rsidR="003D63DC">
        <w:rPr>
          <w:szCs w:val="20"/>
        </w:rPr>
        <w:t xml:space="preserve"> </w:t>
      </w:r>
      <w:r w:rsidR="00F01432" w:rsidRPr="00F01432">
        <w:rPr>
          <w:szCs w:val="20"/>
        </w:rPr>
        <w:t>which do not proceed when fully laden for more than four hours at operational speed fr</w:t>
      </w:r>
      <w:r w:rsidR="00096307">
        <w:rPr>
          <w:szCs w:val="20"/>
        </w:rPr>
        <w:t>om a place of refuge, as underlined by</w:t>
      </w:r>
      <w:r w:rsidR="00396730">
        <w:rPr>
          <w:szCs w:val="20"/>
        </w:rPr>
        <w:t xml:space="preserve"> Regulation 2 of the mentioned Chapter X.</w:t>
      </w:r>
      <w:r w:rsidR="008769C1">
        <w:rPr>
          <w:szCs w:val="20"/>
        </w:rPr>
        <w:t xml:space="preserve"> Moreover, </w:t>
      </w:r>
      <w:r w:rsidR="008769C1" w:rsidRPr="008769C1">
        <w:rPr>
          <w:szCs w:val="20"/>
        </w:rPr>
        <w:t>HSC Codes</w:t>
      </w:r>
      <w:r w:rsidR="008769C1">
        <w:rPr>
          <w:szCs w:val="20"/>
        </w:rPr>
        <w:t xml:space="preserve"> require the craft to be involved on an international voyage. </w:t>
      </w:r>
      <w:r w:rsidR="00F250BB">
        <w:rPr>
          <w:szCs w:val="20"/>
        </w:rPr>
        <w:t>In accordance with the formula embedded in Regulation 1, par. 3 of Chapter X in view of defining a high-speed craft,</w:t>
      </w:r>
      <w:r w:rsidR="00F250BB">
        <w:rPr>
          <w:rStyle w:val="Rimandonotaapidipagina"/>
          <w:szCs w:val="20"/>
        </w:rPr>
        <w:footnoteReference w:id="3"/>
      </w:r>
      <w:r w:rsidR="00F250BB">
        <w:rPr>
          <w:szCs w:val="20"/>
        </w:rPr>
        <w:t xml:space="preserve"> t</w:t>
      </w:r>
      <w:r w:rsidR="008769C1">
        <w:rPr>
          <w:szCs w:val="20"/>
        </w:rPr>
        <w:t>he main target of the</w:t>
      </w:r>
      <w:r w:rsidR="0059023C">
        <w:rPr>
          <w:szCs w:val="20"/>
        </w:rPr>
        <w:t xml:space="preserve"> instrument</w:t>
      </w:r>
      <w:r w:rsidR="008769C1">
        <w:rPr>
          <w:szCs w:val="20"/>
        </w:rPr>
        <w:t xml:space="preserve"> is </w:t>
      </w:r>
      <w:r w:rsidR="0059023C">
        <w:rPr>
          <w:szCs w:val="20"/>
        </w:rPr>
        <w:t xml:space="preserve">manifestly represented by </w:t>
      </w:r>
      <w:r w:rsidR="008769C1">
        <w:rPr>
          <w:szCs w:val="20"/>
        </w:rPr>
        <w:t xml:space="preserve">air-cushion vehicles, hovercrafts </w:t>
      </w:r>
      <w:r w:rsidR="008769C1" w:rsidRPr="008769C1">
        <w:rPr>
          <w:szCs w:val="20"/>
        </w:rPr>
        <w:t>and hydrofoil boats</w:t>
      </w:r>
      <w:proofErr w:type="gramStart"/>
      <w:r w:rsidR="0059023C">
        <w:rPr>
          <w:szCs w:val="20"/>
        </w:rPr>
        <w:t>.</w:t>
      </w:r>
      <w:r w:rsidR="004E3253">
        <w:rPr>
          <w:szCs w:val="20"/>
        </w:rPr>
        <w:t>[</w:t>
      </w:r>
      <w:proofErr w:type="gramEnd"/>
      <w:r w:rsidR="00E927AE">
        <w:rPr>
          <w:szCs w:val="20"/>
        </w:rPr>
        <w:t>14</w:t>
      </w:r>
      <w:r w:rsidR="004E3253">
        <w:rPr>
          <w:szCs w:val="20"/>
        </w:rPr>
        <w:t>]</w:t>
      </w:r>
    </w:p>
    <w:p w:rsidR="000254A3" w:rsidRPr="000254A3" w:rsidRDefault="007A12CD" w:rsidP="000254A3">
      <w:pPr>
        <w:pStyle w:val="Titolo2"/>
      </w:pPr>
      <w:r>
        <w:t>The COLREG</w:t>
      </w:r>
      <w:r w:rsidR="00F250BB">
        <w:t>s</w:t>
      </w:r>
      <w:r>
        <w:t xml:space="preserve"> Convention </w:t>
      </w:r>
    </w:p>
    <w:p w:rsidR="00016652" w:rsidRDefault="006D55F5" w:rsidP="00296059">
      <w:pPr>
        <w:pStyle w:val="NoindentNormal"/>
      </w:pPr>
      <w:r>
        <w:t xml:space="preserve">The </w:t>
      </w:r>
      <w:r w:rsidRPr="006D55F5">
        <w:t>Convention on the International Regulations for Preventing Collisions at Sea</w:t>
      </w:r>
      <w:r w:rsidR="00224BFC">
        <w:t xml:space="preserve"> (COLREGs), adopted on October 20</w:t>
      </w:r>
      <w:r w:rsidR="00224BFC" w:rsidRPr="00224BFC">
        <w:rPr>
          <w:vertAlign w:val="superscript"/>
        </w:rPr>
        <w:t>th</w:t>
      </w:r>
      <w:r w:rsidR="00224BFC">
        <w:t xml:space="preserve"> </w:t>
      </w:r>
      <w:r>
        <w:t>1972</w:t>
      </w:r>
      <w:r w:rsidR="00224BFC">
        <w:t xml:space="preserve"> and entered into force on July 15</w:t>
      </w:r>
      <w:r w:rsidR="00224BFC" w:rsidRPr="00224BFC">
        <w:rPr>
          <w:vertAlign w:val="superscript"/>
        </w:rPr>
        <w:t>th</w:t>
      </w:r>
      <w:r w:rsidR="00224BFC">
        <w:t xml:space="preserve"> 1977,</w:t>
      </w:r>
      <w:r w:rsidRPr="006D55F5">
        <w:t xml:space="preserve"> </w:t>
      </w:r>
      <w:r>
        <w:t xml:space="preserve">has </w:t>
      </w:r>
      <w:r w:rsidR="00224BFC">
        <w:t>refresh</w:t>
      </w:r>
      <w:r w:rsidRPr="006D55F5">
        <w:t>e</w:t>
      </w:r>
      <w:r>
        <w:t>d</w:t>
      </w:r>
      <w:r w:rsidR="00224BFC">
        <w:t xml:space="preserve"> and substituted</w:t>
      </w:r>
      <w:r w:rsidRPr="006D55F5">
        <w:t xml:space="preserve"> the Collision Regulations of 1960</w:t>
      </w:r>
      <w:r>
        <w:t>.</w:t>
      </w:r>
      <w:r w:rsidRPr="006D55F5">
        <w:t xml:space="preserve"> </w:t>
      </w:r>
      <w:r w:rsidR="002D2399">
        <w:t>It</w:t>
      </w:r>
      <w:r w:rsidR="005B1A7B">
        <w:t xml:space="preserve"> </w:t>
      </w:r>
      <w:r w:rsidR="00224BFC">
        <w:t xml:space="preserve">dictates the navigation principles by way of </w:t>
      </w:r>
      <w:r w:rsidRPr="006D55F5">
        <w:t>41 rules divided into five sections</w:t>
      </w:r>
      <w:r w:rsidR="002D2399" w:rsidRPr="002D2399">
        <w:t xml:space="preserve"> </w:t>
      </w:r>
      <w:r w:rsidR="00224BFC">
        <w:t xml:space="preserve">compounded by </w:t>
      </w:r>
      <w:r w:rsidR="00DD7FC7">
        <w:t>four a</w:t>
      </w:r>
      <w:r w:rsidR="00AE35A0">
        <w:t xml:space="preserve">nnexes laying down </w:t>
      </w:r>
      <w:r w:rsidR="002D2399" w:rsidRPr="002D2399">
        <w:t>technical requirements</w:t>
      </w:r>
      <w:r w:rsidR="002D2399">
        <w:t>.</w:t>
      </w:r>
      <w:r w:rsidR="00884990">
        <w:t xml:space="preserve"> On the grounds of </w:t>
      </w:r>
      <w:r w:rsidR="00296059">
        <w:t xml:space="preserve">its </w:t>
      </w:r>
      <w:r w:rsidR="00884990">
        <w:t>Rule 1</w:t>
      </w:r>
      <w:r w:rsidR="00C9325C">
        <w:t xml:space="preserve">, </w:t>
      </w:r>
      <w:proofErr w:type="spellStart"/>
      <w:proofErr w:type="gramStart"/>
      <w:r w:rsidR="00C9325C">
        <w:t>lett</w:t>
      </w:r>
      <w:proofErr w:type="spellEnd"/>
      <w:proofErr w:type="gramEnd"/>
      <w:r w:rsidR="00C9325C">
        <w:t>. a)</w:t>
      </w:r>
      <w:r w:rsidR="00296059">
        <w:t>,</w:t>
      </w:r>
      <w:r w:rsidR="00884990">
        <w:t xml:space="preserve"> t</w:t>
      </w:r>
      <w:r w:rsidR="00884990" w:rsidRPr="00884990">
        <w:t xml:space="preserve">he COLREGs Convention </w:t>
      </w:r>
      <w:r w:rsidR="00884990">
        <w:t xml:space="preserve">relates </w:t>
      </w:r>
      <w:r w:rsidR="008261F4" w:rsidRPr="008261F4">
        <w:t xml:space="preserve">to </w:t>
      </w:r>
      <w:r w:rsidR="008261F4">
        <w:t>“</w:t>
      </w:r>
      <w:r w:rsidR="008261F4" w:rsidRPr="008261F4">
        <w:t>all vessels upon the high seas and in all waters connected therewith navigable by seagoing vessels</w:t>
      </w:r>
      <w:r w:rsidR="008261F4">
        <w:t>”</w:t>
      </w:r>
      <w:r w:rsidR="008261F4" w:rsidRPr="008261F4">
        <w:t>.</w:t>
      </w:r>
      <w:r w:rsidR="00631ACC">
        <w:t xml:space="preserve"> Besides, </w:t>
      </w:r>
      <w:r w:rsidR="00F378BA">
        <w:t>pursuant to the following</w:t>
      </w:r>
      <w:r w:rsidR="00F378BA" w:rsidRPr="00F378BA">
        <w:t xml:space="preserve"> </w:t>
      </w:r>
      <w:proofErr w:type="spellStart"/>
      <w:proofErr w:type="gramStart"/>
      <w:r w:rsidR="00F378BA">
        <w:t>lett</w:t>
      </w:r>
      <w:proofErr w:type="spellEnd"/>
      <w:proofErr w:type="gramEnd"/>
      <w:r w:rsidR="00F378BA">
        <w:t>. b</w:t>
      </w:r>
      <w:r w:rsidR="00F378BA" w:rsidRPr="00F378BA">
        <w:t>)</w:t>
      </w:r>
      <w:r w:rsidR="00296059">
        <w:t>, special regulations concerning</w:t>
      </w:r>
      <w:r w:rsidR="00296059" w:rsidRPr="00296059">
        <w:t xml:space="preserve"> </w:t>
      </w:r>
      <w:r w:rsidR="00296059">
        <w:t xml:space="preserve">“roadsteads, </w:t>
      </w:r>
      <w:proofErr w:type="spellStart"/>
      <w:r w:rsidR="00296059">
        <w:t>harbours</w:t>
      </w:r>
      <w:proofErr w:type="spellEnd"/>
      <w:r w:rsidR="00296059">
        <w:t>, rivers, lakes or inland waterways connected with the high seas and navigable by seagoing vessels”</w:t>
      </w:r>
      <w:r w:rsidR="00965CE4">
        <w:t xml:space="preserve">, are </w:t>
      </w:r>
      <w:r w:rsidR="00296059">
        <w:t>required to “</w:t>
      </w:r>
      <w:r w:rsidR="00296059" w:rsidRPr="00296059">
        <w:t>conform as closely as possible</w:t>
      </w:r>
      <w:r w:rsidR="00296059">
        <w:t xml:space="preserve">” to the </w:t>
      </w:r>
      <w:r w:rsidR="00296059" w:rsidRPr="00296059">
        <w:t>COLREGs Convention</w:t>
      </w:r>
      <w:r w:rsidR="00296059">
        <w:t>.</w:t>
      </w:r>
      <w:r w:rsidR="00496F44">
        <w:t>[15]</w:t>
      </w:r>
      <w:r w:rsidR="00F378BA" w:rsidRPr="00F378BA">
        <w:t xml:space="preserve"> </w:t>
      </w:r>
      <w:r w:rsidR="00F378BA">
        <w:t xml:space="preserve"> </w:t>
      </w:r>
    </w:p>
    <w:p w:rsidR="005D3E53" w:rsidRDefault="00965CE4" w:rsidP="005B057D">
      <w:pPr>
        <w:pStyle w:val="NoindentNormal"/>
        <w:ind w:firstLine="357"/>
      </w:pPr>
      <w:r>
        <w:t>In the light of these provisions</w:t>
      </w:r>
      <w:r w:rsidR="00CD2285">
        <w:t xml:space="preserve">, yachts can be </w:t>
      </w:r>
      <w:r w:rsidR="00E21239">
        <w:t>subsumed under the latter when they are</w:t>
      </w:r>
      <w:r w:rsidR="00CD2285">
        <w:t xml:space="preserve"> navigating in areas of high seas or waters linked to them and accessible to </w:t>
      </w:r>
      <w:r w:rsidR="001940E1">
        <w:t xml:space="preserve">boats fit for marine spaces. </w:t>
      </w:r>
      <w:r w:rsidR="006E2F71">
        <w:t xml:space="preserve">Anyhow, if the craft is characterized by a </w:t>
      </w:r>
      <w:r w:rsidR="006E2F71" w:rsidRPr="006E2F71">
        <w:t xml:space="preserve">special construction or </w:t>
      </w:r>
      <w:r w:rsidR="006E2F71" w:rsidRPr="006E2F71">
        <w:lastRenderedPageBreak/>
        <w:t>purpose</w:t>
      </w:r>
      <w:r w:rsidR="006E2F71">
        <w:t xml:space="preserve">, </w:t>
      </w:r>
      <w:r w:rsidR="00E7720A">
        <w:t xml:space="preserve">and, for this reason, is excluded by the treaty under scrutiny, </w:t>
      </w:r>
      <w:r w:rsidR="006E2F71">
        <w:t>it shall be ruled by a specific discipline, enacted by the relevant government</w:t>
      </w:r>
      <w:r w:rsidR="008A242C">
        <w:t xml:space="preserve"> </w:t>
      </w:r>
      <w:r w:rsidR="00C040E6">
        <w:t>with reference to</w:t>
      </w:r>
      <w:r w:rsidR="00D452B5">
        <w:t xml:space="preserve"> </w:t>
      </w:r>
      <w:r w:rsidR="008A242C">
        <w:t>“number, position, range or arc of visibility of lights or shapes, as well as to the disposition and characteristics of sound-</w:t>
      </w:r>
      <w:proofErr w:type="spellStart"/>
      <w:r w:rsidR="008A242C">
        <w:t>signalling</w:t>
      </w:r>
      <w:proofErr w:type="spellEnd"/>
      <w:r w:rsidR="008A242C">
        <w:t xml:space="preserve"> appliances”</w:t>
      </w:r>
      <w:r w:rsidR="00C040E6">
        <w:t>,</w:t>
      </w:r>
      <w:r w:rsidR="00056CF7">
        <w:t xml:space="preserve"> </w:t>
      </w:r>
      <w:r w:rsidR="00BF2C0B">
        <w:t>that needs to co</w:t>
      </w:r>
      <w:r w:rsidR="006C513B">
        <w:t xml:space="preserve">nform to the COLREGs Convention, as demanded by its Rule 1, </w:t>
      </w:r>
      <w:proofErr w:type="spellStart"/>
      <w:r w:rsidR="006C513B">
        <w:t>lett</w:t>
      </w:r>
      <w:proofErr w:type="spellEnd"/>
      <w:r w:rsidR="006C513B">
        <w:t>. e)</w:t>
      </w:r>
      <w:proofErr w:type="gramStart"/>
      <w:r w:rsidR="00E927AE">
        <w:t>.</w:t>
      </w:r>
      <w:r w:rsidR="00154FEA">
        <w:t>[</w:t>
      </w:r>
      <w:proofErr w:type="gramEnd"/>
      <w:r w:rsidR="00496F44">
        <w:t>16</w:t>
      </w:r>
      <w:r w:rsidR="00154FEA">
        <w:t>]</w:t>
      </w:r>
    </w:p>
    <w:p w:rsidR="002864C7" w:rsidRDefault="002864C7" w:rsidP="002864C7"/>
    <w:p w:rsidR="002864C7" w:rsidRDefault="002864C7" w:rsidP="002864C7">
      <w:pPr>
        <w:pStyle w:val="Titolo2"/>
      </w:pPr>
      <w:r>
        <w:t>The STCW Convention</w:t>
      </w:r>
    </w:p>
    <w:p w:rsidR="00D06A23" w:rsidRDefault="0048500D" w:rsidP="002864C7">
      <w:pPr>
        <w:pStyle w:val="NoindentNormal"/>
      </w:pPr>
      <w:r>
        <w:t xml:space="preserve">Although the international attitude of shipping has never been called into question, </w:t>
      </w:r>
      <w:r w:rsidR="00175C86">
        <w:t>requirements and procedures regarding t</w:t>
      </w:r>
      <w:r w:rsidR="00175C86" w:rsidRPr="00175C86">
        <w:t xml:space="preserve">raining, certification and </w:t>
      </w:r>
      <w:proofErr w:type="spellStart"/>
      <w:r w:rsidR="00175C86" w:rsidRPr="00175C86">
        <w:t>watchkeeping</w:t>
      </w:r>
      <w:proofErr w:type="spellEnd"/>
      <w:r w:rsidR="00175C86" w:rsidRPr="00175C86">
        <w:t xml:space="preserve"> of officers</w:t>
      </w:r>
      <w:r>
        <w:t xml:space="preserve"> </w:t>
      </w:r>
      <w:r w:rsidR="00175C86">
        <w:t xml:space="preserve">were settled by each State on its own until </w:t>
      </w:r>
      <w:r w:rsidR="005A0CAE">
        <w:t xml:space="preserve">the end of the 1970s, </w:t>
      </w:r>
      <w:r w:rsidR="005A0CAE" w:rsidRPr="005A0CAE">
        <w:t>often at the expense</w:t>
      </w:r>
      <w:r w:rsidR="005A0CAE">
        <w:t xml:space="preserve"> of serious detriment to the quality of performance and working conditions. To tackle the problem, IMO prepared and enhanced a specific treaty: t</w:t>
      </w:r>
      <w:r w:rsidR="002864C7">
        <w:t xml:space="preserve">he </w:t>
      </w:r>
      <w:r w:rsidR="002864C7" w:rsidRPr="002864C7">
        <w:t xml:space="preserve">International Convention on Standards of Training, Certification and </w:t>
      </w:r>
      <w:proofErr w:type="spellStart"/>
      <w:r w:rsidR="002864C7" w:rsidRPr="002864C7">
        <w:t>Watchkeeping</w:t>
      </w:r>
      <w:proofErr w:type="spellEnd"/>
      <w:r w:rsidR="002864C7" w:rsidRPr="002864C7">
        <w:t xml:space="preserve"> for Seafarers</w:t>
      </w:r>
      <w:r w:rsidR="002864C7">
        <w:t xml:space="preserve"> (STCW)</w:t>
      </w:r>
      <w:r w:rsidR="005A0CAE">
        <w:t>,</w:t>
      </w:r>
      <w:r w:rsidR="002864C7">
        <w:t xml:space="preserve"> adopted on July 7</w:t>
      </w:r>
      <w:r w:rsidR="002864C7" w:rsidRPr="002864C7">
        <w:rPr>
          <w:vertAlign w:val="superscript"/>
        </w:rPr>
        <w:t>th</w:t>
      </w:r>
      <w:r w:rsidR="002864C7">
        <w:t xml:space="preserve"> 1978 and entered into force on April 28</w:t>
      </w:r>
      <w:r w:rsidR="002864C7" w:rsidRPr="002864C7">
        <w:rPr>
          <w:vertAlign w:val="superscript"/>
        </w:rPr>
        <w:t>th</w:t>
      </w:r>
      <w:r w:rsidR="002864C7">
        <w:t xml:space="preserve"> 1984,</w:t>
      </w:r>
      <w:r w:rsidR="008032B9">
        <w:t xml:space="preserve"> </w:t>
      </w:r>
      <w:r w:rsidR="005A0CAE">
        <w:t xml:space="preserve">deeply altered with the amendments of 1995, which took effect on </w:t>
      </w:r>
      <w:r w:rsidR="005A0CAE" w:rsidRPr="005A0CAE">
        <w:t xml:space="preserve">February </w:t>
      </w:r>
      <w:r w:rsidR="005A0CAE">
        <w:t>1</w:t>
      </w:r>
      <w:r w:rsidR="005A0CAE" w:rsidRPr="005A0CAE">
        <w:rPr>
          <w:vertAlign w:val="superscript"/>
        </w:rPr>
        <w:t>st</w:t>
      </w:r>
      <w:r w:rsidR="005A0CAE">
        <w:t xml:space="preserve"> </w:t>
      </w:r>
      <w:r w:rsidR="005A0CAE" w:rsidRPr="005A0CAE">
        <w:t>1997</w:t>
      </w:r>
      <w:r w:rsidR="005A0CAE">
        <w:t xml:space="preserve">, and </w:t>
      </w:r>
      <w:r w:rsidR="00376C6C">
        <w:t>the Manila amendments of June 25</w:t>
      </w:r>
      <w:r w:rsidR="00376C6C" w:rsidRPr="00376C6C">
        <w:rPr>
          <w:vertAlign w:val="superscript"/>
        </w:rPr>
        <w:t>th</w:t>
      </w:r>
      <w:r w:rsidR="00376C6C">
        <w:t xml:space="preserve"> 2010, that came into force on January 1</w:t>
      </w:r>
      <w:r w:rsidR="00376C6C" w:rsidRPr="00376C6C">
        <w:rPr>
          <w:vertAlign w:val="superscript"/>
        </w:rPr>
        <w:t>st</w:t>
      </w:r>
      <w:r w:rsidR="00376C6C">
        <w:t xml:space="preserve"> 2012</w:t>
      </w:r>
      <w:proofErr w:type="gramStart"/>
      <w:r w:rsidR="00376C6C">
        <w:t>.</w:t>
      </w:r>
      <w:r w:rsidR="00656207">
        <w:t>[</w:t>
      </w:r>
      <w:proofErr w:type="gramEnd"/>
      <w:r w:rsidR="00656207">
        <w:t>17]</w:t>
      </w:r>
    </w:p>
    <w:p w:rsidR="002864C7" w:rsidRPr="002864C7" w:rsidRDefault="00D06A23" w:rsidP="005B057D">
      <w:pPr>
        <w:pStyle w:val="NoindentNormal"/>
        <w:ind w:firstLine="357"/>
      </w:pPr>
      <w:r>
        <w:t xml:space="preserve">Thanks to </w:t>
      </w:r>
      <w:r w:rsidR="00E87949">
        <w:t xml:space="preserve">the </w:t>
      </w:r>
      <w:r>
        <w:t xml:space="preserve">revision of 1995 </w:t>
      </w:r>
      <w:r w:rsidRPr="00D06A23">
        <w:t xml:space="preserve">the technical annex </w:t>
      </w:r>
      <w:r>
        <w:t xml:space="preserve">of the treaty has been divided </w:t>
      </w:r>
      <w:r w:rsidR="007C4B93">
        <w:t xml:space="preserve">into regulations, in their turn grouped </w:t>
      </w:r>
      <w:r w:rsidRPr="00D06A23">
        <w:t xml:space="preserve">into </w:t>
      </w:r>
      <w:r w:rsidR="007C4B93">
        <w:t>eight Chapters</w:t>
      </w:r>
      <w:r w:rsidRPr="00D06A23">
        <w:t xml:space="preserve">, and </w:t>
      </w:r>
      <w:r w:rsidR="007C4B93">
        <w:t xml:space="preserve">into sections forming </w:t>
      </w:r>
      <w:r w:rsidR="00A404AD">
        <w:t xml:space="preserve">a new STCW Code, that has incorporated </w:t>
      </w:r>
      <w:r w:rsidRPr="00D06A23">
        <w:t>many techni</w:t>
      </w:r>
      <w:r w:rsidR="00A404AD">
        <w:t>cal regulations</w:t>
      </w:r>
      <w:r w:rsidRPr="00D06A23">
        <w:t xml:space="preserve">. </w:t>
      </w:r>
      <w:r>
        <w:t xml:space="preserve">Now, while </w:t>
      </w:r>
      <w:r w:rsidRPr="00D06A23">
        <w:t xml:space="preserve">Part </w:t>
      </w:r>
      <w:r>
        <w:t xml:space="preserve">A of the </w:t>
      </w:r>
      <w:r w:rsidR="007C4B93">
        <w:t xml:space="preserve">said </w:t>
      </w:r>
      <w:r w:rsidR="007C4B93" w:rsidRPr="007C4B93">
        <w:t xml:space="preserve">STCW Code </w:t>
      </w:r>
      <w:r>
        <w:t>is mandatory,</w:t>
      </w:r>
      <w:r w:rsidRPr="00D06A23">
        <w:t xml:space="preserve"> Part B is recommended.</w:t>
      </w:r>
      <w:r w:rsidR="005A0CAE">
        <w:t xml:space="preserve"> </w:t>
      </w:r>
      <w:r w:rsidR="00A404AD">
        <w:t>This sequence of prescriptions is preceded by provisions having a general nature.</w:t>
      </w:r>
      <w:r w:rsidR="00C7095E">
        <w:t xml:space="preserve"> Amongst them, Art. III points out that the STCW Convention is applicable to “seafarers serving on board seagoing ships </w:t>
      </w:r>
      <w:r w:rsidR="00456504">
        <w:t>entitled to fly the</w:t>
      </w:r>
      <w:r w:rsidR="00666A17">
        <w:t xml:space="preserve"> flag” of a Contracting </w:t>
      </w:r>
      <w:r w:rsidR="00456504">
        <w:t xml:space="preserve">Party to it. </w:t>
      </w:r>
      <w:r w:rsidR="00A869C0">
        <w:t xml:space="preserve">In this </w:t>
      </w:r>
      <w:r w:rsidR="007A793E">
        <w:t xml:space="preserve">respect, </w:t>
      </w:r>
      <w:r w:rsidR="00A869C0">
        <w:t xml:space="preserve">Art. II singles out the notion of </w:t>
      </w:r>
      <w:r w:rsidR="00C7095E">
        <w:t xml:space="preserve">seagoing ship </w:t>
      </w:r>
      <w:r w:rsidR="00A869C0">
        <w:t>in a vessel “other than those which navigate exclusively in inland waters or in waters within, or closely adjacent to, sheltered waters or areas where port regulations apply”.</w:t>
      </w:r>
      <w:r w:rsidR="00A404AD">
        <w:t xml:space="preserve"> </w:t>
      </w:r>
      <w:r w:rsidR="00AC54F2">
        <w:t xml:space="preserve">The definition appears to be very wide but the fact that means used solely in inland, sheltered or harbor waters and </w:t>
      </w:r>
      <w:r w:rsidR="00AC54F2" w:rsidRPr="00AC54F2">
        <w:t>adjoining</w:t>
      </w:r>
      <w:r w:rsidR="00AC54F2">
        <w:t xml:space="preserve"> basins are excluded fro</w:t>
      </w:r>
      <w:r w:rsidR="007A793E">
        <w:t xml:space="preserve">m the scope </w:t>
      </w:r>
      <w:r w:rsidR="00AC54F2">
        <w:t>of the convention, permits to infer that yachts of smaller stature could be exonerated.</w:t>
      </w:r>
      <w:r w:rsidR="000D583B">
        <w:t xml:space="preserve"> Nevertheless, there is </w:t>
      </w:r>
      <w:r w:rsidR="000D369A">
        <w:t xml:space="preserve">an important exclusion to be highlighted: Art. III, under </w:t>
      </w:r>
      <w:proofErr w:type="spellStart"/>
      <w:proofErr w:type="gramStart"/>
      <w:r w:rsidR="000D369A">
        <w:t>lett</w:t>
      </w:r>
      <w:proofErr w:type="spellEnd"/>
      <w:proofErr w:type="gramEnd"/>
      <w:r w:rsidR="000D369A">
        <w:t xml:space="preserve">. c) </w:t>
      </w:r>
      <w:proofErr w:type="gramStart"/>
      <w:r w:rsidR="000D369A">
        <w:t>rules</w:t>
      </w:r>
      <w:proofErr w:type="gramEnd"/>
      <w:r w:rsidR="000D369A">
        <w:t xml:space="preserve"> out “pleasure yachts not engaged in trade”, whereas under </w:t>
      </w:r>
      <w:proofErr w:type="spellStart"/>
      <w:r w:rsidR="000D369A">
        <w:t>lett</w:t>
      </w:r>
      <w:proofErr w:type="spellEnd"/>
      <w:r w:rsidR="000D369A">
        <w:t xml:space="preserve">. d) </w:t>
      </w:r>
      <w:proofErr w:type="gramStart"/>
      <w:r w:rsidR="000D369A">
        <w:t>leaves</w:t>
      </w:r>
      <w:proofErr w:type="gramEnd"/>
      <w:r w:rsidR="000D369A">
        <w:t xml:space="preserve"> out “wooden ships of primitive </w:t>
      </w:r>
      <w:proofErr w:type="spellStart"/>
      <w:r w:rsidR="000D369A">
        <w:t>bild</w:t>
      </w:r>
      <w:proofErr w:type="spellEnd"/>
      <w:r w:rsidR="000D369A">
        <w:t xml:space="preserve">”. </w:t>
      </w:r>
      <w:r w:rsidR="000D583B">
        <w:t>Thus it is possible to conclude that large yachts used for commercial purposes remain subject to the discipline envisaged by this convention.</w:t>
      </w:r>
      <w:r w:rsidR="00A03276">
        <w:t xml:space="preserve"> </w:t>
      </w:r>
      <w:r w:rsidR="00A0503C">
        <w:t>Similarl</w:t>
      </w:r>
      <w:r w:rsidR="00A03276">
        <w:t>y, also medium-sized crafts use</w:t>
      </w:r>
      <w:r w:rsidR="00EF0DAF">
        <w:t>d</w:t>
      </w:r>
      <w:r w:rsidR="00A03276">
        <w:t xml:space="preserve"> for business fall in theory within the competence of such legal instrument. </w:t>
      </w:r>
      <w:r w:rsidR="00666A17">
        <w:t>As will be shown</w:t>
      </w:r>
      <w:r w:rsidR="00EF0DAF">
        <w:t xml:space="preserve"> in the next paragraph, the only option for </w:t>
      </w:r>
      <w:r w:rsidR="00666A17">
        <w:t xml:space="preserve">a State Party to prevent </w:t>
      </w:r>
      <w:r w:rsidR="00EF0DAF">
        <w:t>that outcome is to profit from the opportunity to adopt educational and training arrangements</w:t>
      </w:r>
      <w:r w:rsidR="00043787">
        <w:t>, “especially adapted to technical developments and to special types of ships and trades”. Nonetheless, the derogatory standards shall be equivalent in reaching the objectives of the STCW Conventio</w:t>
      </w:r>
      <w:r w:rsidR="00666A17">
        <w:t>n in terms of degree of safety and protection of the environment,</w:t>
      </w:r>
      <w:r w:rsidR="000826E9">
        <w:rPr>
          <w:rStyle w:val="Rimandonotaapidipagina"/>
        </w:rPr>
        <w:footnoteReference w:id="4"/>
      </w:r>
      <w:r w:rsidR="00666A17">
        <w:t xml:space="preserve"> </w:t>
      </w:r>
      <w:r w:rsidR="000826E9">
        <w:t>as required by its Art. IX</w:t>
      </w:r>
      <w:proofErr w:type="gramStart"/>
      <w:r w:rsidR="000826E9">
        <w:t>.</w:t>
      </w:r>
      <w:r w:rsidR="00656207">
        <w:t>[</w:t>
      </w:r>
      <w:proofErr w:type="gramEnd"/>
      <w:r w:rsidR="00656207">
        <w:t>18]</w:t>
      </w:r>
    </w:p>
    <w:p w:rsidR="002864C7" w:rsidRDefault="002864C7" w:rsidP="002864C7">
      <w:pPr>
        <w:pStyle w:val="Titolo2"/>
      </w:pPr>
      <w:r>
        <w:lastRenderedPageBreak/>
        <w:t xml:space="preserve">The LL Convention </w:t>
      </w:r>
    </w:p>
    <w:p w:rsidR="00F05247" w:rsidRPr="00F05247" w:rsidRDefault="009C3995" w:rsidP="00F05247">
      <w:pPr>
        <w:pStyle w:val="NoindentNormal"/>
      </w:pPr>
      <w:r>
        <w:t>The International Convention on Load Lines (LL), adopted on April 5</w:t>
      </w:r>
      <w:r w:rsidRPr="009C3995">
        <w:rPr>
          <w:vertAlign w:val="superscript"/>
        </w:rPr>
        <w:t>th</w:t>
      </w:r>
      <w:r>
        <w:t xml:space="preserve"> 1966 and in force since July 21</w:t>
      </w:r>
      <w:r w:rsidRPr="009C3995">
        <w:rPr>
          <w:vertAlign w:val="superscript"/>
        </w:rPr>
        <w:t>st</w:t>
      </w:r>
      <w:r w:rsidR="00C6315C">
        <w:t xml:space="preserve"> 1968, has intervened </w:t>
      </w:r>
      <w:r>
        <w:t xml:space="preserve">in a field already ruled by a </w:t>
      </w:r>
      <w:r w:rsidRPr="009C3995">
        <w:t>homonymous</w:t>
      </w:r>
      <w:r w:rsidR="00097A7F">
        <w:t>, although very different,</w:t>
      </w:r>
      <w:r w:rsidRPr="009C3995">
        <w:t xml:space="preserve"> </w:t>
      </w:r>
      <w:r>
        <w:t xml:space="preserve">treaty of 1930. </w:t>
      </w:r>
      <w:r w:rsidR="005134BB">
        <w:t xml:space="preserve">Its renown derives from </w:t>
      </w:r>
      <w:r w:rsidR="00356593" w:rsidRPr="00356593">
        <w:t xml:space="preserve">the </w:t>
      </w:r>
      <w:r w:rsidR="005134BB">
        <w:t xml:space="preserve">establishment of freeboard of vessels </w:t>
      </w:r>
      <w:r w:rsidR="00356593" w:rsidRPr="00356593">
        <w:t>by subdivision and damage stability calculations.</w:t>
      </w:r>
      <w:r w:rsidR="00626A55">
        <w:t xml:space="preserve"> As a </w:t>
      </w:r>
      <w:r w:rsidR="00024EC2">
        <w:t>preliminary norm</w:t>
      </w:r>
      <w:r w:rsidR="00C24159">
        <w:t xml:space="preserve">, according to </w:t>
      </w:r>
      <w:r w:rsidR="00024EC2">
        <w:t>Art. 4, par. 2 the LL Convention is enforceable to “</w:t>
      </w:r>
      <w:r w:rsidR="00024EC2" w:rsidRPr="00024EC2">
        <w:t>ships engaged on international voyages</w:t>
      </w:r>
      <w:r w:rsidR="00024EC2">
        <w:t>”.</w:t>
      </w:r>
      <w:r w:rsidR="00024EC2" w:rsidRPr="00024EC2">
        <w:t xml:space="preserve"> </w:t>
      </w:r>
      <w:r w:rsidR="00B5408B">
        <w:t>On top of that, pursuant to Art. 5, par. 1 it cannot be applied to</w:t>
      </w:r>
      <w:r w:rsidR="00626A55">
        <w:t xml:space="preserve"> certain categories of vessels, such as “</w:t>
      </w:r>
      <w:r w:rsidR="00626A55" w:rsidRPr="00626A55">
        <w:t xml:space="preserve">new ships of less than 24 </w:t>
      </w:r>
      <w:proofErr w:type="spellStart"/>
      <w:r w:rsidR="00626A55" w:rsidRPr="00626A55">
        <w:t>metres</w:t>
      </w:r>
      <w:proofErr w:type="spellEnd"/>
      <w:r w:rsidR="00626A55" w:rsidRPr="00626A55">
        <w:t xml:space="preserve"> (79 feet) in length</w:t>
      </w:r>
      <w:r w:rsidR="00626A55">
        <w:t>” (</w:t>
      </w:r>
      <w:proofErr w:type="spellStart"/>
      <w:r w:rsidR="00626A55">
        <w:t>lett</w:t>
      </w:r>
      <w:proofErr w:type="spellEnd"/>
      <w:r w:rsidR="00626A55">
        <w:t>. b), “</w:t>
      </w:r>
      <w:r w:rsidR="00626A55" w:rsidRPr="00626A55">
        <w:t>existing ships of less than 150 tons gross</w:t>
      </w:r>
      <w:r w:rsidR="00626A55">
        <w:t>” (</w:t>
      </w:r>
      <w:proofErr w:type="spellStart"/>
      <w:r w:rsidR="00626A55">
        <w:t>lett</w:t>
      </w:r>
      <w:proofErr w:type="spellEnd"/>
      <w:r w:rsidR="00626A55">
        <w:t>. c) and, most of all, “</w:t>
      </w:r>
      <w:r w:rsidR="00626A55" w:rsidRPr="00626A55">
        <w:t>pleasure yachts not engaged in trade</w:t>
      </w:r>
      <w:r w:rsidR="00626A55">
        <w:t>” (</w:t>
      </w:r>
      <w:proofErr w:type="spellStart"/>
      <w:r w:rsidR="00626A55">
        <w:t>lett</w:t>
      </w:r>
      <w:proofErr w:type="spellEnd"/>
      <w:r w:rsidR="00626A55">
        <w:t xml:space="preserve">. d). </w:t>
      </w:r>
      <w:r w:rsidR="00B5408B">
        <w:t>Hence,</w:t>
      </w:r>
      <w:r w:rsidR="00626A55">
        <w:t xml:space="preserve"> large yachts, involved in international journeys and exploited for commercial goals</w:t>
      </w:r>
      <w:r w:rsidR="00F07579">
        <w:t xml:space="preserve"> </w:t>
      </w:r>
      <w:r w:rsidR="00F25877">
        <w:t>fall under the convention regulation and shall be “</w:t>
      </w:r>
      <w:r w:rsidR="00F25877" w:rsidRPr="00F25877">
        <w:t>surveyed, marked and provided with an International Load Line Certificate</w:t>
      </w:r>
      <w:r w:rsidR="00F25877">
        <w:t>” or, alternatively</w:t>
      </w:r>
      <w:r w:rsidR="00F25877" w:rsidRPr="00F25877">
        <w:t xml:space="preserve">, </w:t>
      </w:r>
      <w:r w:rsidR="00F25877">
        <w:t xml:space="preserve">benefit from </w:t>
      </w:r>
      <w:r w:rsidR="00F25877" w:rsidRPr="00F25877">
        <w:t>an International Load Line Exemptio</w:t>
      </w:r>
      <w:r w:rsidR="00F25877">
        <w:t xml:space="preserve">n Certificate, </w:t>
      </w:r>
      <w:r w:rsidR="00F07579">
        <w:t>unless they navigate uniquely in specific basins enumerated by Art. 5, par. 2 (such as, for instance, the Great Lakes of America or the Caspian Sea).</w:t>
      </w:r>
      <w:r w:rsidR="00B5408B">
        <w:t xml:space="preserve"> </w:t>
      </w:r>
      <w:r w:rsidR="00F05247">
        <w:t>The</w:t>
      </w:r>
      <w:r w:rsidR="00F07579">
        <w:t>re is also here a</w:t>
      </w:r>
      <w:r w:rsidR="00F05247">
        <w:t xml:space="preserve"> possibility to escape from the application of the Convention under scrutiny</w:t>
      </w:r>
      <w:r w:rsidR="00F07579">
        <w:t xml:space="preserve"> </w:t>
      </w:r>
      <w:r w:rsidR="00CB43FB">
        <w:t>by means of equivalents</w:t>
      </w:r>
      <w:r w:rsidR="00F07579">
        <w:t xml:space="preserve">. </w:t>
      </w:r>
      <w:r w:rsidR="007B3AFA">
        <w:t xml:space="preserve">Thereupon, </w:t>
      </w:r>
      <w:r w:rsidR="00F07579">
        <w:t xml:space="preserve">Art. 8 </w:t>
      </w:r>
      <w:r w:rsidR="00CB43FB">
        <w:t>prescribes that “</w:t>
      </w:r>
      <w:r w:rsidR="00CB43FB" w:rsidRPr="00CB43FB">
        <w:t>fitting, material, appliance or apparatus, or provision, is at least as effective as</w:t>
      </w:r>
      <w:r w:rsidR="00CB43FB">
        <w:t xml:space="preserve"> that required” by the treaty itself</w:t>
      </w:r>
      <w:proofErr w:type="gramStart"/>
      <w:r w:rsidR="00CB43FB">
        <w:t>.</w:t>
      </w:r>
      <w:r w:rsidR="00496F44">
        <w:t>[</w:t>
      </w:r>
      <w:proofErr w:type="gramEnd"/>
      <w:r w:rsidR="00656207">
        <w:t>19</w:t>
      </w:r>
      <w:r w:rsidR="00496F44">
        <w:t>]</w:t>
      </w:r>
    </w:p>
    <w:p w:rsidR="005D3E53" w:rsidRDefault="005D3E53" w:rsidP="005D3E53">
      <w:pPr>
        <w:pStyle w:val="Titolo1"/>
      </w:pPr>
      <w:r>
        <w:t xml:space="preserve">Emblematic national regulations for the yachting industry </w:t>
      </w:r>
    </w:p>
    <w:p w:rsidR="003633BA" w:rsidRDefault="003633BA" w:rsidP="003633BA">
      <w:pPr>
        <w:pStyle w:val="NoindentNormal"/>
      </w:pPr>
      <w:r>
        <w:t xml:space="preserve">After examining the </w:t>
      </w:r>
      <w:r w:rsidR="00555FE0">
        <w:t xml:space="preserve">conventions drafted or updated at IMO level for evaluating their applicability to the vast category of yachts, it is </w:t>
      </w:r>
      <w:r w:rsidR="007525AF">
        <w:t xml:space="preserve">now appropriate to get a glimpse at the </w:t>
      </w:r>
      <w:r w:rsidR="00941112">
        <w:t xml:space="preserve">national </w:t>
      </w:r>
      <w:r w:rsidR="007525AF">
        <w:t>legislation focused on this genre of craft.</w:t>
      </w:r>
      <w:r w:rsidR="00555FE0">
        <w:t xml:space="preserve"> </w:t>
      </w:r>
      <w:r w:rsidR="000E7B23">
        <w:t xml:space="preserve">The perspective taken in the present paper, due to space limitations and </w:t>
      </w:r>
      <w:r w:rsidR="00C33353">
        <w:t>f</w:t>
      </w:r>
      <w:r w:rsidR="00C33353" w:rsidRPr="00C33353">
        <w:t>or the sake of convenience</w:t>
      </w:r>
      <w:r w:rsidR="00C33353">
        <w:t xml:space="preserve">, will hinge on cases in point having regard to </w:t>
      </w:r>
      <w:r w:rsidR="00C33353" w:rsidRPr="00C33353">
        <w:t>the subject-matter</w:t>
      </w:r>
      <w:r w:rsidR="00C33353">
        <w:t>.</w:t>
      </w:r>
      <w:r w:rsidR="00F23F4B" w:rsidRPr="00F23F4B">
        <w:t xml:space="preserve"> </w:t>
      </w:r>
      <w:r w:rsidR="00FB6571">
        <w:t>In this context, the observation deck lies in t</w:t>
      </w:r>
      <w:r w:rsidR="004F2F4E">
        <w:t xml:space="preserve">he setting </w:t>
      </w:r>
      <w:r w:rsidR="00F23F4B" w:rsidRPr="00F23F4B">
        <w:t>of technical, safety and ope</w:t>
      </w:r>
      <w:r w:rsidR="004F2F4E">
        <w:t xml:space="preserve">rational standards adjusted </w:t>
      </w:r>
      <w:r w:rsidR="00F23F4B" w:rsidRPr="00F23F4B">
        <w:t>to the size and operation</w:t>
      </w:r>
      <w:r w:rsidR="00F23F4B">
        <w:t xml:space="preserve"> of yachts.</w:t>
      </w:r>
      <w:r w:rsidR="006710F7">
        <w:t xml:space="preserve"> </w:t>
      </w:r>
      <w:r w:rsidR="00537E63">
        <w:t>As a preliminary remark, it should be noticed that the most prominent</w:t>
      </w:r>
      <w:r w:rsidR="00996FA7">
        <w:t xml:space="preserve"> flag States</w:t>
      </w:r>
      <w:r w:rsidR="00537E63">
        <w:t xml:space="preserve"> for the sector under consi</w:t>
      </w:r>
      <w:r w:rsidR="00996FA7">
        <w:t xml:space="preserve">deration are </w:t>
      </w:r>
      <w:r w:rsidR="00537E63">
        <w:t xml:space="preserve">the United Kingdom, </w:t>
      </w:r>
      <w:r w:rsidR="002A3A29">
        <w:t>Malta, Italy, the Marshall Islands, Luxembourg, the Cayman Islands and the Isle of Man.</w:t>
      </w:r>
      <w:r w:rsidR="00AE07FD">
        <w:t xml:space="preserve"> Because of the enrollment of these crafts i</w:t>
      </w:r>
      <w:r w:rsidR="004334ED">
        <w:t>n their registries, the</w:t>
      </w:r>
      <w:r w:rsidR="00AE07FD">
        <w:t xml:space="preserve"> rules issued in the said countries</w:t>
      </w:r>
      <w:r w:rsidR="00FC65A1">
        <w:t xml:space="preserve"> exert a significant influence beyond their borders and, therefore, </w:t>
      </w:r>
      <w:r w:rsidR="00DA39C0">
        <w:t xml:space="preserve">are of primary interest to </w:t>
      </w:r>
      <w:r w:rsidR="00D71136">
        <w:t xml:space="preserve">the </w:t>
      </w:r>
      <w:r w:rsidR="00B268E3" w:rsidRPr="00B268E3">
        <w:t>current analysis</w:t>
      </w:r>
      <w:r w:rsidR="00B268E3">
        <w:t>.</w:t>
      </w:r>
    </w:p>
    <w:p w:rsidR="001C723E" w:rsidRDefault="001C723E" w:rsidP="005B057D">
      <w:pPr>
        <w:rPr>
          <w:szCs w:val="20"/>
        </w:rPr>
      </w:pPr>
      <w:r>
        <w:t>An interesting example is represented by the Large Comme</w:t>
      </w:r>
      <w:r w:rsidR="00FF34C4">
        <w:t xml:space="preserve">rcial Yacht Code (LY3), </w:t>
      </w:r>
      <w:r>
        <w:t xml:space="preserve">jointly </w:t>
      </w:r>
      <w:r w:rsidR="00FF34C4">
        <w:t xml:space="preserve">drawn up </w:t>
      </w:r>
      <w:r w:rsidR="00E834C5">
        <w:t xml:space="preserve">in 2012 </w:t>
      </w:r>
      <w:r w:rsidR="00FF34C4">
        <w:t xml:space="preserve">by the United Kingdom, with the involvement of its Overseas Territories, namely Anguilla, Bermuda, British Virgin Islands, Cayman Islands, Falkland Islands, Gibraltar, Montserrat, St. Helena and the Turks &amp; Caicos Islands as well as the Crown Dependencies, </w:t>
      </w:r>
      <w:r w:rsidR="00FF34C4" w:rsidRPr="00FF34C4">
        <w:t>such as the Is</w:t>
      </w:r>
      <w:r w:rsidR="00FF34C4">
        <w:t xml:space="preserve">le of Man, Jersey and Guernsey, </w:t>
      </w:r>
      <w:r w:rsidR="00B41C52">
        <w:t>but mostly with the participation of international industry delegates.</w:t>
      </w:r>
      <w:r w:rsidR="006F3805">
        <w:t xml:space="preserve"> </w:t>
      </w:r>
      <w:r w:rsidR="00C435D5">
        <w:rPr>
          <w:szCs w:val="20"/>
        </w:rPr>
        <w:t xml:space="preserve">LY3 </w:t>
      </w:r>
      <w:r w:rsidR="004334ED" w:rsidRPr="005E45F1">
        <w:rPr>
          <w:szCs w:val="20"/>
        </w:rPr>
        <w:t xml:space="preserve">constitutes a </w:t>
      </w:r>
      <w:r w:rsidR="005E45F1" w:rsidRPr="005E45F1">
        <w:rPr>
          <w:szCs w:val="20"/>
        </w:rPr>
        <w:t>Code of Practice designed to fix</w:t>
      </w:r>
      <w:r w:rsidR="005E45F1">
        <w:rPr>
          <w:szCs w:val="20"/>
        </w:rPr>
        <w:t xml:space="preserve"> requirements </w:t>
      </w:r>
      <w:r w:rsidR="005E45F1" w:rsidRPr="005E45F1">
        <w:rPr>
          <w:szCs w:val="20"/>
        </w:rPr>
        <w:t>of safety and</w:t>
      </w:r>
      <w:r w:rsidR="005E45F1">
        <w:rPr>
          <w:szCs w:val="20"/>
        </w:rPr>
        <w:t xml:space="preserve"> pollution prevention that are best suited to</w:t>
      </w:r>
      <w:r w:rsidR="005E45F1" w:rsidRPr="005E45F1">
        <w:t xml:space="preserve"> </w:t>
      </w:r>
      <w:r w:rsidR="005E45F1">
        <w:t>“</w:t>
      </w:r>
      <w:r w:rsidR="005E45F1" w:rsidRPr="005E45F1">
        <w:rPr>
          <w:szCs w:val="20"/>
        </w:rPr>
        <w:t>vessels in commercial use for sport or pleasure</w:t>
      </w:r>
      <w:r w:rsidR="005E45F1">
        <w:rPr>
          <w:szCs w:val="20"/>
        </w:rPr>
        <w:t xml:space="preserve">”, sail training ships included, </w:t>
      </w:r>
      <w:r w:rsidR="00F26723">
        <w:rPr>
          <w:szCs w:val="20"/>
        </w:rPr>
        <w:t>which don’</w:t>
      </w:r>
      <w:r w:rsidR="000F1729">
        <w:rPr>
          <w:szCs w:val="20"/>
        </w:rPr>
        <w:t xml:space="preserve">t carry cargo as well as </w:t>
      </w:r>
      <w:r w:rsidR="00F26723">
        <w:rPr>
          <w:szCs w:val="20"/>
        </w:rPr>
        <w:t>more than 12 passengers and measure</w:t>
      </w:r>
      <w:r w:rsidR="005E45F1">
        <w:rPr>
          <w:szCs w:val="20"/>
        </w:rPr>
        <w:t xml:space="preserve"> </w:t>
      </w:r>
      <w:r w:rsidR="00F26723">
        <w:rPr>
          <w:szCs w:val="20"/>
        </w:rPr>
        <w:t xml:space="preserve">at least </w:t>
      </w:r>
      <w:r w:rsidR="005E45F1">
        <w:rPr>
          <w:szCs w:val="20"/>
        </w:rPr>
        <w:t xml:space="preserve">24 </w:t>
      </w:r>
      <w:proofErr w:type="spellStart"/>
      <w:r w:rsidR="005E45F1">
        <w:rPr>
          <w:szCs w:val="20"/>
        </w:rPr>
        <w:t>metres</w:t>
      </w:r>
      <w:proofErr w:type="spellEnd"/>
      <w:r w:rsidR="005E45F1">
        <w:rPr>
          <w:szCs w:val="20"/>
        </w:rPr>
        <w:t xml:space="preserve"> in </w:t>
      </w:r>
      <w:r w:rsidR="00F26723">
        <w:rPr>
          <w:szCs w:val="20"/>
        </w:rPr>
        <w:t xml:space="preserve">load line length </w:t>
      </w:r>
      <w:r w:rsidR="00674653">
        <w:rPr>
          <w:szCs w:val="20"/>
        </w:rPr>
        <w:t xml:space="preserve">or, if built before </w:t>
      </w:r>
      <w:r w:rsidR="005E45F1" w:rsidRPr="005E45F1">
        <w:rPr>
          <w:szCs w:val="20"/>
        </w:rPr>
        <w:t>Jul</w:t>
      </w:r>
      <w:r w:rsidR="00F26723">
        <w:rPr>
          <w:szCs w:val="20"/>
        </w:rPr>
        <w:t xml:space="preserve">y </w:t>
      </w:r>
      <w:r w:rsidR="00674653">
        <w:rPr>
          <w:szCs w:val="20"/>
        </w:rPr>
        <w:t>21</w:t>
      </w:r>
      <w:r w:rsidR="00674653" w:rsidRPr="00674653">
        <w:rPr>
          <w:szCs w:val="20"/>
          <w:vertAlign w:val="superscript"/>
        </w:rPr>
        <w:t>st</w:t>
      </w:r>
      <w:r w:rsidR="00674653">
        <w:rPr>
          <w:szCs w:val="20"/>
        </w:rPr>
        <w:t xml:space="preserve"> </w:t>
      </w:r>
      <w:r w:rsidR="00F26723">
        <w:rPr>
          <w:szCs w:val="20"/>
        </w:rPr>
        <w:t xml:space="preserve">1968, </w:t>
      </w:r>
      <w:r w:rsidR="00674653">
        <w:rPr>
          <w:szCs w:val="20"/>
        </w:rPr>
        <w:t xml:space="preserve">at least </w:t>
      </w:r>
      <w:r w:rsidR="00F26723">
        <w:rPr>
          <w:szCs w:val="20"/>
        </w:rPr>
        <w:t xml:space="preserve">150 gross tons </w:t>
      </w:r>
      <w:r w:rsidR="00674653">
        <w:rPr>
          <w:szCs w:val="20"/>
        </w:rPr>
        <w:t xml:space="preserve">in accordance with </w:t>
      </w:r>
      <w:r w:rsidR="005E45F1" w:rsidRPr="005E45F1">
        <w:rPr>
          <w:szCs w:val="20"/>
        </w:rPr>
        <w:t>the tonnage measurement regula</w:t>
      </w:r>
      <w:r w:rsidR="005E45F1">
        <w:rPr>
          <w:szCs w:val="20"/>
        </w:rPr>
        <w:t>tio</w:t>
      </w:r>
      <w:r w:rsidR="00BF7325">
        <w:rPr>
          <w:szCs w:val="20"/>
        </w:rPr>
        <w:t>ns applying at that date</w:t>
      </w:r>
      <w:proofErr w:type="gramStart"/>
      <w:r w:rsidR="00BF7325">
        <w:rPr>
          <w:szCs w:val="20"/>
        </w:rPr>
        <w:t>.[</w:t>
      </w:r>
      <w:proofErr w:type="gramEnd"/>
      <w:r w:rsidR="00BF7325">
        <w:rPr>
          <w:szCs w:val="20"/>
        </w:rPr>
        <w:t>20]</w:t>
      </w:r>
    </w:p>
    <w:p w:rsidR="00DD7DBE" w:rsidRDefault="006D1AE1" w:rsidP="005B057D">
      <w:pPr>
        <w:rPr>
          <w:szCs w:val="20"/>
        </w:rPr>
      </w:pPr>
      <w:r w:rsidRPr="006D1AE1">
        <w:rPr>
          <w:szCs w:val="20"/>
        </w:rPr>
        <w:t>The Unit</w:t>
      </w:r>
      <w:r>
        <w:rPr>
          <w:szCs w:val="20"/>
        </w:rPr>
        <w:t xml:space="preserve">ed Kingdom has notified the IMO of this legal instrument </w:t>
      </w:r>
      <w:r w:rsidRPr="006D1AE1">
        <w:rPr>
          <w:szCs w:val="20"/>
        </w:rPr>
        <w:t>and its application to pleasure vessels en</w:t>
      </w:r>
      <w:r>
        <w:rPr>
          <w:szCs w:val="20"/>
        </w:rPr>
        <w:t xml:space="preserve">gaged in trade as an equivalent </w:t>
      </w:r>
      <w:r w:rsidRPr="006D1AE1">
        <w:rPr>
          <w:szCs w:val="20"/>
        </w:rPr>
        <w:t xml:space="preserve">arrangement </w:t>
      </w:r>
      <w:r>
        <w:rPr>
          <w:szCs w:val="20"/>
        </w:rPr>
        <w:t xml:space="preserve">pursuant to Art. </w:t>
      </w:r>
      <w:r w:rsidR="00F05247">
        <w:rPr>
          <w:szCs w:val="20"/>
        </w:rPr>
        <w:t xml:space="preserve">8 of the </w:t>
      </w:r>
      <w:r w:rsidR="00DD3B47">
        <w:rPr>
          <w:szCs w:val="20"/>
        </w:rPr>
        <w:t>L</w:t>
      </w:r>
      <w:r w:rsidR="00F05247">
        <w:rPr>
          <w:szCs w:val="20"/>
        </w:rPr>
        <w:t xml:space="preserve">L Convention </w:t>
      </w:r>
      <w:r>
        <w:rPr>
          <w:szCs w:val="20"/>
        </w:rPr>
        <w:t xml:space="preserve">of </w:t>
      </w:r>
      <w:r w:rsidRPr="006D1AE1">
        <w:rPr>
          <w:szCs w:val="20"/>
        </w:rPr>
        <w:t>1966, R</w:t>
      </w:r>
      <w:r>
        <w:rPr>
          <w:szCs w:val="20"/>
        </w:rPr>
        <w:t xml:space="preserve">egulation 5 of Chapter I of the SOLAS </w:t>
      </w:r>
      <w:r>
        <w:rPr>
          <w:szCs w:val="20"/>
        </w:rPr>
        <w:lastRenderedPageBreak/>
        <w:t xml:space="preserve">Convention </w:t>
      </w:r>
      <w:r w:rsidR="00F05247">
        <w:rPr>
          <w:szCs w:val="20"/>
        </w:rPr>
        <w:t xml:space="preserve">of 1974 </w:t>
      </w:r>
      <w:r>
        <w:rPr>
          <w:szCs w:val="20"/>
        </w:rPr>
        <w:t>and Art.</w:t>
      </w:r>
      <w:r w:rsidR="000441F3">
        <w:rPr>
          <w:szCs w:val="20"/>
        </w:rPr>
        <w:t xml:space="preserve"> IX </w:t>
      </w:r>
      <w:r w:rsidR="000D1B5F">
        <w:rPr>
          <w:szCs w:val="20"/>
        </w:rPr>
        <w:t xml:space="preserve">of the STCW Convention </w:t>
      </w:r>
      <w:r>
        <w:rPr>
          <w:szCs w:val="20"/>
        </w:rPr>
        <w:t>of 1978.</w:t>
      </w:r>
      <w:r w:rsidR="00F35B23">
        <w:rPr>
          <w:szCs w:val="20"/>
        </w:rPr>
        <w:t xml:space="preserve"> </w:t>
      </w:r>
      <w:r w:rsidR="00382A52">
        <w:rPr>
          <w:szCs w:val="20"/>
        </w:rPr>
        <w:t xml:space="preserve">Indeed, the parameters established </w:t>
      </w:r>
      <w:r w:rsidR="00C435D5">
        <w:rPr>
          <w:szCs w:val="20"/>
        </w:rPr>
        <w:t xml:space="preserve">in the code </w:t>
      </w:r>
      <w:r w:rsidR="00A624B4">
        <w:rPr>
          <w:szCs w:val="20"/>
        </w:rPr>
        <w:t xml:space="preserve">have been </w:t>
      </w:r>
      <w:r w:rsidR="006804FA">
        <w:rPr>
          <w:szCs w:val="20"/>
        </w:rPr>
        <w:t xml:space="preserve">assessed </w:t>
      </w:r>
      <w:r w:rsidR="00D64901">
        <w:rPr>
          <w:szCs w:val="20"/>
        </w:rPr>
        <w:t xml:space="preserve">to display </w:t>
      </w:r>
      <w:r w:rsidR="00382A52">
        <w:rPr>
          <w:szCs w:val="20"/>
        </w:rPr>
        <w:t>effects</w:t>
      </w:r>
      <w:r w:rsidR="00EF7585">
        <w:rPr>
          <w:szCs w:val="20"/>
        </w:rPr>
        <w:t xml:space="preserve"> commensurate with </w:t>
      </w:r>
      <w:r w:rsidR="00382A52">
        <w:rPr>
          <w:szCs w:val="20"/>
        </w:rPr>
        <w:t>those prescrib</w:t>
      </w:r>
      <w:r w:rsidR="00382A52" w:rsidRPr="00382A52">
        <w:rPr>
          <w:szCs w:val="20"/>
        </w:rPr>
        <w:t>ed by the international conventions</w:t>
      </w:r>
      <w:r w:rsidR="00382A52">
        <w:rPr>
          <w:szCs w:val="20"/>
        </w:rPr>
        <w:t>.</w:t>
      </w:r>
    </w:p>
    <w:p w:rsidR="006D1AE1" w:rsidRDefault="00DD7DBE" w:rsidP="005B057D">
      <w:pPr>
        <w:rPr>
          <w:szCs w:val="20"/>
        </w:rPr>
      </w:pPr>
      <w:r>
        <w:rPr>
          <w:szCs w:val="20"/>
        </w:rPr>
        <w:t>The LY3 Code meets the need to guarantee</w:t>
      </w:r>
      <w:r w:rsidR="00580F00" w:rsidRPr="00580F00">
        <w:t xml:space="preserve"> </w:t>
      </w:r>
      <w:r w:rsidR="00580F00">
        <w:t xml:space="preserve">an articulated grid of norms devoted to crafts commercially </w:t>
      </w:r>
      <w:r w:rsidR="00580F00">
        <w:rPr>
          <w:szCs w:val="20"/>
        </w:rPr>
        <w:t xml:space="preserve">deployed </w:t>
      </w:r>
      <w:r w:rsidR="00580F00" w:rsidRPr="00580F00">
        <w:rPr>
          <w:szCs w:val="20"/>
        </w:rPr>
        <w:t>for sport or pleasur</w:t>
      </w:r>
      <w:r w:rsidR="00580F00">
        <w:rPr>
          <w:szCs w:val="20"/>
        </w:rPr>
        <w:t xml:space="preserve">e, such as large yachts, which do not </w:t>
      </w:r>
      <w:r w:rsidR="00580F00" w:rsidRPr="00580F00">
        <w:rPr>
          <w:szCs w:val="20"/>
        </w:rPr>
        <w:t>fall naturally into a single class</w:t>
      </w:r>
      <w:r>
        <w:rPr>
          <w:szCs w:val="20"/>
        </w:rPr>
        <w:t xml:space="preserve"> </w:t>
      </w:r>
      <w:r w:rsidR="00580F00">
        <w:rPr>
          <w:szCs w:val="20"/>
        </w:rPr>
        <w:t>of ships</w:t>
      </w:r>
      <w:r w:rsidR="00580F00" w:rsidRPr="00580F00">
        <w:t xml:space="preserve"> </w:t>
      </w:r>
      <w:r w:rsidR="00580F00">
        <w:t xml:space="preserve">and, anyhow, find </w:t>
      </w:r>
      <w:r w:rsidR="00580F00">
        <w:rPr>
          <w:szCs w:val="20"/>
        </w:rPr>
        <w:t>great technical difficulti</w:t>
      </w:r>
      <w:r w:rsidR="009E3CBA">
        <w:rPr>
          <w:szCs w:val="20"/>
        </w:rPr>
        <w:t xml:space="preserve">es in the implementation of the international </w:t>
      </w:r>
      <w:r w:rsidR="00580F00">
        <w:rPr>
          <w:szCs w:val="20"/>
        </w:rPr>
        <w:t>conventiona</w:t>
      </w:r>
      <w:r w:rsidR="009E3CBA">
        <w:rPr>
          <w:szCs w:val="20"/>
        </w:rPr>
        <w:t>l law</w:t>
      </w:r>
      <w:r w:rsidR="00E06CBB">
        <w:rPr>
          <w:szCs w:val="20"/>
        </w:rPr>
        <w:t xml:space="preserve"> hitherto illustrated</w:t>
      </w:r>
      <w:r w:rsidR="00580F00">
        <w:rPr>
          <w:szCs w:val="20"/>
        </w:rPr>
        <w:t>, since this one concentrates too much on merchant shipping.</w:t>
      </w:r>
      <w:r w:rsidR="0029797D">
        <w:rPr>
          <w:szCs w:val="20"/>
        </w:rPr>
        <w:t xml:space="preserve"> In particular, the LY3 Code represents a development of the previous </w:t>
      </w:r>
      <w:r w:rsidR="00956AC3">
        <w:rPr>
          <w:szCs w:val="20"/>
        </w:rPr>
        <w:t>Large Commercial Yacht Code (LY2) of 2005 [</w:t>
      </w:r>
      <w:r w:rsidR="00F75E83">
        <w:rPr>
          <w:szCs w:val="20"/>
        </w:rPr>
        <w:t>21</w:t>
      </w:r>
      <w:r w:rsidR="00956AC3">
        <w:rPr>
          <w:szCs w:val="20"/>
        </w:rPr>
        <w:t xml:space="preserve">], which has been revised and updated to comply with the </w:t>
      </w:r>
      <w:r w:rsidR="00956AC3" w:rsidRPr="00956AC3">
        <w:rPr>
          <w:szCs w:val="20"/>
        </w:rPr>
        <w:t xml:space="preserve">Maritime </w:t>
      </w:r>
      <w:proofErr w:type="spellStart"/>
      <w:r w:rsidR="00956AC3" w:rsidRPr="00956AC3">
        <w:rPr>
          <w:szCs w:val="20"/>
        </w:rPr>
        <w:t>Labour</w:t>
      </w:r>
      <w:proofErr w:type="spellEnd"/>
      <w:r w:rsidR="00956AC3" w:rsidRPr="00956AC3">
        <w:rPr>
          <w:szCs w:val="20"/>
        </w:rPr>
        <w:t xml:space="preserve"> Convention </w:t>
      </w:r>
      <w:r w:rsidR="00956AC3">
        <w:rPr>
          <w:szCs w:val="20"/>
        </w:rPr>
        <w:t xml:space="preserve">of </w:t>
      </w:r>
      <w:r w:rsidR="00956AC3" w:rsidRPr="00956AC3">
        <w:rPr>
          <w:szCs w:val="20"/>
        </w:rPr>
        <w:t>2006</w:t>
      </w:r>
      <w:r w:rsidR="00956AC3">
        <w:rPr>
          <w:szCs w:val="20"/>
        </w:rPr>
        <w:t xml:space="preserve">, drafted by the International </w:t>
      </w:r>
      <w:proofErr w:type="spellStart"/>
      <w:r w:rsidR="00956AC3">
        <w:rPr>
          <w:szCs w:val="20"/>
        </w:rPr>
        <w:t>Labour</w:t>
      </w:r>
      <w:proofErr w:type="spellEnd"/>
      <w:r w:rsidR="00956AC3">
        <w:rPr>
          <w:szCs w:val="20"/>
        </w:rPr>
        <w:t xml:space="preserve"> Organization (ILO)</w:t>
      </w:r>
      <w:r w:rsidR="00433981">
        <w:rPr>
          <w:szCs w:val="20"/>
        </w:rPr>
        <w:t>[</w:t>
      </w:r>
      <w:r w:rsidR="00F75E83">
        <w:rPr>
          <w:szCs w:val="20"/>
        </w:rPr>
        <w:t>22</w:t>
      </w:r>
      <w:r w:rsidR="00433981">
        <w:rPr>
          <w:szCs w:val="20"/>
        </w:rPr>
        <w:t>]</w:t>
      </w:r>
      <w:r w:rsidR="00956AC3">
        <w:rPr>
          <w:szCs w:val="20"/>
        </w:rPr>
        <w:t>.</w:t>
      </w:r>
      <w:r w:rsidR="00067E0A">
        <w:rPr>
          <w:szCs w:val="20"/>
        </w:rPr>
        <w:t xml:space="preserve"> In its turn, the LY2</w:t>
      </w:r>
      <w:r w:rsidR="001E13DD">
        <w:rPr>
          <w:szCs w:val="20"/>
        </w:rPr>
        <w:t xml:space="preserve"> Code had replaced the first set of standards the </w:t>
      </w:r>
      <w:r w:rsidR="008026CF" w:rsidRPr="008026CF">
        <w:rPr>
          <w:szCs w:val="20"/>
        </w:rPr>
        <w:t>Code of Practice for the Safety of Large Commercial</w:t>
      </w:r>
      <w:r w:rsidR="008026CF" w:rsidRPr="008026CF">
        <w:t xml:space="preserve"> </w:t>
      </w:r>
      <w:r w:rsidR="008026CF" w:rsidRPr="008026CF">
        <w:rPr>
          <w:szCs w:val="20"/>
        </w:rPr>
        <w:t>Sailing and Motor Ve</w:t>
      </w:r>
      <w:r w:rsidR="008026CF">
        <w:rPr>
          <w:szCs w:val="20"/>
        </w:rPr>
        <w:t>ssels (LY1</w:t>
      </w:r>
      <w:r w:rsidR="008026CF" w:rsidRPr="008026CF">
        <w:rPr>
          <w:szCs w:val="20"/>
        </w:rPr>
        <w:t>)</w:t>
      </w:r>
      <w:r w:rsidR="001E13DD">
        <w:rPr>
          <w:szCs w:val="20"/>
        </w:rPr>
        <w:t xml:space="preserve">, </w:t>
      </w:r>
      <w:r w:rsidR="009C6758">
        <w:rPr>
          <w:szCs w:val="20"/>
        </w:rPr>
        <w:t>published by the</w:t>
      </w:r>
      <w:r w:rsidR="004F5186">
        <w:rPr>
          <w:szCs w:val="20"/>
        </w:rPr>
        <w:t xml:space="preserve"> United Kingdom</w:t>
      </w:r>
      <w:r w:rsidR="009C6758">
        <w:rPr>
          <w:szCs w:val="20"/>
        </w:rPr>
        <w:t xml:space="preserve"> </w:t>
      </w:r>
      <w:r w:rsidR="004F5186">
        <w:rPr>
          <w:szCs w:val="20"/>
        </w:rPr>
        <w:t xml:space="preserve">Maritime &amp; Coastguard Agency (MCA) in 1997 and </w:t>
      </w:r>
      <w:r w:rsidR="000D3D40">
        <w:rPr>
          <w:szCs w:val="20"/>
        </w:rPr>
        <w:t xml:space="preserve">entitled to have </w:t>
      </w:r>
      <w:r w:rsidR="00F55DE5">
        <w:rPr>
          <w:szCs w:val="20"/>
        </w:rPr>
        <w:t xml:space="preserve">statutory force on the grounds of </w:t>
      </w:r>
      <w:r w:rsidR="004F5186" w:rsidRPr="004F5186">
        <w:rPr>
          <w:szCs w:val="20"/>
        </w:rPr>
        <w:t>the Merchant Ship</w:t>
      </w:r>
      <w:r w:rsidR="004F5186">
        <w:rPr>
          <w:szCs w:val="20"/>
        </w:rPr>
        <w:t xml:space="preserve">ping (Vessels in Commercial Use </w:t>
      </w:r>
      <w:r w:rsidR="004F5186" w:rsidRPr="004F5186">
        <w:rPr>
          <w:szCs w:val="20"/>
        </w:rPr>
        <w:t xml:space="preserve">for Sport or Pleasure) Regulations </w:t>
      </w:r>
      <w:r w:rsidR="000D3D40">
        <w:rPr>
          <w:szCs w:val="20"/>
        </w:rPr>
        <w:t xml:space="preserve">of </w:t>
      </w:r>
      <w:r w:rsidR="004F5186" w:rsidRPr="004F5186">
        <w:rPr>
          <w:szCs w:val="20"/>
        </w:rPr>
        <w:t>1998</w:t>
      </w:r>
      <w:r w:rsidR="004F5186">
        <w:rPr>
          <w:szCs w:val="20"/>
        </w:rPr>
        <w:t>.</w:t>
      </w:r>
    </w:p>
    <w:p w:rsidR="009117CF" w:rsidRDefault="009117CF" w:rsidP="005B057D">
      <w:pPr>
        <w:rPr>
          <w:szCs w:val="20"/>
        </w:rPr>
      </w:pPr>
      <w:r>
        <w:rPr>
          <w:szCs w:val="20"/>
        </w:rPr>
        <w:t xml:space="preserve">The fulfilment of the parameters and the observance of the conditions determined in </w:t>
      </w:r>
      <w:r w:rsidRPr="009117CF">
        <w:rPr>
          <w:szCs w:val="20"/>
        </w:rPr>
        <w:t>the LY3 Code</w:t>
      </w:r>
      <w:r>
        <w:rPr>
          <w:szCs w:val="20"/>
        </w:rPr>
        <w:t xml:space="preserve"> permits the large yachts, as a result of a careful inspection, to achieve the </w:t>
      </w:r>
      <w:r w:rsidRPr="009117CF">
        <w:rPr>
          <w:szCs w:val="20"/>
        </w:rPr>
        <w:t>LY3 Certificate of Compliance</w:t>
      </w:r>
      <w:r>
        <w:rPr>
          <w:szCs w:val="20"/>
        </w:rPr>
        <w:t>.</w:t>
      </w:r>
    </w:p>
    <w:p w:rsidR="00FC4F17" w:rsidRDefault="00FC4F17" w:rsidP="005B057D">
      <w:pPr>
        <w:rPr>
          <w:szCs w:val="20"/>
        </w:rPr>
      </w:pPr>
      <w:r>
        <w:rPr>
          <w:szCs w:val="20"/>
        </w:rPr>
        <w:t xml:space="preserve">Now, </w:t>
      </w:r>
      <w:r w:rsidR="008B7FDD">
        <w:rPr>
          <w:szCs w:val="20"/>
        </w:rPr>
        <w:t xml:space="preserve">in order </w:t>
      </w:r>
      <w:r w:rsidR="006A6E61">
        <w:rPr>
          <w:szCs w:val="20"/>
        </w:rPr>
        <w:t xml:space="preserve">also </w:t>
      </w:r>
      <w:r w:rsidR="008B7FDD">
        <w:rPr>
          <w:szCs w:val="20"/>
        </w:rPr>
        <w:t xml:space="preserve">to </w:t>
      </w:r>
      <w:r w:rsidR="002E3E85">
        <w:rPr>
          <w:szCs w:val="20"/>
        </w:rPr>
        <w:t xml:space="preserve">operate British Shipping Registers, </w:t>
      </w:r>
      <w:r w:rsidR="008B7FDD">
        <w:rPr>
          <w:szCs w:val="20"/>
        </w:rPr>
        <w:t xml:space="preserve">provide a continuous </w:t>
      </w:r>
      <w:r w:rsidR="002E3E85">
        <w:rPr>
          <w:szCs w:val="20"/>
        </w:rPr>
        <w:t>support to this codification activity as well as its constant review</w:t>
      </w:r>
      <w:r w:rsidR="00F55DE5">
        <w:rPr>
          <w:szCs w:val="20"/>
        </w:rPr>
        <w:t>,</w:t>
      </w:r>
      <w:r w:rsidR="002E3E85">
        <w:rPr>
          <w:szCs w:val="20"/>
        </w:rPr>
        <w:t xml:space="preserve"> </w:t>
      </w:r>
      <w:r w:rsidR="008B7FDD">
        <w:rPr>
          <w:szCs w:val="20"/>
        </w:rPr>
        <w:t>the United Kingdom, its relevant Overseas Territories and Crown Dependencies</w:t>
      </w:r>
      <w:r w:rsidR="002E3E85">
        <w:rPr>
          <w:szCs w:val="20"/>
        </w:rPr>
        <w:t xml:space="preserve"> have shaped a </w:t>
      </w:r>
      <w:r w:rsidR="003C75FD">
        <w:rPr>
          <w:szCs w:val="20"/>
        </w:rPr>
        <w:t>collaborative structure</w:t>
      </w:r>
      <w:r w:rsidR="002E3E85">
        <w:rPr>
          <w:szCs w:val="20"/>
        </w:rPr>
        <w:t>, the Red Ensign Group (REG</w:t>
      </w:r>
      <w:proofErr w:type="gramStart"/>
      <w:r w:rsidR="002E3E85">
        <w:rPr>
          <w:szCs w:val="20"/>
        </w:rPr>
        <w:t>)</w:t>
      </w:r>
      <w:r w:rsidR="00164CB4">
        <w:rPr>
          <w:szCs w:val="20"/>
        </w:rPr>
        <w:t>[</w:t>
      </w:r>
      <w:proofErr w:type="gramEnd"/>
      <w:r w:rsidR="00F75E83">
        <w:rPr>
          <w:szCs w:val="20"/>
        </w:rPr>
        <w:t>23</w:t>
      </w:r>
      <w:r w:rsidR="00164CB4">
        <w:rPr>
          <w:szCs w:val="20"/>
        </w:rPr>
        <w:t>]</w:t>
      </w:r>
      <w:r w:rsidR="002E3E85">
        <w:rPr>
          <w:szCs w:val="20"/>
        </w:rPr>
        <w:t>.</w:t>
      </w:r>
    </w:p>
    <w:p w:rsidR="005D457F" w:rsidRDefault="005D457F" w:rsidP="005B057D">
      <w:pPr>
        <w:rPr>
          <w:szCs w:val="20"/>
        </w:rPr>
      </w:pPr>
      <w:r>
        <w:rPr>
          <w:szCs w:val="20"/>
        </w:rPr>
        <w:t xml:space="preserve">But there’s more. </w:t>
      </w:r>
      <w:r w:rsidR="009E1425">
        <w:rPr>
          <w:szCs w:val="20"/>
        </w:rPr>
        <w:t xml:space="preserve">The LY3 Code does not serve as </w:t>
      </w:r>
      <w:r w:rsidR="009E1425" w:rsidRPr="009E1425">
        <w:rPr>
          <w:szCs w:val="20"/>
        </w:rPr>
        <w:t>an isolated example.</w:t>
      </w:r>
      <w:r w:rsidR="005670AF">
        <w:rPr>
          <w:szCs w:val="20"/>
        </w:rPr>
        <w:t xml:space="preserve"> In fact, </w:t>
      </w:r>
      <w:r w:rsidR="00FC4F17">
        <w:rPr>
          <w:szCs w:val="20"/>
        </w:rPr>
        <w:t xml:space="preserve">the REG </w:t>
      </w:r>
      <w:r w:rsidR="007B51A7">
        <w:rPr>
          <w:szCs w:val="20"/>
        </w:rPr>
        <w:t>has developed another Code of Practice, devoted</w:t>
      </w:r>
      <w:r w:rsidR="008B7FDD">
        <w:rPr>
          <w:szCs w:val="20"/>
        </w:rPr>
        <w:t xml:space="preserve"> to furnish “</w:t>
      </w:r>
      <w:r w:rsidR="008B7FDD" w:rsidRPr="008B7FDD">
        <w:rPr>
          <w:szCs w:val="20"/>
        </w:rPr>
        <w:t>design criteria, construction standards and other safety measures</w:t>
      </w:r>
      <w:r w:rsidR="008B7FDD">
        <w:rPr>
          <w:szCs w:val="20"/>
        </w:rPr>
        <w:t xml:space="preserve">” </w:t>
      </w:r>
      <w:r w:rsidR="007B51A7">
        <w:rPr>
          <w:szCs w:val="20"/>
        </w:rPr>
        <w:t>to “pleasure yachts</w:t>
      </w:r>
      <w:r w:rsidR="007B51A7" w:rsidRPr="007B51A7">
        <w:t xml:space="preserve"> </w:t>
      </w:r>
      <w:r w:rsidR="007B51A7" w:rsidRPr="007B51A7">
        <w:rPr>
          <w:szCs w:val="20"/>
        </w:rPr>
        <w:t>of any size, in private use or engaged in</w:t>
      </w:r>
      <w:r w:rsidR="007B51A7">
        <w:rPr>
          <w:szCs w:val="20"/>
        </w:rPr>
        <w:t xml:space="preserve"> </w:t>
      </w:r>
      <w:r w:rsidR="007B51A7" w:rsidRPr="007B51A7">
        <w:rPr>
          <w:szCs w:val="20"/>
        </w:rPr>
        <w:t>trade, which carry more than 12 but not more than 36 passengers and which do not carry</w:t>
      </w:r>
      <w:r w:rsidR="007B51A7">
        <w:rPr>
          <w:szCs w:val="20"/>
        </w:rPr>
        <w:t xml:space="preserve"> cargo”.</w:t>
      </w:r>
      <w:r w:rsidR="008B7FDD">
        <w:rPr>
          <w:szCs w:val="20"/>
        </w:rPr>
        <w:t xml:space="preserve"> </w:t>
      </w:r>
      <w:r w:rsidR="003C75FD">
        <w:rPr>
          <w:szCs w:val="20"/>
        </w:rPr>
        <w:t xml:space="preserve">Reference is made </w:t>
      </w:r>
      <w:r w:rsidR="00AD4BDC">
        <w:rPr>
          <w:szCs w:val="20"/>
        </w:rPr>
        <w:t xml:space="preserve">here </w:t>
      </w:r>
      <w:r w:rsidR="003C75FD">
        <w:rPr>
          <w:szCs w:val="20"/>
        </w:rPr>
        <w:t>to the Passenger Yacht Code (PYC). To be more accurate, in accordance with Section 1</w:t>
      </w:r>
      <w:r w:rsidR="00AD4BDC">
        <w:rPr>
          <w:szCs w:val="20"/>
        </w:rPr>
        <w:t>.2</w:t>
      </w:r>
      <w:r w:rsidR="003C75FD">
        <w:rPr>
          <w:szCs w:val="20"/>
        </w:rPr>
        <w:t xml:space="preserve"> of </w:t>
      </w:r>
      <w:r w:rsidR="00AD4BDC">
        <w:rPr>
          <w:szCs w:val="20"/>
        </w:rPr>
        <w:t xml:space="preserve">its </w:t>
      </w:r>
      <w:r w:rsidR="003C75FD">
        <w:rPr>
          <w:szCs w:val="20"/>
        </w:rPr>
        <w:t xml:space="preserve">Chapter </w:t>
      </w:r>
      <w:r w:rsidR="00AD4BDC">
        <w:rPr>
          <w:szCs w:val="20"/>
        </w:rPr>
        <w:t>1, the maximum number of persons on board, comprising the crew, cannot exceed the threshold of 99 units and the recreational craft shall be “</w:t>
      </w:r>
      <w:r w:rsidR="00AD4BDC" w:rsidRPr="00AD4BDC">
        <w:rPr>
          <w:szCs w:val="20"/>
        </w:rPr>
        <w:t>engaged on international voyages</w:t>
      </w:r>
      <w:r w:rsidR="00AD4BDC">
        <w:rPr>
          <w:szCs w:val="20"/>
        </w:rPr>
        <w:t>”.</w:t>
      </w:r>
      <w:r w:rsidR="00AD4BDC" w:rsidRPr="00AD4BDC">
        <w:rPr>
          <w:szCs w:val="20"/>
        </w:rPr>
        <w:t xml:space="preserve"> </w:t>
      </w:r>
      <w:r w:rsidR="00185B50">
        <w:rPr>
          <w:szCs w:val="20"/>
        </w:rPr>
        <w:t xml:space="preserve">The first edition of this tool was </w:t>
      </w:r>
      <w:r w:rsidR="008B7FDD">
        <w:rPr>
          <w:szCs w:val="20"/>
        </w:rPr>
        <w:t>promulgated in 2010 and, due to the revisions e</w:t>
      </w:r>
      <w:r w:rsidR="00DF1871">
        <w:rPr>
          <w:szCs w:val="20"/>
        </w:rPr>
        <w:t>ffected on annual basis, a six</w:t>
      </w:r>
      <w:r w:rsidR="00185B50">
        <w:rPr>
          <w:szCs w:val="20"/>
        </w:rPr>
        <w:t xml:space="preserve">th edition has been </w:t>
      </w:r>
      <w:r w:rsidR="002E3E85">
        <w:rPr>
          <w:szCs w:val="20"/>
        </w:rPr>
        <w:t xml:space="preserve">already </w:t>
      </w:r>
      <w:r w:rsidR="008B7FDD">
        <w:rPr>
          <w:szCs w:val="20"/>
        </w:rPr>
        <w:t>reached</w:t>
      </w:r>
      <w:r w:rsidR="00871422">
        <w:rPr>
          <w:szCs w:val="20"/>
        </w:rPr>
        <w:t xml:space="preserve"> in January 2016</w:t>
      </w:r>
      <w:r w:rsidR="002E3E85">
        <w:rPr>
          <w:szCs w:val="20"/>
        </w:rPr>
        <w:t>.</w:t>
      </w:r>
      <w:r w:rsidR="003C3EA2">
        <w:rPr>
          <w:szCs w:val="20"/>
        </w:rPr>
        <w:t xml:space="preserve"> The main purpose of the </w:t>
      </w:r>
      <w:r w:rsidR="003C3EA2" w:rsidRPr="003C3EA2">
        <w:rPr>
          <w:szCs w:val="20"/>
        </w:rPr>
        <w:t>PYC</w:t>
      </w:r>
      <w:r w:rsidR="003C3EA2">
        <w:rPr>
          <w:szCs w:val="20"/>
        </w:rPr>
        <w:t xml:space="preserve"> is to </w:t>
      </w:r>
      <w:r w:rsidR="00E834C5">
        <w:rPr>
          <w:szCs w:val="20"/>
        </w:rPr>
        <w:t xml:space="preserve">minimize the risks to these yachts, to their personnel and to the environment, </w:t>
      </w:r>
      <w:r w:rsidR="001655F0">
        <w:rPr>
          <w:szCs w:val="20"/>
        </w:rPr>
        <w:t>as underlined by</w:t>
      </w:r>
      <w:r w:rsidR="001655F0" w:rsidRPr="001655F0">
        <w:t xml:space="preserve"> </w:t>
      </w:r>
      <w:r w:rsidR="001655F0">
        <w:rPr>
          <w:szCs w:val="20"/>
        </w:rPr>
        <w:t>Section 1.1</w:t>
      </w:r>
      <w:r w:rsidR="001655F0" w:rsidRPr="001655F0">
        <w:rPr>
          <w:szCs w:val="20"/>
        </w:rPr>
        <w:t xml:space="preserve"> of its Chapter 1</w:t>
      </w:r>
      <w:r w:rsidR="001655F0">
        <w:rPr>
          <w:szCs w:val="20"/>
        </w:rPr>
        <w:t xml:space="preserve">, </w:t>
      </w:r>
      <w:r w:rsidR="00E834C5">
        <w:rPr>
          <w:szCs w:val="20"/>
        </w:rPr>
        <w:t>while avoiding</w:t>
      </w:r>
      <w:r w:rsidR="00CA3995" w:rsidRPr="00CA3995">
        <w:t xml:space="preserve"> </w:t>
      </w:r>
      <w:r w:rsidR="007218A9">
        <w:t xml:space="preserve">to </w:t>
      </w:r>
      <w:r w:rsidR="00CA3995">
        <w:t xml:space="preserve">abide by </w:t>
      </w:r>
      <w:r w:rsidR="000A6366">
        <w:rPr>
          <w:szCs w:val="20"/>
        </w:rPr>
        <w:t>the burdensome</w:t>
      </w:r>
      <w:r w:rsidR="00CA3995" w:rsidRPr="00CA3995">
        <w:rPr>
          <w:szCs w:val="20"/>
        </w:rPr>
        <w:t xml:space="preserve"> SOLAS </w:t>
      </w:r>
      <w:r w:rsidR="00CA3995">
        <w:rPr>
          <w:szCs w:val="20"/>
        </w:rPr>
        <w:t xml:space="preserve">Convention </w:t>
      </w:r>
      <w:r w:rsidR="0087208E">
        <w:rPr>
          <w:szCs w:val="20"/>
        </w:rPr>
        <w:t>requisites</w:t>
      </w:r>
      <w:r w:rsidR="00CA3995">
        <w:rPr>
          <w:szCs w:val="20"/>
        </w:rPr>
        <w:t>.</w:t>
      </w:r>
      <w:r w:rsidR="001655F0">
        <w:rPr>
          <w:szCs w:val="20"/>
        </w:rPr>
        <w:t xml:space="preserve"> Notably, </w:t>
      </w:r>
      <w:r w:rsidR="004B76C9">
        <w:rPr>
          <w:szCs w:val="20"/>
        </w:rPr>
        <w:t xml:space="preserve">the legal instrument aims at overcoming conflicts between the inflexibility derived from the latter and the promotion of </w:t>
      </w:r>
      <w:proofErr w:type="spellStart"/>
      <w:r w:rsidR="004B76C9">
        <w:rPr>
          <w:szCs w:val="20"/>
        </w:rPr>
        <w:t>aestethic</w:t>
      </w:r>
      <w:proofErr w:type="spellEnd"/>
      <w:r w:rsidR="004B76C9">
        <w:rPr>
          <w:szCs w:val="20"/>
        </w:rPr>
        <w:t xml:space="preserve"> values, trying to combine </w:t>
      </w:r>
      <w:r w:rsidR="004B76C9" w:rsidRPr="004B76C9">
        <w:rPr>
          <w:szCs w:val="20"/>
        </w:rPr>
        <w:t>multi-faceted</w:t>
      </w:r>
      <w:r w:rsidR="007C24B5">
        <w:rPr>
          <w:szCs w:val="20"/>
        </w:rPr>
        <w:t xml:space="preserve"> demands and </w:t>
      </w:r>
      <w:r w:rsidR="00746BA4">
        <w:rPr>
          <w:szCs w:val="20"/>
        </w:rPr>
        <w:t>escaping from draconian enforcement</w:t>
      </w:r>
      <w:proofErr w:type="gramStart"/>
      <w:r w:rsidR="00F75E83">
        <w:rPr>
          <w:szCs w:val="20"/>
        </w:rPr>
        <w:t>.</w:t>
      </w:r>
      <w:r w:rsidR="00A97069">
        <w:rPr>
          <w:szCs w:val="20"/>
        </w:rPr>
        <w:t>[</w:t>
      </w:r>
      <w:proofErr w:type="gramEnd"/>
      <w:r w:rsidR="00F75E83">
        <w:rPr>
          <w:szCs w:val="20"/>
        </w:rPr>
        <w:t>24</w:t>
      </w:r>
      <w:r w:rsidR="00A97069">
        <w:rPr>
          <w:szCs w:val="20"/>
        </w:rPr>
        <w:t>]</w:t>
      </w:r>
    </w:p>
    <w:p w:rsidR="0014557F" w:rsidRDefault="00500454" w:rsidP="005B057D">
      <w:pPr>
        <w:rPr>
          <w:szCs w:val="20"/>
        </w:rPr>
      </w:pPr>
      <w:r>
        <w:rPr>
          <w:szCs w:val="20"/>
        </w:rPr>
        <w:t xml:space="preserve">That being </w:t>
      </w:r>
      <w:r w:rsidR="00DF1871">
        <w:rPr>
          <w:szCs w:val="20"/>
        </w:rPr>
        <w:t xml:space="preserve">said, it </w:t>
      </w:r>
      <w:r w:rsidR="002D2054">
        <w:rPr>
          <w:szCs w:val="20"/>
        </w:rPr>
        <w:t xml:space="preserve">is worth noting that last November 2017 a new code has been launched: the REG Yacht Code. This </w:t>
      </w:r>
      <w:r w:rsidR="00732D86">
        <w:rPr>
          <w:szCs w:val="20"/>
        </w:rPr>
        <w:t xml:space="preserve">meaningful measure, </w:t>
      </w:r>
      <w:r w:rsidR="002D2054">
        <w:rPr>
          <w:szCs w:val="20"/>
        </w:rPr>
        <w:t>which will enter into force in January 2019</w:t>
      </w:r>
      <w:r w:rsidR="00732D86">
        <w:rPr>
          <w:szCs w:val="20"/>
        </w:rPr>
        <w:t xml:space="preserve">, </w:t>
      </w:r>
      <w:r w:rsidR="00771EFF">
        <w:rPr>
          <w:szCs w:val="20"/>
        </w:rPr>
        <w:t xml:space="preserve">intends to </w:t>
      </w:r>
      <w:r>
        <w:rPr>
          <w:szCs w:val="20"/>
        </w:rPr>
        <w:t>bring together the LY3 Code and the PYC</w:t>
      </w:r>
      <w:r w:rsidR="000A6F1D">
        <w:rPr>
          <w:szCs w:val="20"/>
        </w:rPr>
        <w:t>, without mixing them</w:t>
      </w:r>
      <w:r>
        <w:rPr>
          <w:szCs w:val="20"/>
        </w:rPr>
        <w:t xml:space="preserve">. </w:t>
      </w:r>
      <w:r w:rsidR="000A6F1D">
        <w:rPr>
          <w:szCs w:val="20"/>
        </w:rPr>
        <w:t xml:space="preserve">It is composed of </w:t>
      </w:r>
      <w:r w:rsidR="004C005D">
        <w:rPr>
          <w:szCs w:val="20"/>
        </w:rPr>
        <w:t xml:space="preserve">two different portions, </w:t>
      </w:r>
      <w:r w:rsidR="00732D86">
        <w:rPr>
          <w:szCs w:val="20"/>
        </w:rPr>
        <w:t>completed by fifteen common annexes</w:t>
      </w:r>
      <w:r w:rsidR="001673A9">
        <w:rPr>
          <w:szCs w:val="20"/>
        </w:rPr>
        <w:t>. Part A modernizes</w:t>
      </w:r>
      <w:r w:rsidR="004C005D">
        <w:rPr>
          <w:szCs w:val="20"/>
        </w:rPr>
        <w:t xml:space="preserve"> the</w:t>
      </w:r>
      <w:r w:rsidR="001673A9">
        <w:rPr>
          <w:szCs w:val="20"/>
        </w:rPr>
        <w:t xml:space="preserve"> rules contained into the</w:t>
      </w:r>
      <w:r w:rsidR="004C005D">
        <w:rPr>
          <w:szCs w:val="20"/>
        </w:rPr>
        <w:t xml:space="preserve"> </w:t>
      </w:r>
      <w:r w:rsidR="004C005D" w:rsidRPr="004C005D">
        <w:rPr>
          <w:szCs w:val="20"/>
        </w:rPr>
        <w:t>LY3 Code</w:t>
      </w:r>
      <w:r w:rsidR="004C005D">
        <w:rPr>
          <w:szCs w:val="20"/>
        </w:rPr>
        <w:t xml:space="preserve">, whereas </w:t>
      </w:r>
      <w:r w:rsidR="001673A9">
        <w:rPr>
          <w:szCs w:val="20"/>
        </w:rPr>
        <w:t xml:space="preserve">Part B renovates the sixth edition of </w:t>
      </w:r>
      <w:r w:rsidR="001673A9" w:rsidRPr="001673A9">
        <w:rPr>
          <w:szCs w:val="20"/>
        </w:rPr>
        <w:t>the PYC</w:t>
      </w:r>
      <w:r w:rsidR="001673A9">
        <w:rPr>
          <w:szCs w:val="20"/>
        </w:rPr>
        <w:t>.</w:t>
      </w:r>
      <w:r w:rsidR="004E139F">
        <w:rPr>
          <w:szCs w:val="20"/>
        </w:rPr>
        <w:t xml:space="preserve"> According to early comments, </w:t>
      </w:r>
      <w:r w:rsidR="00FF1AD1">
        <w:rPr>
          <w:szCs w:val="20"/>
        </w:rPr>
        <w:t>although there are no substantial changes in the discipline, the</w:t>
      </w:r>
      <w:r w:rsidR="00FF1AD1" w:rsidRPr="00FF1AD1">
        <w:t xml:space="preserve"> </w:t>
      </w:r>
      <w:r w:rsidR="00FF1AD1" w:rsidRPr="00FF1AD1">
        <w:rPr>
          <w:szCs w:val="20"/>
        </w:rPr>
        <w:t>REG Yacht Code</w:t>
      </w:r>
      <w:r w:rsidR="00FF1AD1">
        <w:rPr>
          <w:szCs w:val="20"/>
        </w:rPr>
        <w:t xml:space="preserve"> has the virtue of crystallizing</w:t>
      </w:r>
      <w:r w:rsidR="00FF1AD1" w:rsidRPr="00FF1AD1">
        <w:t xml:space="preserve"> </w:t>
      </w:r>
      <w:r w:rsidR="00FF1AD1" w:rsidRPr="00FF1AD1">
        <w:rPr>
          <w:szCs w:val="20"/>
        </w:rPr>
        <w:t>technical adjustments</w:t>
      </w:r>
      <w:r w:rsidR="00496590">
        <w:rPr>
          <w:szCs w:val="20"/>
        </w:rPr>
        <w:t xml:space="preserve"> and </w:t>
      </w:r>
      <w:r w:rsidR="00A37AAA">
        <w:rPr>
          <w:szCs w:val="20"/>
        </w:rPr>
        <w:t xml:space="preserve">of ensuring more flexibility </w:t>
      </w:r>
      <w:r w:rsidR="00122341">
        <w:rPr>
          <w:szCs w:val="20"/>
        </w:rPr>
        <w:t xml:space="preserve">in relation to the changing technology, while making more room for the </w:t>
      </w:r>
      <w:r w:rsidR="00DB5476">
        <w:rPr>
          <w:szCs w:val="20"/>
        </w:rPr>
        <w:t xml:space="preserve">requests of </w:t>
      </w:r>
      <w:r w:rsidR="00A37AAA">
        <w:rPr>
          <w:szCs w:val="20"/>
        </w:rPr>
        <w:t>naval architecture and design.</w:t>
      </w:r>
    </w:p>
    <w:p w:rsidR="0014557F" w:rsidRDefault="0014557F" w:rsidP="0014557F">
      <w:pPr>
        <w:pStyle w:val="Titolo1"/>
      </w:pPr>
      <w:r>
        <w:lastRenderedPageBreak/>
        <w:t>A glance at the yachting industry from the revised Italian Recrea</w:t>
      </w:r>
      <w:r w:rsidR="005E1CA9">
        <w:t xml:space="preserve">tional Craft </w:t>
      </w:r>
      <w:r>
        <w:t xml:space="preserve">Code </w:t>
      </w:r>
    </w:p>
    <w:p w:rsidR="00952464" w:rsidRDefault="00861488" w:rsidP="005238F0">
      <w:pPr>
        <w:pStyle w:val="NoindentNormal"/>
      </w:pPr>
      <w:r>
        <w:t>As reported at the</w:t>
      </w:r>
      <w:r w:rsidR="00886219">
        <w:t xml:space="preserve"> very beginning of this paper, </w:t>
      </w:r>
      <w:r w:rsidRPr="00861488">
        <w:t>Legislative Decree No. 229 of November 3</w:t>
      </w:r>
      <w:r w:rsidRPr="00886219">
        <w:rPr>
          <w:vertAlign w:val="superscript"/>
        </w:rPr>
        <w:t>rd</w:t>
      </w:r>
      <w:r w:rsidRPr="00861488">
        <w:t xml:space="preserve"> 2017</w:t>
      </w:r>
      <w:r w:rsidR="00C5031E">
        <w:t xml:space="preserve"> has integrated and revised</w:t>
      </w:r>
      <w:r w:rsidR="00C5031E" w:rsidRPr="00C5031E">
        <w:t xml:space="preserve"> the </w:t>
      </w:r>
      <w:r w:rsidR="003437FA">
        <w:t xml:space="preserve">Italian </w:t>
      </w:r>
      <w:r w:rsidR="00C5031E" w:rsidRPr="00C5031E">
        <w:t>Recreational Craft Code</w:t>
      </w:r>
      <w:r w:rsidR="00C5031E">
        <w:t xml:space="preserve"> embodied in</w:t>
      </w:r>
      <w:r w:rsidR="00C5031E" w:rsidRPr="00C5031E">
        <w:t xml:space="preserve"> Legislative Decree No. 171 of July 18</w:t>
      </w:r>
      <w:r w:rsidR="00C5031E" w:rsidRPr="00C5031E">
        <w:rPr>
          <w:vertAlign w:val="superscript"/>
        </w:rPr>
        <w:t>th</w:t>
      </w:r>
      <w:r w:rsidR="00C5031E" w:rsidRPr="00C5031E">
        <w:t xml:space="preserve"> 2005</w:t>
      </w:r>
      <w:r w:rsidR="00C5031E">
        <w:t xml:space="preserve">. </w:t>
      </w:r>
      <w:r w:rsidR="002B21E9">
        <w:t xml:space="preserve">As far as the yachting industry is concerned, </w:t>
      </w:r>
      <w:r w:rsidR="003437FA">
        <w:t xml:space="preserve">special emphasis should </w:t>
      </w:r>
      <w:r w:rsidR="003437FA" w:rsidRPr="003437FA">
        <w:t>be placed</w:t>
      </w:r>
      <w:r w:rsidR="003437FA">
        <w:t xml:space="preserve"> on the new definition of commercial yacht provided by the new Art. 3, </w:t>
      </w:r>
      <w:proofErr w:type="spellStart"/>
      <w:proofErr w:type="gramStart"/>
      <w:r w:rsidR="003437FA">
        <w:t>lett</w:t>
      </w:r>
      <w:proofErr w:type="spellEnd"/>
      <w:proofErr w:type="gramEnd"/>
      <w:r w:rsidR="003437FA">
        <w:t xml:space="preserve">. b) </w:t>
      </w:r>
      <w:proofErr w:type="gramStart"/>
      <w:r w:rsidR="003437FA">
        <w:t>of</w:t>
      </w:r>
      <w:proofErr w:type="gramEnd"/>
      <w:r w:rsidR="003437FA">
        <w:t xml:space="preserve"> the just mentioned legal tool. The norm makes </w:t>
      </w:r>
      <w:r w:rsidR="002F06B9">
        <w:t xml:space="preserve">it </w:t>
      </w:r>
      <w:r w:rsidR="003437FA">
        <w:t>clear that the concept covers</w:t>
      </w:r>
      <w:r w:rsidR="002F06B9">
        <w:t>, on the one hand,</w:t>
      </w:r>
      <w:r w:rsidR="003437FA">
        <w:t xml:space="preserve"> every recreational craft used for commercial purposes, as identified by the previous Art. 2 of the Code</w:t>
      </w:r>
      <w:r w:rsidR="002F06B9">
        <w:t>, compounded, on the other hand, by ships chartered exclusively for tourist purposes, as contemplated by Art. 3 of Law No. 172 of July 8</w:t>
      </w:r>
      <w:r w:rsidR="002F06B9" w:rsidRPr="002F06B9">
        <w:rPr>
          <w:vertAlign w:val="superscript"/>
        </w:rPr>
        <w:t>th</w:t>
      </w:r>
      <w:r w:rsidR="002F06B9">
        <w:t xml:space="preserve"> 2003</w:t>
      </w:r>
      <w:proofErr w:type="gramStart"/>
      <w:r w:rsidR="002F06B9">
        <w:t>.</w:t>
      </w:r>
      <w:r w:rsidR="000A4F29">
        <w:t>[</w:t>
      </w:r>
      <w:proofErr w:type="gramEnd"/>
      <w:r w:rsidR="00EB6516">
        <w:t>25</w:t>
      </w:r>
      <w:r w:rsidR="000A4F29">
        <w:t>]</w:t>
      </w:r>
      <w:r w:rsidR="002F06B9">
        <w:t xml:space="preserve"> </w:t>
      </w:r>
    </w:p>
    <w:p w:rsidR="0014557F" w:rsidRDefault="002F06B9" w:rsidP="005B057D">
      <w:pPr>
        <w:pStyle w:val="NoindentNormal"/>
        <w:ind w:firstLine="357"/>
      </w:pPr>
      <w:r>
        <w:t xml:space="preserve">The </w:t>
      </w:r>
      <w:r w:rsidR="005A6BE7">
        <w:t xml:space="preserve">first category is </w:t>
      </w:r>
      <w:r w:rsidR="00AB6BDF">
        <w:t xml:space="preserve">now </w:t>
      </w:r>
      <w:r w:rsidR="005A6BE7">
        <w:t>distinguished in a more effective way</w:t>
      </w:r>
      <w:r w:rsidR="00BE3C40">
        <w:t xml:space="preserve"> by the recalled Art. 2, par. 1</w:t>
      </w:r>
      <w:r w:rsidR="0059672F">
        <w:t>. It encompasses</w:t>
      </w:r>
      <w:r w:rsidR="00BE3C40">
        <w:t xml:space="preserve"> crafts subject of lease and charter contracts (</w:t>
      </w:r>
      <w:proofErr w:type="spellStart"/>
      <w:r w:rsidR="00BE3C40">
        <w:t>lett</w:t>
      </w:r>
      <w:proofErr w:type="spellEnd"/>
      <w:r w:rsidR="00BE3C40">
        <w:t xml:space="preserve">. a), devoted to the </w:t>
      </w:r>
      <w:r w:rsidR="00BE3C40" w:rsidRPr="00BE3C40">
        <w:t>recreational boating training</w:t>
      </w:r>
      <w:r w:rsidR="00BF676F">
        <w:t xml:space="preserve"> (</w:t>
      </w:r>
      <w:proofErr w:type="spellStart"/>
      <w:r w:rsidR="00BF676F">
        <w:t>lett</w:t>
      </w:r>
      <w:proofErr w:type="spellEnd"/>
      <w:r w:rsidR="00BF676F">
        <w:t>. b</w:t>
      </w:r>
      <w:r w:rsidR="00BF676F" w:rsidRPr="00BF676F">
        <w:t>),</w:t>
      </w:r>
      <w:r w:rsidR="00BF676F">
        <w:t xml:space="preserve"> employed as a support unit for beginners by diving and underwater drills centers</w:t>
      </w:r>
      <w:r w:rsidR="00BF676F" w:rsidRPr="00BF676F">
        <w:t xml:space="preserve"> </w:t>
      </w:r>
      <w:r w:rsidR="00BF676F">
        <w:t>(</w:t>
      </w:r>
      <w:proofErr w:type="spellStart"/>
      <w:r w:rsidR="00BF676F">
        <w:t>lett</w:t>
      </w:r>
      <w:proofErr w:type="spellEnd"/>
      <w:r w:rsidR="00BF676F">
        <w:t>. c</w:t>
      </w:r>
      <w:r w:rsidR="00BF676F" w:rsidRPr="00BF676F">
        <w:t>),</w:t>
      </w:r>
      <w:r w:rsidR="00BE3C40">
        <w:t xml:space="preserve"> </w:t>
      </w:r>
      <w:r w:rsidR="00BF676F">
        <w:t xml:space="preserve">deployed to assist the mooring </w:t>
      </w:r>
      <w:r w:rsidR="00D807F3">
        <w:t xml:space="preserve">as well as the towage </w:t>
      </w:r>
      <w:r w:rsidR="00BF676F">
        <w:t xml:space="preserve">of the vessels </w:t>
      </w:r>
      <w:r w:rsidR="00BF676F" w:rsidRPr="00BF676F">
        <w:t>chartered exclusively for tourist purposes</w:t>
      </w:r>
      <w:r w:rsidR="00BF676F">
        <w:t xml:space="preserve"> (</w:t>
      </w:r>
      <w:proofErr w:type="spellStart"/>
      <w:r w:rsidR="00BF676F">
        <w:t>lett</w:t>
      </w:r>
      <w:proofErr w:type="spellEnd"/>
      <w:r w:rsidR="00BF676F">
        <w:t>. c-</w:t>
      </w:r>
      <w:proofErr w:type="spellStart"/>
      <w:r w:rsidR="00BF676F" w:rsidRPr="00BF676F">
        <w:rPr>
          <w:i/>
        </w:rPr>
        <w:t>bis</w:t>
      </w:r>
      <w:proofErr w:type="spellEnd"/>
      <w:r w:rsidR="00D807F3">
        <w:t xml:space="preserve"> and c-</w:t>
      </w:r>
      <w:proofErr w:type="spellStart"/>
      <w:r w:rsidR="00D807F3" w:rsidRPr="00D807F3">
        <w:rPr>
          <w:i/>
        </w:rPr>
        <w:t>ter</w:t>
      </w:r>
      <w:proofErr w:type="spellEnd"/>
      <w:r w:rsidR="00D807F3">
        <w:t>).</w:t>
      </w:r>
      <w:r w:rsidR="00370C77">
        <w:t xml:space="preserve"> Here </w:t>
      </w:r>
      <w:r w:rsidR="00860C51">
        <w:t>the</w:t>
      </w:r>
      <w:r w:rsidR="00440CD7">
        <w:t xml:space="preserve"> changes</w:t>
      </w:r>
      <w:r w:rsidR="00860C51">
        <w:t xml:space="preserve"> of greatest relevance to the sector are </w:t>
      </w:r>
      <w:r w:rsidR="0059672F">
        <w:t xml:space="preserve">represented by the annotation of the commercial use of the ship in the newborn </w:t>
      </w:r>
      <w:proofErr w:type="spellStart"/>
      <w:r w:rsidR="0059672F">
        <w:t>Telematic</w:t>
      </w:r>
      <w:proofErr w:type="spellEnd"/>
      <w:r w:rsidR="0059672F">
        <w:t xml:space="preserve"> Central Archive of the Recreational Crafts (ATCN) together w</w:t>
      </w:r>
      <w:r w:rsidR="00440CD7">
        <w:t xml:space="preserve">ith the details regarding its </w:t>
      </w:r>
      <w:r w:rsidR="0059672F">
        <w:t>operation</w:t>
      </w:r>
      <w:r w:rsidR="008B253E">
        <w:t xml:space="preserve"> and, in case </w:t>
      </w:r>
      <w:r w:rsidR="00440CD7">
        <w:t xml:space="preserve">the said activities are regularly conducted in Italy, the obligation to declare </w:t>
      </w:r>
      <w:r w:rsidR="008B253E">
        <w:t xml:space="preserve">to a specific computerized info point (named </w:t>
      </w:r>
      <w:proofErr w:type="spellStart"/>
      <w:r w:rsidR="008B253E">
        <w:t>Sportello</w:t>
      </w:r>
      <w:proofErr w:type="spellEnd"/>
      <w:r w:rsidR="008B253E">
        <w:t xml:space="preserve"> </w:t>
      </w:r>
      <w:proofErr w:type="spellStart"/>
      <w:r w:rsidR="008B253E">
        <w:t>Telematico</w:t>
      </w:r>
      <w:proofErr w:type="spellEnd"/>
      <w:r w:rsidR="008B253E">
        <w:t xml:space="preserve"> del </w:t>
      </w:r>
      <w:proofErr w:type="spellStart"/>
      <w:r w:rsidR="008B253E">
        <w:t>Diportista</w:t>
      </w:r>
      <w:proofErr w:type="spellEnd"/>
      <w:r w:rsidR="008B253E">
        <w:t xml:space="preserve">, STED) </w:t>
      </w:r>
      <w:r w:rsidR="00440CD7">
        <w:t>the characteristics of the means, the juridical title justifyi</w:t>
      </w:r>
      <w:r w:rsidR="008B253E">
        <w:t>ng its availability</w:t>
      </w:r>
      <w:r w:rsidR="00440CD7">
        <w:t xml:space="preserve">, the insurance policy </w:t>
      </w:r>
      <w:r w:rsidR="008B253E">
        <w:t>and the safety certification</w:t>
      </w:r>
      <w:r w:rsidR="00015FC0">
        <w:t xml:space="preserve"> regarding the craft</w:t>
      </w:r>
      <w:r w:rsidR="008B253E">
        <w:t xml:space="preserve">. </w:t>
      </w:r>
      <w:r w:rsidR="00827A15">
        <w:t>Moreover, t</w:t>
      </w:r>
      <w:r w:rsidR="00CE13B9">
        <w:t xml:space="preserve">he commercial purpose should be made explicit also in the traffic </w:t>
      </w:r>
      <w:proofErr w:type="spellStart"/>
      <w:r w:rsidR="00CE13B9">
        <w:t>licence</w:t>
      </w:r>
      <w:proofErr w:type="spellEnd"/>
      <w:r w:rsidR="00CE13B9">
        <w:t>.</w:t>
      </w:r>
    </w:p>
    <w:p w:rsidR="00BF0793" w:rsidRDefault="00BF0793" w:rsidP="005B057D">
      <w:r>
        <w:t xml:space="preserve">The second </w:t>
      </w:r>
      <w:r w:rsidR="004A6D06">
        <w:t xml:space="preserve">category amounts to ships with the hull longer than 24 </w:t>
      </w:r>
      <w:proofErr w:type="spellStart"/>
      <w:r w:rsidR="004A6D06">
        <w:t>metres</w:t>
      </w:r>
      <w:proofErr w:type="spellEnd"/>
      <w:r w:rsidR="004A6D06">
        <w:t>, engaged in international navigation and chartered only for t</w:t>
      </w:r>
      <w:r w:rsidR="00D5738A">
        <w:t>ouristic purposes. Furthermore, these vessels shall be enabled to carry on board up to a maximum of 12 passengers, crew excluded. Given their features, they can be enrolled in the Italian International Registry</w:t>
      </w:r>
      <w:proofErr w:type="gramStart"/>
      <w:r w:rsidR="00D5738A">
        <w:t>.</w:t>
      </w:r>
      <w:r w:rsidR="00FF04F0">
        <w:t>[</w:t>
      </w:r>
      <w:proofErr w:type="gramEnd"/>
      <w:r w:rsidR="00F75E83">
        <w:t>26</w:t>
      </w:r>
      <w:r w:rsidR="00FF04F0">
        <w:t>]</w:t>
      </w:r>
    </w:p>
    <w:p w:rsidR="00D5738A" w:rsidRPr="00BF0793" w:rsidRDefault="00D5738A" w:rsidP="005B057D">
      <w:r>
        <w:t xml:space="preserve">Still, </w:t>
      </w:r>
      <w:r w:rsidR="009D64A6">
        <w:t xml:space="preserve">there is another provision that plays a more prominent role: Art. 59 of </w:t>
      </w:r>
      <w:r w:rsidR="009D64A6" w:rsidRPr="009D64A6">
        <w:t>Legislative Decree No. 229 of November 3</w:t>
      </w:r>
      <w:r w:rsidR="009D64A6" w:rsidRPr="009D64A6">
        <w:rPr>
          <w:vertAlign w:val="superscript"/>
        </w:rPr>
        <w:t>rd</w:t>
      </w:r>
      <w:r w:rsidR="009D64A6" w:rsidRPr="009D64A6">
        <w:t xml:space="preserve"> 2017</w:t>
      </w:r>
      <w:r w:rsidR="009D64A6">
        <w:t>. Pursuant to it, within six months of the entry into for</w:t>
      </w:r>
      <w:r w:rsidR="00B067A3">
        <w:t>ce of the just mentioned act</w:t>
      </w:r>
      <w:r w:rsidR="009D64A6">
        <w:t xml:space="preserve">, the </w:t>
      </w:r>
      <w:r w:rsidR="009D64A6" w:rsidRPr="009D64A6">
        <w:t>Minister for Infrastructure and Transport</w:t>
      </w:r>
      <w:r w:rsidR="009D64A6">
        <w:t xml:space="preserve"> in coordination with the relevant Ministers</w:t>
      </w:r>
      <w:r w:rsidR="00184296">
        <w:t xml:space="preserve"> shall adopt a decree in accordance with Art. 17, par. 3 of Law No. 400 of August 23</w:t>
      </w:r>
      <w:r w:rsidR="00184296" w:rsidRPr="00184296">
        <w:rPr>
          <w:vertAlign w:val="superscript"/>
        </w:rPr>
        <w:t>rd</w:t>
      </w:r>
      <w:r w:rsidR="00184296">
        <w:t xml:space="preserve"> 1988, specifically </w:t>
      </w:r>
      <w:r w:rsidR="00B067A3">
        <w:t>designed to modify the implementing legislation</w:t>
      </w:r>
      <w:r w:rsidR="007E639C">
        <w:t xml:space="preserve"> </w:t>
      </w:r>
      <w:r w:rsidR="00B067A3">
        <w:t>regardi</w:t>
      </w:r>
      <w:r w:rsidR="007E639C">
        <w:t>ng: (</w:t>
      </w:r>
      <w:proofErr w:type="spellStart"/>
      <w:r w:rsidR="007E639C">
        <w:t>i</w:t>
      </w:r>
      <w:proofErr w:type="spellEnd"/>
      <w:r w:rsidR="007E639C">
        <w:t xml:space="preserve">) </w:t>
      </w:r>
      <w:r w:rsidR="00B067A3">
        <w:t>the safety of navigation of recreational crafts</w:t>
      </w:r>
      <w:r w:rsidR="007E639C">
        <w:t xml:space="preserve"> as well as</w:t>
      </w:r>
      <w:r w:rsidR="00B067A3">
        <w:t xml:space="preserve"> commercial yachts at sea and in the internal waters (Art. 59, par. 1, </w:t>
      </w:r>
      <w:proofErr w:type="spellStart"/>
      <w:r w:rsidR="00B067A3">
        <w:t>lett</w:t>
      </w:r>
      <w:proofErr w:type="spellEnd"/>
      <w:r w:rsidR="00B067A3">
        <w:t>.</w:t>
      </w:r>
      <w:r w:rsidR="007E639C">
        <w:t xml:space="preserve"> g); (ii) </w:t>
      </w:r>
      <w:r w:rsidR="00B067A3">
        <w:t xml:space="preserve">equivalent measures and exemptions </w:t>
      </w:r>
      <w:r w:rsidR="007E639C">
        <w:t xml:space="preserve">in terms of safety of navigation as well as conditions for issuing the pertaining certificates to </w:t>
      </w:r>
      <w:r w:rsidR="007E639C" w:rsidRPr="007E639C">
        <w:t>ships chartered exclusively for tourist purposes</w:t>
      </w:r>
      <w:r w:rsidR="00B067A3">
        <w:t xml:space="preserve"> </w:t>
      </w:r>
      <w:r w:rsidR="007E639C">
        <w:t xml:space="preserve">(Art. 59, par. 1, </w:t>
      </w:r>
      <w:proofErr w:type="spellStart"/>
      <w:r w:rsidR="007E639C">
        <w:t>lett</w:t>
      </w:r>
      <w:proofErr w:type="spellEnd"/>
      <w:r w:rsidR="007E639C">
        <w:t xml:space="preserve">. h). Besides, with the same procedure and legal instrument the Minister is called upon to adopt an Italian Passenger Yacht Code devoted to streamline requirements and standards </w:t>
      </w:r>
      <w:r w:rsidR="002D34E5">
        <w:t xml:space="preserve">of the conventional regulation presented above </w:t>
      </w:r>
      <w:r w:rsidR="007E639C">
        <w:t xml:space="preserve">to be fulfilled by </w:t>
      </w:r>
      <w:r w:rsidR="00EB2762">
        <w:t>crafts carrying on international voyages more than</w:t>
      </w:r>
      <w:r w:rsidR="002D34E5">
        <w:t xml:space="preserve"> 12 but less than 36 passengers and</w:t>
      </w:r>
      <w:r w:rsidR="004C60D6">
        <w:t xml:space="preserve"> without any cargo on board (Art. 59, par. 1, </w:t>
      </w:r>
      <w:proofErr w:type="spellStart"/>
      <w:r w:rsidR="004C60D6">
        <w:t>lett</w:t>
      </w:r>
      <w:proofErr w:type="spellEnd"/>
      <w:r w:rsidR="004C60D6">
        <w:t xml:space="preserve">. aa). In particular, </w:t>
      </w:r>
      <w:r w:rsidR="00DD3B47">
        <w:t xml:space="preserve">the same precept explicitly requires to concentrate the efforts on rationalizing parameters </w:t>
      </w:r>
      <w:r w:rsidR="002C71D2">
        <w:t xml:space="preserve">and general principles </w:t>
      </w:r>
      <w:r w:rsidR="00DD3B47">
        <w:t>deriving</w:t>
      </w:r>
      <w:r w:rsidR="006206FA">
        <w:t xml:space="preserve">, </w:t>
      </w:r>
      <w:r w:rsidR="006206FA" w:rsidRPr="006206FA">
        <w:rPr>
          <w:i/>
        </w:rPr>
        <w:t>inter alia</w:t>
      </w:r>
      <w:r w:rsidR="006206FA">
        <w:t>,</w:t>
      </w:r>
      <w:r w:rsidR="00DD3B47">
        <w:t xml:space="preserve"> from the SOLAS Convention, </w:t>
      </w:r>
      <w:r w:rsidR="006206FA">
        <w:t xml:space="preserve">the </w:t>
      </w:r>
      <w:r w:rsidR="00DD3B47">
        <w:t xml:space="preserve">TONNAGE Convention, </w:t>
      </w:r>
      <w:r w:rsidR="006206FA">
        <w:t xml:space="preserve">the COLREGs Convention, the MARPOL 73/78 Convention, the AFS Convention, the LL Convention and the </w:t>
      </w:r>
      <w:r w:rsidR="002C71D2">
        <w:t xml:space="preserve">STCW Convention. In addition, where the application of the just mentioned treaties to the passenger yachts is not reasonable or not </w:t>
      </w:r>
      <w:r w:rsidR="002C71D2">
        <w:lastRenderedPageBreak/>
        <w:t xml:space="preserve">viable from a technical viewpoint exemptions and equivalent arrangements have to be identified by the decree under consideration.  </w:t>
      </w:r>
      <w:r w:rsidR="002D34E5">
        <w:t xml:space="preserve"> </w:t>
      </w:r>
      <w:r w:rsidR="007E639C">
        <w:t xml:space="preserve">  </w:t>
      </w:r>
    </w:p>
    <w:p w:rsidR="00DF1871" w:rsidRDefault="0014557F" w:rsidP="00347D96">
      <w:pPr>
        <w:pStyle w:val="Titolo1"/>
      </w:pPr>
      <w:r>
        <w:t>Conclusions</w:t>
      </w:r>
    </w:p>
    <w:p w:rsidR="00347D96" w:rsidRPr="00347D96" w:rsidRDefault="00560939" w:rsidP="00560939">
      <w:pPr>
        <w:ind w:firstLine="0"/>
      </w:pPr>
      <w:r>
        <w:t xml:space="preserve">The significant progress made by the Italian legislator through the renovated </w:t>
      </w:r>
      <w:r w:rsidRPr="00560939">
        <w:t>Recreational Craft Code</w:t>
      </w:r>
      <w:r>
        <w:t xml:space="preserve"> are only the first step </w:t>
      </w:r>
      <w:r w:rsidR="0077540A">
        <w:t>towards a set of rules</w:t>
      </w:r>
      <w:r w:rsidR="00A26479">
        <w:t xml:space="preserve"> that could be better adapted to the peculiar characteristics of the yachting industry. </w:t>
      </w:r>
      <w:r w:rsidR="0077540A">
        <w:t xml:space="preserve">The introduction of the concept of commercial yacht, indeed, represents a precondition for a regulatory development which is still to be effected. The great opportunity is offered by the Italian Passenger Yacht Code </w:t>
      </w:r>
      <w:r w:rsidR="001161A8">
        <w:t>and, more in general, the Decree of the</w:t>
      </w:r>
      <w:r w:rsidR="001161A8" w:rsidRPr="001161A8">
        <w:t xml:space="preserve"> Minister for Infrastructure and Transport</w:t>
      </w:r>
      <w:r w:rsidR="002E2159">
        <w:t xml:space="preserve"> foreseen by Art. 59 of </w:t>
      </w:r>
      <w:r w:rsidR="002E2159" w:rsidRPr="002E2159">
        <w:t>Legislative Decr</w:t>
      </w:r>
      <w:r w:rsidR="002E2159">
        <w:t xml:space="preserve">ee No. 229 of November 3rd 2017. </w:t>
      </w:r>
      <w:r w:rsidR="005F457A">
        <w:t>This is a major an</w:t>
      </w:r>
      <w:r w:rsidR="00C17A9D">
        <w:t>d</w:t>
      </w:r>
      <w:r w:rsidR="005F457A">
        <w:t xml:space="preserve"> immediate challenge,</w:t>
      </w:r>
      <w:r w:rsidR="003120DE">
        <w:t xml:space="preserve"> since the legal tool</w:t>
      </w:r>
      <w:r w:rsidR="005F457A">
        <w:t xml:space="preserve"> shall be enacted within six months starting from February 13</w:t>
      </w:r>
      <w:r w:rsidR="005F457A" w:rsidRPr="005F457A">
        <w:rPr>
          <w:vertAlign w:val="superscript"/>
        </w:rPr>
        <w:t>th</w:t>
      </w:r>
      <w:r w:rsidR="005F457A">
        <w:t xml:space="preserve"> 2018, date of the entry into force of the mentioned </w:t>
      </w:r>
      <w:r w:rsidR="005F457A" w:rsidRPr="005F457A">
        <w:t>Legislative Decree</w:t>
      </w:r>
      <w:r w:rsidR="005F457A">
        <w:t>.</w:t>
      </w:r>
      <w:r w:rsidR="001161A8">
        <w:t xml:space="preserve"> </w:t>
      </w:r>
      <w:r w:rsidR="003120DE">
        <w:t>The need of guaranteeing a detailed discipline for specific typologies of yachts</w:t>
      </w:r>
      <w:r w:rsidR="00C17A9D">
        <w:t xml:space="preserve"> capable of avoiding </w:t>
      </w:r>
      <w:r w:rsidR="00C17A9D" w:rsidRPr="00C17A9D">
        <w:t xml:space="preserve">excessive inflexibility </w:t>
      </w:r>
      <w:r w:rsidR="00C17A9D">
        <w:t xml:space="preserve">in their construction, design and operation is quite understandable. The attractiveness of the Italian Shipping Registries and the competitiveness of the sector are at stake. </w:t>
      </w:r>
      <w:r w:rsidR="00D450C9">
        <w:t>S</w:t>
      </w:r>
      <w:r w:rsidR="00C17A9D">
        <w:t xml:space="preserve">mart normative choices and </w:t>
      </w:r>
      <w:r w:rsidR="00D450C9">
        <w:t xml:space="preserve">effective rationalizations can be highly welcomed by </w:t>
      </w:r>
      <w:r w:rsidR="006B2C29">
        <w:t>the various stakeholders</w:t>
      </w:r>
      <w:proofErr w:type="gramStart"/>
      <w:r w:rsidR="006B2C29">
        <w:t>.</w:t>
      </w:r>
      <w:r w:rsidR="00813AB1">
        <w:t>[</w:t>
      </w:r>
      <w:proofErr w:type="gramEnd"/>
      <w:r w:rsidR="00F75E83">
        <w:t>27</w:t>
      </w:r>
      <w:r w:rsidR="00813AB1">
        <w:t>]</w:t>
      </w:r>
      <w:r w:rsidR="006B2C29">
        <w:t xml:space="preserve"> On the subject, it </w:t>
      </w:r>
      <w:r w:rsidR="006B2C29" w:rsidRPr="006B2C29">
        <w:t>might come in handy</w:t>
      </w:r>
      <w:r w:rsidR="004F5896">
        <w:t xml:space="preserve"> to analyze </w:t>
      </w:r>
      <w:r w:rsidR="004F5896" w:rsidRPr="004F5896">
        <w:t>the REG Yacht Code</w:t>
      </w:r>
      <w:r w:rsidR="004F5896">
        <w:t xml:space="preserve"> and its predecessors, LY3 Code and PYC,</w:t>
      </w:r>
      <w:r w:rsidR="00D450C9">
        <w:t xml:space="preserve"> </w:t>
      </w:r>
      <w:r w:rsidR="004F5896">
        <w:t xml:space="preserve">in order to draw inspiration from the United Kingdom experience in the field. </w:t>
      </w:r>
      <w:r w:rsidR="00C17A9D">
        <w:t xml:space="preserve"> </w:t>
      </w:r>
      <w:r w:rsidR="0077540A">
        <w:t xml:space="preserve"> </w:t>
      </w:r>
    </w:p>
    <w:p w:rsidR="00B05D6E" w:rsidRDefault="00B05D6E">
      <w:pPr>
        <w:pStyle w:val="HeadingUnn1"/>
      </w:pPr>
      <w:r>
        <w:t>References</w:t>
      </w:r>
    </w:p>
    <w:p w:rsidR="003F7985" w:rsidRDefault="003F7985" w:rsidP="00300AAB">
      <w:pPr>
        <w:pStyle w:val="References"/>
      </w:pPr>
      <w:r w:rsidRPr="003F7985">
        <w:t xml:space="preserve">A. </w:t>
      </w:r>
      <w:proofErr w:type="spellStart"/>
      <w:r w:rsidRPr="003F7985">
        <w:t>Pasino</w:t>
      </w:r>
      <w:proofErr w:type="spellEnd"/>
      <w:r w:rsidRPr="003F7985">
        <w:t>, The Re</w:t>
      </w:r>
      <w:r>
        <w:t xml:space="preserve">form of the Italian Yachting Code, </w:t>
      </w:r>
      <w:r w:rsidRPr="003F7985">
        <w:rPr>
          <w:i/>
        </w:rPr>
        <w:t>Croatian Academy of Sciences and Arts</w:t>
      </w:r>
      <w:r>
        <w:t xml:space="preserve">, </w:t>
      </w:r>
      <w:proofErr w:type="spellStart"/>
      <w:r w:rsidRPr="003F7985">
        <w:rPr>
          <w:i/>
        </w:rPr>
        <w:t>Poredbeno</w:t>
      </w:r>
      <w:proofErr w:type="spellEnd"/>
      <w:r w:rsidRPr="003F7985">
        <w:rPr>
          <w:i/>
        </w:rPr>
        <w:t xml:space="preserve"> </w:t>
      </w:r>
      <w:proofErr w:type="spellStart"/>
      <w:r w:rsidRPr="003F7985">
        <w:rPr>
          <w:i/>
        </w:rPr>
        <w:t>pomorsko</w:t>
      </w:r>
      <w:proofErr w:type="spellEnd"/>
      <w:r w:rsidRPr="003F7985">
        <w:rPr>
          <w:i/>
        </w:rPr>
        <w:t xml:space="preserve"> </w:t>
      </w:r>
      <w:proofErr w:type="spellStart"/>
      <w:r w:rsidRPr="003F7985">
        <w:rPr>
          <w:i/>
        </w:rPr>
        <w:t>pravo</w:t>
      </w:r>
      <w:proofErr w:type="spellEnd"/>
      <w:r>
        <w:t xml:space="preserve"> </w:t>
      </w:r>
      <w:r w:rsidRPr="003F7985">
        <w:rPr>
          <w:b/>
        </w:rPr>
        <w:t xml:space="preserve">172 </w:t>
      </w:r>
      <w:r>
        <w:t xml:space="preserve">(2018), </w:t>
      </w:r>
      <w:r w:rsidRPr="003F7985">
        <w:t>4</w:t>
      </w:r>
      <w:r>
        <w:t>7-56.</w:t>
      </w:r>
    </w:p>
    <w:p w:rsidR="003F7985" w:rsidRPr="003F7985" w:rsidRDefault="003F7985" w:rsidP="00300AAB">
      <w:pPr>
        <w:pStyle w:val="References"/>
      </w:pPr>
      <w:r w:rsidRPr="003F7985">
        <w:t xml:space="preserve">M. </w:t>
      </w:r>
      <w:proofErr w:type="spellStart"/>
      <w:r w:rsidRPr="003F7985">
        <w:t>Musi</w:t>
      </w:r>
      <w:proofErr w:type="spellEnd"/>
      <w:r w:rsidRPr="003F7985">
        <w:t>,</w:t>
      </w:r>
      <w:r>
        <w:t xml:space="preserve"> </w:t>
      </w:r>
      <w:r w:rsidRPr="003F7985">
        <w:t>The Classification of Pleasure Craft in the Italian Legal System: Just a Matter of Definition or Something More</w:t>
      </w:r>
      <w:proofErr w:type="gramStart"/>
      <w:r w:rsidRPr="003F7985">
        <w:t>?</w:t>
      </w:r>
      <w:r>
        <w:t>,</w:t>
      </w:r>
      <w:proofErr w:type="gramEnd"/>
      <w:r>
        <w:t xml:space="preserve"> </w:t>
      </w:r>
      <w:r w:rsidRPr="003F7985">
        <w:rPr>
          <w:i/>
        </w:rPr>
        <w:t>Croatian Academy of Sciences and Arts</w:t>
      </w:r>
      <w:r w:rsidRPr="003F7985">
        <w:t xml:space="preserve">, </w:t>
      </w:r>
      <w:proofErr w:type="spellStart"/>
      <w:r w:rsidRPr="003F7985">
        <w:rPr>
          <w:i/>
        </w:rPr>
        <w:t>Poredbeno</w:t>
      </w:r>
      <w:proofErr w:type="spellEnd"/>
      <w:r w:rsidRPr="003F7985">
        <w:rPr>
          <w:i/>
        </w:rPr>
        <w:t xml:space="preserve"> </w:t>
      </w:r>
      <w:proofErr w:type="spellStart"/>
      <w:r w:rsidRPr="003F7985">
        <w:rPr>
          <w:i/>
        </w:rPr>
        <w:t>pomorsko</w:t>
      </w:r>
      <w:proofErr w:type="spellEnd"/>
      <w:r w:rsidRPr="003F7985">
        <w:rPr>
          <w:i/>
        </w:rPr>
        <w:t xml:space="preserve"> </w:t>
      </w:r>
      <w:proofErr w:type="spellStart"/>
      <w:r w:rsidRPr="003F7985">
        <w:rPr>
          <w:i/>
        </w:rPr>
        <w:t>pravo</w:t>
      </w:r>
      <w:proofErr w:type="spellEnd"/>
      <w:r w:rsidRPr="003F7985">
        <w:t xml:space="preserve"> </w:t>
      </w:r>
      <w:r w:rsidRPr="003F7985">
        <w:rPr>
          <w:b/>
        </w:rPr>
        <w:t>172</w:t>
      </w:r>
      <w:r>
        <w:t xml:space="preserve"> (2018), 57-</w:t>
      </w:r>
      <w:r w:rsidR="007D0E7C">
        <w:t>74.</w:t>
      </w:r>
      <w:r>
        <w:t xml:space="preserve"> </w:t>
      </w:r>
    </w:p>
    <w:p w:rsidR="009947DD" w:rsidRDefault="00CC4EDC" w:rsidP="00300AAB">
      <w:pPr>
        <w:pStyle w:val="References"/>
      </w:pPr>
      <w:r>
        <w:t xml:space="preserve">L. </w:t>
      </w:r>
      <w:proofErr w:type="spellStart"/>
      <w:r>
        <w:t>Dardani</w:t>
      </w:r>
      <w:proofErr w:type="spellEnd"/>
      <w:r>
        <w:t xml:space="preserve">, The Definition of “Ship”: a Question of Method, </w:t>
      </w:r>
      <w:r w:rsidRPr="00CC4EDC">
        <w:t xml:space="preserve">in M. </w:t>
      </w:r>
      <w:proofErr w:type="spellStart"/>
      <w:r w:rsidRPr="00CC4EDC">
        <w:t>Musi</w:t>
      </w:r>
      <w:proofErr w:type="spellEnd"/>
      <w:r w:rsidRPr="00CC4EDC">
        <w:t xml:space="preserve"> (Ed.), The Ship: an Example of Legal </w:t>
      </w:r>
      <w:proofErr w:type="spellStart"/>
      <w:r w:rsidRPr="00CC4EDC">
        <w:t>Pluri</w:t>
      </w:r>
      <w:proofErr w:type="spellEnd"/>
      <w:r w:rsidRPr="00CC4EDC">
        <w:t xml:space="preserve">-Qualification, Il </w:t>
      </w:r>
      <w:proofErr w:type="spellStart"/>
      <w:r w:rsidRPr="00CC4EDC">
        <w:t>Diritto</w:t>
      </w:r>
      <w:proofErr w:type="spellEnd"/>
      <w:r w:rsidRPr="00CC4EDC">
        <w:t xml:space="preserve"> </w:t>
      </w:r>
      <w:proofErr w:type="spellStart"/>
      <w:r w:rsidRPr="00CC4EDC">
        <w:t>Marittimo</w:t>
      </w:r>
      <w:proofErr w:type="spellEnd"/>
      <w:r w:rsidRPr="00CC4EDC">
        <w:t xml:space="preserve"> – </w:t>
      </w:r>
      <w:proofErr w:type="spellStart"/>
      <w:r w:rsidRPr="00CC4EDC">
        <w:t>Quaderni</w:t>
      </w:r>
      <w:proofErr w:type="spellEnd"/>
      <w:r w:rsidRPr="00CC4EDC">
        <w:t xml:space="preserve">, </w:t>
      </w:r>
      <w:proofErr w:type="spellStart"/>
      <w:r w:rsidRPr="00CC4EDC">
        <w:t>Bonomo</w:t>
      </w:r>
      <w:proofErr w:type="spellEnd"/>
      <w:r w:rsidRPr="00CC4EDC">
        <w:t xml:space="preserve"> </w:t>
      </w:r>
      <w:proofErr w:type="spellStart"/>
      <w:r w:rsidRPr="00CC4EDC">
        <w:t>Ed</w:t>
      </w:r>
      <w:r>
        <w:t>itore</w:t>
      </w:r>
      <w:proofErr w:type="spellEnd"/>
      <w:r>
        <w:t xml:space="preserve">, Bologna, 2016, 1-7; </w:t>
      </w:r>
      <w:r w:rsidR="009C5733">
        <w:t xml:space="preserve">L. </w:t>
      </w:r>
      <w:proofErr w:type="spellStart"/>
      <w:r w:rsidR="009C5733">
        <w:t>Tontodonati</w:t>
      </w:r>
      <w:proofErr w:type="spellEnd"/>
      <w:r w:rsidR="009C5733">
        <w:t>, The Definition of “Vessel” under the AGCC Rules and Regulation for Ports, in</w:t>
      </w:r>
      <w:r w:rsidR="000B1051" w:rsidRPr="000B1051">
        <w:t xml:space="preserve"> M. </w:t>
      </w:r>
      <w:proofErr w:type="spellStart"/>
      <w:r w:rsidR="000B1051" w:rsidRPr="000B1051">
        <w:t>Musi</w:t>
      </w:r>
      <w:proofErr w:type="spellEnd"/>
      <w:r w:rsidR="000B1051" w:rsidRPr="000B1051">
        <w:t xml:space="preserve"> (Ed.), The Ship: an Example of Legal </w:t>
      </w:r>
      <w:proofErr w:type="spellStart"/>
      <w:r w:rsidR="000B1051" w:rsidRPr="000B1051">
        <w:t>Pluri</w:t>
      </w:r>
      <w:proofErr w:type="spellEnd"/>
      <w:r w:rsidR="000B1051" w:rsidRPr="000B1051">
        <w:t xml:space="preserve">-Qualification, Il </w:t>
      </w:r>
      <w:proofErr w:type="spellStart"/>
      <w:r w:rsidR="000B1051" w:rsidRPr="000B1051">
        <w:t>Diritto</w:t>
      </w:r>
      <w:proofErr w:type="spellEnd"/>
      <w:r w:rsidR="000B1051" w:rsidRPr="000B1051">
        <w:t xml:space="preserve"> </w:t>
      </w:r>
      <w:proofErr w:type="spellStart"/>
      <w:r w:rsidR="000B1051" w:rsidRPr="000B1051">
        <w:t>Marittimo</w:t>
      </w:r>
      <w:proofErr w:type="spellEnd"/>
      <w:r w:rsidR="000B1051" w:rsidRPr="000B1051">
        <w:t xml:space="preserve"> – </w:t>
      </w:r>
      <w:proofErr w:type="spellStart"/>
      <w:r w:rsidR="000B1051" w:rsidRPr="000B1051">
        <w:t>Quaderni</w:t>
      </w:r>
      <w:proofErr w:type="spellEnd"/>
      <w:r w:rsidR="000B1051" w:rsidRPr="000B1051">
        <w:t>,</w:t>
      </w:r>
      <w:r w:rsidR="000B1051">
        <w:t xml:space="preserve"> </w:t>
      </w:r>
      <w:proofErr w:type="spellStart"/>
      <w:r w:rsidR="000B1051">
        <w:t>Bonomo</w:t>
      </w:r>
      <w:proofErr w:type="spellEnd"/>
      <w:r w:rsidR="000B1051">
        <w:t xml:space="preserve"> </w:t>
      </w:r>
      <w:proofErr w:type="spellStart"/>
      <w:r w:rsidR="000B1051">
        <w:t>Editore</w:t>
      </w:r>
      <w:proofErr w:type="spellEnd"/>
      <w:r w:rsidR="000B1051">
        <w:t>, Bologna, 2016, 281-283.</w:t>
      </w:r>
      <w:r w:rsidR="009C5733">
        <w:t xml:space="preserve">  </w:t>
      </w:r>
    </w:p>
    <w:p w:rsidR="009947DD" w:rsidRDefault="009947DD" w:rsidP="00300AAB">
      <w:pPr>
        <w:pStyle w:val="References"/>
      </w:pPr>
      <w:r>
        <w:t xml:space="preserve">P. Moretti, Yacht classification definitions, 2015, in </w:t>
      </w:r>
      <w:r w:rsidR="009C5733" w:rsidRPr="00D475EA">
        <w:t>https://www.boatinternational.com</w:t>
      </w:r>
      <w:r>
        <w:t>.</w:t>
      </w:r>
    </w:p>
    <w:p w:rsidR="009C5733" w:rsidRPr="009947DD" w:rsidRDefault="009C5733" w:rsidP="00300AAB">
      <w:pPr>
        <w:pStyle w:val="References"/>
      </w:pPr>
      <w:r w:rsidRPr="009C5733">
        <w:t xml:space="preserve">F. </w:t>
      </w:r>
      <w:proofErr w:type="spellStart"/>
      <w:r w:rsidRPr="009C5733">
        <w:t>Berlingieri</w:t>
      </w:r>
      <w:proofErr w:type="spellEnd"/>
      <w:r w:rsidRPr="009C5733">
        <w:t xml:space="preserve">, La </w:t>
      </w:r>
      <w:proofErr w:type="spellStart"/>
      <w:r w:rsidRPr="009C5733">
        <w:t>nozione</w:t>
      </w:r>
      <w:proofErr w:type="spellEnd"/>
      <w:r w:rsidRPr="009C5733">
        <w:t xml:space="preserve"> di nave e la </w:t>
      </w:r>
      <w:proofErr w:type="spellStart"/>
      <w:r w:rsidRPr="009C5733">
        <w:t>sua</w:t>
      </w:r>
      <w:proofErr w:type="spellEnd"/>
      <w:r w:rsidRPr="009C5733">
        <w:t xml:space="preserve"> </w:t>
      </w:r>
      <w:proofErr w:type="spellStart"/>
      <w:r w:rsidRPr="009C5733">
        <w:t>applicazione</w:t>
      </w:r>
      <w:proofErr w:type="spellEnd"/>
      <w:r w:rsidRPr="009C5733">
        <w:t xml:space="preserve"> </w:t>
      </w:r>
      <w:proofErr w:type="spellStart"/>
      <w:r w:rsidRPr="009C5733">
        <w:t>alle</w:t>
      </w:r>
      <w:proofErr w:type="spellEnd"/>
      <w:r w:rsidRPr="009C5733">
        <w:t xml:space="preserve"> </w:t>
      </w:r>
      <w:proofErr w:type="spellStart"/>
      <w:r w:rsidRPr="009C5733">
        <w:t>convenzioni</w:t>
      </w:r>
      <w:proofErr w:type="spellEnd"/>
      <w:r w:rsidRPr="009C5733">
        <w:t xml:space="preserve"> </w:t>
      </w:r>
      <w:proofErr w:type="spellStart"/>
      <w:r w:rsidRPr="009C5733">
        <w:t>internazionali</w:t>
      </w:r>
      <w:proofErr w:type="spellEnd"/>
      <w:r w:rsidRPr="009C5733">
        <w:t xml:space="preserve">, </w:t>
      </w:r>
      <w:r w:rsidRPr="009C5733">
        <w:rPr>
          <w:i/>
        </w:rPr>
        <w:t>Dir. mar.</w:t>
      </w:r>
      <w:r w:rsidRPr="009C5733">
        <w:t xml:space="preserve"> (2000), 968.</w:t>
      </w:r>
    </w:p>
    <w:p w:rsidR="001F5376" w:rsidRPr="00726039" w:rsidRDefault="00726039" w:rsidP="00300AAB">
      <w:pPr>
        <w:pStyle w:val="References"/>
      </w:pPr>
      <w:r>
        <w:t xml:space="preserve">M. Corkhill, The Tonnage Measurement of Ships, </w:t>
      </w:r>
      <w:proofErr w:type="spellStart"/>
      <w:r>
        <w:t>Fairplay</w:t>
      </w:r>
      <w:proofErr w:type="spellEnd"/>
      <w:r>
        <w:t xml:space="preserve"> Publication, London, 1980</w:t>
      </w:r>
      <w:r w:rsidR="00F76152">
        <w:t xml:space="preserve">, </w:t>
      </w:r>
      <w:r w:rsidR="00F76152" w:rsidRPr="00F76152">
        <w:rPr>
          <w:i/>
        </w:rPr>
        <w:t>passim</w:t>
      </w:r>
      <w:r w:rsidR="00D86E79">
        <w:t xml:space="preserve">; J.A. Roach – R.W. Smith, Caspian Seabed Boundaries, in D.A. Colson - </w:t>
      </w:r>
      <w:r w:rsidR="00D86E79" w:rsidRPr="00D86E79">
        <w:t xml:space="preserve">R.W. Smith </w:t>
      </w:r>
      <w:r w:rsidR="00D86E79">
        <w:t xml:space="preserve">(Eds.), </w:t>
      </w:r>
      <w:r w:rsidR="00D86E79" w:rsidRPr="00D86E79">
        <w:t>International Maritime Boundaries</w:t>
      </w:r>
      <w:r w:rsidR="00D86E79">
        <w:t xml:space="preserve">, V, </w:t>
      </w:r>
      <w:proofErr w:type="spellStart"/>
      <w:r w:rsidR="00D86E79">
        <w:t>Martinus</w:t>
      </w:r>
      <w:proofErr w:type="spellEnd"/>
      <w:r w:rsidR="00D86E79">
        <w:t xml:space="preserve"> </w:t>
      </w:r>
      <w:proofErr w:type="spellStart"/>
      <w:r w:rsidR="00D86E79">
        <w:t>Nijhoff</w:t>
      </w:r>
      <w:proofErr w:type="spellEnd"/>
      <w:r w:rsidR="00D86E79">
        <w:t xml:space="preserve"> Publishers, Leiden – Boston, 2005, 3537.</w:t>
      </w:r>
    </w:p>
    <w:p w:rsidR="00EA68DA" w:rsidRPr="00EB22B7" w:rsidRDefault="00EA68DA" w:rsidP="00300AAB">
      <w:pPr>
        <w:pStyle w:val="References"/>
      </w:pPr>
      <w:r>
        <w:t xml:space="preserve">L. </w:t>
      </w:r>
      <w:proofErr w:type="spellStart"/>
      <w:r>
        <w:t>Schiano</w:t>
      </w:r>
      <w:proofErr w:type="spellEnd"/>
      <w:r>
        <w:t xml:space="preserve"> di </w:t>
      </w:r>
      <w:proofErr w:type="spellStart"/>
      <w:r>
        <w:t>Pepe</w:t>
      </w:r>
      <w:proofErr w:type="spellEnd"/>
      <w:r>
        <w:t xml:space="preserve">, </w:t>
      </w:r>
      <w:proofErr w:type="spellStart"/>
      <w:r>
        <w:t>Inquinamento</w:t>
      </w:r>
      <w:proofErr w:type="spellEnd"/>
      <w:r>
        <w:t xml:space="preserve"> </w:t>
      </w:r>
      <w:proofErr w:type="spellStart"/>
      <w:r>
        <w:t>marino</w:t>
      </w:r>
      <w:proofErr w:type="spellEnd"/>
      <w:r>
        <w:t xml:space="preserve"> da </w:t>
      </w:r>
      <w:proofErr w:type="spellStart"/>
      <w:r>
        <w:t>navi</w:t>
      </w:r>
      <w:proofErr w:type="spellEnd"/>
      <w:r>
        <w:t xml:space="preserve"> e </w:t>
      </w:r>
      <w:proofErr w:type="spellStart"/>
      <w:r>
        <w:t>poteri</w:t>
      </w:r>
      <w:proofErr w:type="spellEnd"/>
      <w:r>
        <w:t xml:space="preserve"> </w:t>
      </w:r>
      <w:proofErr w:type="spellStart"/>
      <w:r>
        <w:t>dello</w:t>
      </w:r>
      <w:proofErr w:type="spellEnd"/>
      <w:r>
        <w:t xml:space="preserve"> </w:t>
      </w:r>
      <w:proofErr w:type="spellStart"/>
      <w:r>
        <w:t>Stato</w:t>
      </w:r>
      <w:proofErr w:type="spellEnd"/>
      <w:r>
        <w:t xml:space="preserve"> </w:t>
      </w:r>
      <w:proofErr w:type="spellStart"/>
      <w:r>
        <w:t>costie</w:t>
      </w:r>
      <w:r w:rsidR="006E3A4E">
        <w:t>ro</w:t>
      </w:r>
      <w:proofErr w:type="spellEnd"/>
      <w:r w:rsidR="006E3A4E">
        <w:t xml:space="preserve">, </w:t>
      </w:r>
      <w:proofErr w:type="spellStart"/>
      <w:r w:rsidR="006E3A4E">
        <w:t>Giappichelli</w:t>
      </w:r>
      <w:proofErr w:type="spellEnd"/>
      <w:r w:rsidR="006E3A4E">
        <w:t xml:space="preserve"> </w:t>
      </w:r>
      <w:proofErr w:type="spellStart"/>
      <w:r w:rsidR="006E3A4E">
        <w:t>Editore</w:t>
      </w:r>
      <w:proofErr w:type="spellEnd"/>
      <w:r w:rsidR="006E3A4E">
        <w:t>, Turin</w:t>
      </w:r>
      <w:r>
        <w:t>,</w:t>
      </w:r>
      <w:r w:rsidR="002D2B1C">
        <w:t xml:space="preserve"> 2007,</w:t>
      </w:r>
      <w:r>
        <w:t xml:space="preserve"> 14, 27, 47, </w:t>
      </w:r>
      <w:r w:rsidR="002D2B1C">
        <w:t xml:space="preserve">67, 70-76, </w:t>
      </w:r>
      <w:r>
        <w:t>133</w:t>
      </w:r>
      <w:r w:rsidR="00EB22B7">
        <w:t xml:space="preserve">; </w:t>
      </w:r>
      <w:r w:rsidR="00EB22B7" w:rsidRPr="00EB22B7">
        <w:t xml:space="preserve">F. </w:t>
      </w:r>
      <w:proofErr w:type="spellStart"/>
      <w:r w:rsidR="00EB22B7" w:rsidRPr="00EB22B7">
        <w:t>Berlingieri</w:t>
      </w:r>
      <w:proofErr w:type="spellEnd"/>
      <w:r w:rsidR="00EB22B7" w:rsidRPr="00EB22B7">
        <w:t>, International Maritime Conventions (Volume 3): Protection of the</w:t>
      </w:r>
      <w:r w:rsidR="00EB22B7">
        <w:t xml:space="preserve"> Marine Environment</w:t>
      </w:r>
      <w:r w:rsidR="00EB22B7" w:rsidRPr="00EB22B7">
        <w:t>, III,</w:t>
      </w:r>
      <w:r w:rsidR="00EB22B7">
        <w:t xml:space="preserve"> </w:t>
      </w:r>
      <w:proofErr w:type="spellStart"/>
      <w:r w:rsidR="00EB22B7" w:rsidRPr="00EB22B7">
        <w:t>Informa</w:t>
      </w:r>
      <w:proofErr w:type="spellEnd"/>
      <w:r w:rsidR="00EB22B7" w:rsidRPr="00EB22B7">
        <w:t xml:space="preserve"> Law from Routledge, Oxon – New York,</w:t>
      </w:r>
      <w:r w:rsidR="00EB22B7">
        <w:t xml:space="preserve"> 2015, 29-38.</w:t>
      </w:r>
      <w:r w:rsidR="000A4F29" w:rsidRPr="000A4F29">
        <w:t xml:space="preserve"> M. </w:t>
      </w:r>
      <w:proofErr w:type="spellStart"/>
      <w:r w:rsidR="000A4F29" w:rsidRPr="000A4F29">
        <w:t>Musi</w:t>
      </w:r>
      <w:proofErr w:type="spellEnd"/>
      <w:r w:rsidR="000A4F29" w:rsidRPr="000A4F29">
        <w:t xml:space="preserve">, A Study on the Floating Units Operating in the Oil and Gas Offshore Fields: the Need for a Judicial Placement and the Quest for the Applicable Discipline, in M. </w:t>
      </w:r>
      <w:proofErr w:type="spellStart"/>
      <w:r w:rsidR="000A4F29" w:rsidRPr="000A4F29">
        <w:t>Musi</w:t>
      </w:r>
      <w:proofErr w:type="spellEnd"/>
      <w:r w:rsidR="000A4F29" w:rsidRPr="000A4F29">
        <w:t xml:space="preserve"> (Ed.), The Ship: an Example of Legal </w:t>
      </w:r>
      <w:proofErr w:type="spellStart"/>
      <w:r w:rsidR="000A4F29" w:rsidRPr="000A4F29">
        <w:t>Pluri</w:t>
      </w:r>
      <w:proofErr w:type="spellEnd"/>
      <w:r w:rsidR="000A4F29" w:rsidRPr="000A4F29">
        <w:t xml:space="preserve">-Qualification, Il </w:t>
      </w:r>
      <w:proofErr w:type="spellStart"/>
      <w:r w:rsidR="000A4F29" w:rsidRPr="000A4F29">
        <w:t>Diritto</w:t>
      </w:r>
      <w:proofErr w:type="spellEnd"/>
      <w:r w:rsidR="000A4F29" w:rsidRPr="000A4F29">
        <w:t xml:space="preserve"> </w:t>
      </w:r>
      <w:proofErr w:type="spellStart"/>
      <w:r w:rsidR="000A4F29" w:rsidRPr="000A4F29">
        <w:t>Marittimo</w:t>
      </w:r>
      <w:proofErr w:type="spellEnd"/>
      <w:r w:rsidR="000A4F29" w:rsidRPr="000A4F29">
        <w:t xml:space="preserve"> – </w:t>
      </w:r>
      <w:proofErr w:type="spellStart"/>
      <w:r w:rsidR="000A4F29" w:rsidRPr="000A4F29">
        <w:t>Quaderni</w:t>
      </w:r>
      <w:proofErr w:type="spellEnd"/>
      <w:r w:rsidR="000A4F29" w:rsidRPr="000A4F29">
        <w:t xml:space="preserve">, </w:t>
      </w:r>
      <w:proofErr w:type="spellStart"/>
      <w:r w:rsidR="000A4F29" w:rsidRPr="000A4F29">
        <w:t>Bonomo</w:t>
      </w:r>
      <w:proofErr w:type="spellEnd"/>
      <w:r w:rsidR="000A4F29" w:rsidRPr="000A4F29">
        <w:t xml:space="preserve"> </w:t>
      </w:r>
      <w:proofErr w:type="spellStart"/>
      <w:r w:rsidR="000A4F29" w:rsidRPr="000A4F29">
        <w:t>Editore</w:t>
      </w:r>
      <w:proofErr w:type="spellEnd"/>
      <w:r w:rsidR="000A4F29" w:rsidRPr="000A4F29">
        <w:t>, Bologna, 2016, 103-106.</w:t>
      </w:r>
    </w:p>
    <w:p w:rsidR="001542DE" w:rsidRDefault="005116B0" w:rsidP="00300AAB">
      <w:pPr>
        <w:pStyle w:val="References"/>
      </w:pPr>
      <w:r>
        <w:t xml:space="preserve">S. </w:t>
      </w:r>
      <w:proofErr w:type="spellStart"/>
      <w:r>
        <w:t>Douvier</w:t>
      </w:r>
      <w:proofErr w:type="spellEnd"/>
      <w:r>
        <w:t xml:space="preserve">, MARPOL, Maritime Press, Bremen, 2012, </w:t>
      </w:r>
      <w:r w:rsidRPr="005116B0">
        <w:rPr>
          <w:i/>
        </w:rPr>
        <w:t>passim</w:t>
      </w:r>
      <w:r>
        <w:t xml:space="preserve">; </w:t>
      </w:r>
      <w:r w:rsidR="001542DE">
        <w:t xml:space="preserve">P. Sands – J. Peel – A. </w:t>
      </w:r>
      <w:proofErr w:type="spellStart"/>
      <w:r w:rsidR="001542DE">
        <w:t>Fabra</w:t>
      </w:r>
      <w:proofErr w:type="spellEnd"/>
      <w:r w:rsidR="001542DE">
        <w:t xml:space="preserve"> - R. Mackenzie, </w:t>
      </w:r>
      <w:r w:rsidR="001542DE" w:rsidRPr="001542DE">
        <w:t>Principles of International Environmental Law</w:t>
      </w:r>
      <w:r w:rsidR="001542DE">
        <w:t>,</w:t>
      </w:r>
      <w:r w:rsidR="0051699C">
        <w:t xml:space="preserve"> </w:t>
      </w:r>
      <w:r w:rsidR="0051699C" w:rsidRPr="0051699C">
        <w:t xml:space="preserve">third ed., </w:t>
      </w:r>
      <w:r w:rsidR="0051699C">
        <w:t>Cambridge Univer</w:t>
      </w:r>
      <w:r w:rsidR="00827943">
        <w:t xml:space="preserve">sity Press, New York, 2012, 381; T. </w:t>
      </w:r>
      <w:proofErr w:type="spellStart"/>
      <w:r w:rsidR="00827943">
        <w:t>Brinkmann</w:t>
      </w:r>
      <w:proofErr w:type="spellEnd"/>
      <w:r w:rsidR="00827943">
        <w:t>, Commentary on Directive 2000/59/EC of 27 November 2000 on Port Reception Facilities for Ship-Generated Waste and Cargo Residues, in H. Jessen – M.</w:t>
      </w:r>
      <w:r w:rsidR="00D60C10">
        <w:t>J. Werner (Eds.),</w:t>
      </w:r>
      <w:r w:rsidR="00827943">
        <w:t xml:space="preserve"> EU Transportation Law, Brussels Commentary on EU Maritime Transport Law, I, </w:t>
      </w:r>
      <w:proofErr w:type="spellStart"/>
      <w:r w:rsidR="00827943">
        <w:t>Claeys</w:t>
      </w:r>
      <w:proofErr w:type="spellEnd"/>
      <w:r w:rsidR="00827943">
        <w:t xml:space="preserve"> &amp; </w:t>
      </w:r>
      <w:proofErr w:type="spellStart"/>
      <w:r w:rsidR="00827943">
        <w:t>Casteels</w:t>
      </w:r>
      <w:proofErr w:type="spellEnd"/>
      <w:r w:rsidR="00827943">
        <w:t xml:space="preserve"> Law Publishers, Deventer – Leuven, 2016, 636 ff. </w:t>
      </w:r>
      <w:r w:rsidR="001542DE">
        <w:t xml:space="preserve"> </w:t>
      </w:r>
    </w:p>
    <w:p w:rsidR="008B115A" w:rsidRDefault="008B115A" w:rsidP="00300AAB">
      <w:pPr>
        <w:pStyle w:val="References"/>
      </w:pPr>
      <w:r w:rsidRPr="008B115A">
        <w:lastRenderedPageBreak/>
        <w:t>M</w:t>
      </w:r>
      <w:r>
        <w:t xml:space="preserve">.A. Champ, </w:t>
      </w:r>
      <w:r w:rsidRPr="008B115A">
        <w:t>Economic and environmental impacts on ports and harbors from the convention to ban harmful marine anti-fouling systems</w:t>
      </w:r>
      <w:r>
        <w:t xml:space="preserve">, </w:t>
      </w:r>
      <w:r w:rsidRPr="008B115A">
        <w:rPr>
          <w:i/>
        </w:rPr>
        <w:t>Marine Pollution Bulletin</w:t>
      </w:r>
      <w:r>
        <w:t xml:space="preserve"> </w:t>
      </w:r>
      <w:r w:rsidRPr="008B115A">
        <w:rPr>
          <w:b/>
        </w:rPr>
        <w:t>46</w:t>
      </w:r>
      <w:r w:rsidR="00827943">
        <w:t xml:space="preserve"> (2003), 935-940; O. </w:t>
      </w:r>
      <w:proofErr w:type="spellStart"/>
      <w:r w:rsidR="00827943">
        <w:t>Schinas</w:t>
      </w:r>
      <w:proofErr w:type="spellEnd"/>
      <w:r w:rsidR="00827943">
        <w:t xml:space="preserve">, Commentary on Regulation </w:t>
      </w:r>
      <w:r w:rsidR="008712CA">
        <w:t>EC/782/2003 on the Prohibition of Organotin Compounds on Ship, in H. Jessen – M.</w:t>
      </w:r>
      <w:r w:rsidR="00D60C10">
        <w:t>J. Werner (Eds.),</w:t>
      </w:r>
      <w:r w:rsidR="008712CA">
        <w:t xml:space="preserve"> EU Transportation Law, Brussels Commentary on EU Maritime Transport Law, I, </w:t>
      </w:r>
      <w:proofErr w:type="spellStart"/>
      <w:r w:rsidR="008712CA">
        <w:t>Claeys</w:t>
      </w:r>
      <w:proofErr w:type="spellEnd"/>
      <w:r w:rsidR="008712CA">
        <w:t xml:space="preserve"> &amp; </w:t>
      </w:r>
      <w:proofErr w:type="spellStart"/>
      <w:r w:rsidR="008712CA">
        <w:t>Casteels</w:t>
      </w:r>
      <w:proofErr w:type="spellEnd"/>
      <w:r w:rsidR="008712CA">
        <w:t xml:space="preserve"> Law Publishers, Deventer – London, 2016, 649 ff. </w:t>
      </w:r>
      <w:r w:rsidR="00827943">
        <w:t xml:space="preserve"> </w:t>
      </w:r>
    </w:p>
    <w:p w:rsidR="00D030E3" w:rsidRDefault="00D030E3" w:rsidP="00300AAB">
      <w:pPr>
        <w:pStyle w:val="References"/>
      </w:pPr>
      <w:r>
        <w:t xml:space="preserve">L. </w:t>
      </w:r>
      <w:proofErr w:type="spellStart"/>
      <w:r>
        <w:t>Gipperth</w:t>
      </w:r>
      <w:proofErr w:type="spellEnd"/>
      <w:r>
        <w:t xml:space="preserve">, </w:t>
      </w:r>
      <w:r w:rsidRPr="00D030E3">
        <w:t>The legal design of the international and European Union ban on tributyltin antifouling paint: Direct and indirect effect</w:t>
      </w:r>
      <w:r w:rsidR="00BE30EB">
        <w:t xml:space="preserve">, </w:t>
      </w:r>
      <w:r w:rsidR="00BE30EB" w:rsidRPr="00BE30EB">
        <w:rPr>
          <w:i/>
        </w:rPr>
        <w:t>Journal of Environmental Management</w:t>
      </w:r>
      <w:r w:rsidR="00BE30EB">
        <w:t xml:space="preserve"> </w:t>
      </w:r>
      <w:r w:rsidR="00BE30EB" w:rsidRPr="00BE30EB">
        <w:rPr>
          <w:b/>
        </w:rPr>
        <w:t xml:space="preserve">90 </w:t>
      </w:r>
      <w:r w:rsidR="00BE30EB">
        <w:rPr>
          <w:b/>
        </w:rPr>
        <w:t xml:space="preserve">S-1 </w:t>
      </w:r>
      <w:r w:rsidR="00BE30EB">
        <w:t>(2009), S86-S95.</w:t>
      </w:r>
    </w:p>
    <w:p w:rsidR="00344332" w:rsidRDefault="0028039E" w:rsidP="00300AAB">
      <w:pPr>
        <w:pStyle w:val="References"/>
      </w:pPr>
      <w:proofErr w:type="spellStart"/>
      <w:r>
        <w:t>Camarda</w:t>
      </w:r>
      <w:proofErr w:type="spellEnd"/>
      <w:r>
        <w:t xml:space="preserve"> G., Il </w:t>
      </w:r>
      <w:proofErr w:type="spellStart"/>
      <w:r>
        <w:t>soccorso</w:t>
      </w:r>
      <w:proofErr w:type="spellEnd"/>
      <w:r>
        <w:t xml:space="preserve"> in mare, </w:t>
      </w:r>
      <w:proofErr w:type="spellStart"/>
      <w:r>
        <w:t>Giuffrè</w:t>
      </w:r>
      <w:proofErr w:type="spellEnd"/>
      <w:r>
        <w:t xml:space="preserve"> </w:t>
      </w:r>
      <w:proofErr w:type="spellStart"/>
      <w:r>
        <w:t>Editore</w:t>
      </w:r>
      <w:proofErr w:type="spellEnd"/>
      <w:r>
        <w:t xml:space="preserve">, Milan, 2006, </w:t>
      </w:r>
      <w:r w:rsidRPr="0028039E">
        <w:rPr>
          <w:i/>
        </w:rPr>
        <w:t>passim</w:t>
      </w:r>
      <w:r>
        <w:t xml:space="preserve">; </w:t>
      </w:r>
      <w:r w:rsidR="001C0131">
        <w:t xml:space="preserve">A. Lefebvre </w:t>
      </w:r>
      <w:proofErr w:type="spellStart"/>
      <w:r w:rsidR="001C0131">
        <w:t>D’Ovidio</w:t>
      </w:r>
      <w:proofErr w:type="spellEnd"/>
      <w:r w:rsidR="001C0131">
        <w:t xml:space="preserve"> – G. </w:t>
      </w:r>
      <w:proofErr w:type="spellStart"/>
      <w:r w:rsidR="001C0131">
        <w:t>Pescatore</w:t>
      </w:r>
      <w:proofErr w:type="spellEnd"/>
      <w:r w:rsidR="001C0131">
        <w:t xml:space="preserve"> – L. </w:t>
      </w:r>
      <w:proofErr w:type="spellStart"/>
      <w:r w:rsidR="001C0131">
        <w:t>Tullio</w:t>
      </w:r>
      <w:proofErr w:type="spellEnd"/>
      <w:r w:rsidR="001C0131">
        <w:t xml:space="preserve">, </w:t>
      </w:r>
      <w:proofErr w:type="spellStart"/>
      <w:r w:rsidR="001C0131" w:rsidRPr="001C0131">
        <w:t>Manuale</w:t>
      </w:r>
      <w:proofErr w:type="spellEnd"/>
      <w:r w:rsidR="001C0131" w:rsidRPr="001C0131">
        <w:t xml:space="preserve"> di </w:t>
      </w:r>
      <w:proofErr w:type="spellStart"/>
      <w:r w:rsidR="001C0131" w:rsidRPr="001C0131">
        <w:t>diritto</w:t>
      </w:r>
      <w:proofErr w:type="spellEnd"/>
      <w:r w:rsidR="001C0131" w:rsidRPr="001C0131">
        <w:t xml:space="preserve"> </w:t>
      </w:r>
      <w:proofErr w:type="spellStart"/>
      <w:r w:rsidR="001C0131" w:rsidRPr="001C0131">
        <w:t>della</w:t>
      </w:r>
      <w:proofErr w:type="spellEnd"/>
      <w:r w:rsidR="001C0131" w:rsidRPr="001C0131">
        <w:t xml:space="preserve"> </w:t>
      </w:r>
      <w:proofErr w:type="spellStart"/>
      <w:r w:rsidR="001C0131" w:rsidRPr="001C0131">
        <w:t>navigazione</w:t>
      </w:r>
      <w:proofErr w:type="spellEnd"/>
      <w:r w:rsidR="001C0131">
        <w:t xml:space="preserve">, </w:t>
      </w:r>
      <w:r w:rsidR="001C0131" w:rsidRPr="001C0131">
        <w:t>twelfth</w:t>
      </w:r>
      <w:r w:rsidR="001C0131">
        <w:t xml:space="preserve"> ed., </w:t>
      </w:r>
      <w:proofErr w:type="spellStart"/>
      <w:r w:rsidR="001C0131">
        <w:t>Giuffrè</w:t>
      </w:r>
      <w:proofErr w:type="spellEnd"/>
      <w:r w:rsidR="001C0131">
        <w:t xml:space="preserve"> </w:t>
      </w:r>
      <w:proofErr w:type="spellStart"/>
      <w:r w:rsidR="001C0131">
        <w:t>Editore</w:t>
      </w:r>
      <w:proofErr w:type="spellEnd"/>
      <w:r w:rsidR="001C0131">
        <w:t xml:space="preserve">, Milan, 2011, 581-602; </w:t>
      </w:r>
      <w:r w:rsidR="00F24683">
        <w:t xml:space="preserve">I. </w:t>
      </w:r>
      <w:r w:rsidR="00F24683" w:rsidRPr="00F24683">
        <w:t xml:space="preserve">Arroyo </w:t>
      </w:r>
      <w:proofErr w:type="spellStart"/>
      <w:r w:rsidR="00F24683" w:rsidRPr="00F24683">
        <w:t>Martínez</w:t>
      </w:r>
      <w:proofErr w:type="spellEnd"/>
      <w:r w:rsidR="00F24683">
        <w:t xml:space="preserve">, </w:t>
      </w:r>
      <w:proofErr w:type="spellStart"/>
      <w:r w:rsidR="00F24683">
        <w:t>Curso</w:t>
      </w:r>
      <w:proofErr w:type="spellEnd"/>
      <w:r w:rsidR="00F24683">
        <w:t xml:space="preserve"> de </w:t>
      </w:r>
      <w:proofErr w:type="spellStart"/>
      <w:r w:rsidR="00F24683">
        <w:t>Derecho</w:t>
      </w:r>
      <w:proofErr w:type="spellEnd"/>
      <w:r w:rsidR="00F24683">
        <w:t xml:space="preserve"> </w:t>
      </w:r>
      <w:proofErr w:type="spellStart"/>
      <w:r w:rsidR="00F24683">
        <w:t>Marítimo</w:t>
      </w:r>
      <w:proofErr w:type="spellEnd"/>
      <w:r w:rsidR="00F24683">
        <w:t xml:space="preserve">, (Ley 14/2014, de </w:t>
      </w:r>
      <w:proofErr w:type="spellStart"/>
      <w:r w:rsidR="00F24683">
        <w:t>Navegación</w:t>
      </w:r>
      <w:proofErr w:type="spellEnd"/>
      <w:r w:rsidR="00F24683">
        <w:t xml:space="preserve"> </w:t>
      </w:r>
      <w:proofErr w:type="spellStart"/>
      <w:r w:rsidR="00F24683">
        <w:t>Marítima</w:t>
      </w:r>
      <w:proofErr w:type="spellEnd"/>
      <w:r w:rsidR="00F24683">
        <w:t>),</w:t>
      </w:r>
      <w:r w:rsidR="00F24683" w:rsidRPr="00F24683">
        <w:t xml:space="preserve"> </w:t>
      </w:r>
      <w:r w:rsidR="00F24683">
        <w:t xml:space="preserve">third ed., </w:t>
      </w:r>
      <w:proofErr w:type="spellStart"/>
      <w:r w:rsidR="00F24683">
        <w:t>Civ</w:t>
      </w:r>
      <w:r w:rsidR="00827943">
        <w:t>itas</w:t>
      </w:r>
      <w:proofErr w:type="spellEnd"/>
      <w:r w:rsidR="00827943">
        <w:t xml:space="preserve"> from </w:t>
      </w:r>
      <w:r w:rsidR="00F24683">
        <w:t xml:space="preserve">Thomson Reuters, </w:t>
      </w:r>
      <w:proofErr w:type="spellStart"/>
      <w:r w:rsidR="00827943">
        <w:t>Cizur</w:t>
      </w:r>
      <w:proofErr w:type="spellEnd"/>
      <w:r w:rsidR="00827943">
        <w:t xml:space="preserve"> </w:t>
      </w:r>
      <w:proofErr w:type="spellStart"/>
      <w:r w:rsidR="00827943">
        <w:t>Menor</w:t>
      </w:r>
      <w:proofErr w:type="spellEnd"/>
      <w:r w:rsidR="00827943">
        <w:t xml:space="preserve">, </w:t>
      </w:r>
      <w:r w:rsidR="00F24683">
        <w:t>2015, 733 ff.</w:t>
      </w:r>
    </w:p>
    <w:p w:rsidR="00F24683" w:rsidRDefault="00344332" w:rsidP="00300AAB">
      <w:pPr>
        <w:pStyle w:val="References"/>
      </w:pPr>
      <w:r>
        <w:t xml:space="preserve">U. </w:t>
      </w:r>
      <w:proofErr w:type="spellStart"/>
      <w:r>
        <w:t>Leanza</w:t>
      </w:r>
      <w:proofErr w:type="spellEnd"/>
      <w:r>
        <w:t xml:space="preserve">, La </w:t>
      </w:r>
      <w:proofErr w:type="spellStart"/>
      <w:r>
        <w:t>sicurezza</w:t>
      </w:r>
      <w:proofErr w:type="spellEnd"/>
      <w:r>
        <w:t xml:space="preserve"> </w:t>
      </w:r>
      <w:proofErr w:type="spellStart"/>
      <w:r>
        <w:t>marittima</w:t>
      </w:r>
      <w:proofErr w:type="spellEnd"/>
      <w:r>
        <w:t xml:space="preserve"> </w:t>
      </w:r>
      <w:proofErr w:type="spellStart"/>
      <w:r>
        <w:t>nell’ordinamento</w:t>
      </w:r>
      <w:proofErr w:type="spellEnd"/>
      <w:r>
        <w:t xml:space="preserve"> </w:t>
      </w:r>
      <w:proofErr w:type="spellStart"/>
      <w:r>
        <w:t>internazionale</w:t>
      </w:r>
      <w:proofErr w:type="spellEnd"/>
      <w:r>
        <w:t xml:space="preserve"> e </w:t>
      </w:r>
      <w:proofErr w:type="spellStart"/>
      <w:r>
        <w:t>nell’ordinamento</w:t>
      </w:r>
      <w:proofErr w:type="spellEnd"/>
      <w:r>
        <w:t xml:space="preserve"> </w:t>
      </w:r>
      <w:proofErr w:type="spellStart"/>
      <w:r>
        <w:t>italiano</w:t>
      </w:r>
      <w:proofErr w:type="spellEnd"/>
      <w:r>
        <w:t xml:space="preserve">, in U. </w:t>
      </w:r>
      <w:proofErr w:type="spellStart"/>
      <w:r>
        <w:t>Leanza</w:t>
      </w:r>
      <w:proofErr w:type="spellEnd"/>
      <w:r>
        <w:t xml:space="preserve">, </w:t>
      </w:r>
      <w:proofErr w:type="spellStart"/>
      <w:r>
        <w:t>Nuovi</w:t>
      </w:r>
      <w:proofErr w:type="spellEnd"/>
      <w:r>
        <w:t xml:space="preserve"> </w:t>
      </w:r>
      <w:proofErr w:type="spellStart"/>
      <w:r>
        <w:t>saggi</w:t>
      </w:r>
      <w:proofErr w:type="spellEnd"/>
      <w:r>
        <w:t xml:space="preserve"> di </w:t>
      </w:r>
      <w:proofErr w:type="spellStart"/>
      <w:r>
        <w:t>diritto</w:t>
      </w:r>
      <w:proofErr w:type="spellEnd"/>
      <w:r>
        <w:t xml:space="preserve"> del mare, </w:t>
      </w:r>
      <w:proofErr w:type="spellStart"/>
      <w:r>
        <w:t>Giappichelli</w:t>
      </w:r>
      <w:proofErr w:type="spellEnd"/>
      <w:r>
        <w:t xml:space="preserve"> </w:t>
      </w:r>
      <w:proofErr w:type="spellStart"/>
      <w:r>
        <w:t>Editore</w:t>
      </w:r>
      <w:proofErr w:type="spellEnd"/>
      <w:r>
        <w:t>, Turin, 1988, 277, 288 ff.</w:t>
      </w:r>
      <w:r w:rsidR="00496F44">
        <w:t xml:space="preserve">; </w:t>
      </w:r>
      <w:r w:rsidR="00496F44" w:rsidRPr="00496F44">
        <w:t xml:space="preserve">S. </w:t>
      </w:r>
      <w:proofErr w:type="spellStart"/>
      <w:r w:rsidR="00496F44" w:rsidRPr="00496F44">
        <w:t>Zunarelli</w:t>
      </w:r>
      <w:proofErr w:type="spellEnd"/>
      <w:r w:rsidR="00496F44" w:rsidRPr="00496F44">
        <w:t xml:space="preserve"> – A. </w:t>
      </w:r>
      <w:proofErr w:type="spellStart"/>
      <w:r w:rsidR="00496F44" w:rsidRPr="00496F44">
        <w:t>Romagnoli</w:t>
      </w:r>
      <w:proofErr w:type="spellEnd"/>
      <w:r w:rsidR="00496F44" w:rsidRPr="00496F44">
        <w:t xml:space="preserve">, </w:t>
      </w:r>
      <w:proofErr w:type="spellStart"/>
      <w:r w:rsidR="00496F44" w:rsidRPr="00496F44">
        <w:t>Contratto</w:t>
      </w:r>
      <w:proofErr w:type="spellEnd"/>
      <w:r w:rsidR="00496F44" w:rsidRPr="00496F44">
        <w:t xml:space="preserve"> di </w:t>
      </w:r>
      <w:proofErr w:type="spellStart"/>
      <w:r w:rsidR="00496F44" w:rsidRPr="00496F44">
        <w:t>trasporto</w:t>
      </w:r>
      <w:proofErr w:type="spellEnd"/>
      <w:r w:rsidR="00496F44" w:rsidRPr="00496F44">
        <w:t xml:space="preserve"> </w:t>
      </w:r>
      <w:proofErr w:type="spellStart"/>
      <w:r w:rsidR="00496F44" w:rsidRPr="00496F44">
        <w:t>marittimo</w:t>
      </w:r>
      <w:proofErr w:type="spellEnd"/>
      <w:r w:rsidR="00496F44" w:rsidRPr="00496F44">
        <w:t xml:space="preserve"> di </w:t>
      </w:r>
      <w:proofErr w:type="spellStart"/>
      <w:r w:rsidR="00496F44" w:rsidRPr="00496F44">
        <w:t>persone</w:t>
      </w:r>
      <w:proofErr w:type="spellEnd"/>
      <w:r w:rsidR="00496F44" w:rsidRPr="00496F44">
        <w:t xml:space="preserve">, </w:t>
      </w:r>
      <w:proofErr w:type="spellStart"/>
      <w:r w:rsidR="00496F44" w:rsidRPr="00496F44">
        <w:t>Giuffrè</w:t>
      </w:r>
      <w:proofErr w:type="spellEnd"/>
      <w:r w:rsidR="00496F44" w:rsidRPr="00496F44">
        <w:t xml:space="preserve"> </w:t>
      </w:r>
      <w:proofErr w:type="spellStart"/>
      <w:r w:rsidR="00496F44" w:rsidRPr="00496F44">
        <w:t>Editore</w:t>
      </w:r>
      <w:proofErr w:type="spellEnd"/>
      <w:r w:rsidR="00496F44" w:rsidRPr="00496F44">
        <w:t xml:space="preserve">, Milan, 2012, 121 ff.; A. </w:t>
      </w:r>
      <w:proofErr w:type="spellStart"/>
      <w:r w:rsidR="00496F44" w:rsidRPr="00496F44">
        <w:t>Ntovas</w:t>
      </w:r>
      <w:proofErr w:type="spellEnd"/>
      <w:r w:rsidR="00496F44" w:rsidRPr="00496F44">
        <w:t xml:space="preserve">, Commentary on Regulation EC/725/2004 on Enhancing Ship and Port Facility Security, in H. Jessen – M.J. Werner (Eds.), EU Transportation Law, Brussels Commentary on EU Maritime Transport Law, I, </w:t>
      </w:r>
      <w:proofErr w:type="spellStart"/>
      <w:r w:rsidR="00496F44" w:rsidRPr="00496F44">
        <w:t>Claeys</w:t>
      </w:r>
      <w:proofErr w:type="spellEnd"/>
      <w:r w:rsidR="00496F44" w:rsidRPr="00496F44">
        <w:t xml:space="preserve"> &amp; </w:t>
      </w:r>
      <w:proofErr w:type="spellStart"/>
      <w:r w:rsidR="00496F44" w:rsidRPr="00496F44">
        <w:t>Casteels</w:t>
      </w:r>
      <w:proofErr w:type="spellEnd"/>
      <w:r w:rsidR="00496F44" w:rsidRPr="00496F44">
        <w:t xml:space="preserve"> Law Publishers, Deventer – Leuven, 2016, 1114 ff.</w:t>
      </w:r>
    </w:p>
    <w:p w:rsidR="00441431" w:rsidRDefault="00446263" w:rsidP="00300AAB">
      <w:pPr>
        <w:pStyle w:val="References"/>
      </w:pPr>
      <w:r w:rsidRPr="00446263">
        <w:t xml:space="preserve">G.P. </w:t>
      </w:r>
      <w:proofErr w:type="spellStart"/>
      <w:r w:rsidRPr="00446263">
        <w:t>Pamborides</w:t>
      </w:r>
      <w:proofErr w:type="spellEnd"/>
      <w:r w:rsidRPr="00446263">
        <w:t>, International Shipping Law: Legislation and Enforcement, Kluwer Law International, The Hague – London – Boston</w:t>
      </w:r>
      <w:r>
        <w:t xml:space="preserve">, 1999, 85-88; </w:t>
      </w:r>
      <w:r w:rsidR="00441431">
        <w:t xml:space="preserve">E. </w:t>
      </w:r>
      <w:proofErr w:type="spellStart"/>
      <w:r w:rsidR="00441431">
        <w:t>Orrù</w:t>
      </w:r>
      <w:proofErr w:type="spellEnd"/>
      <w:r w:rsidR="00441431">
        <w:t xml:space="preserve">, The issues related to the juridical status of offshore oil platforms and rigs in the Law of the Sea and Maritime Law, in </w:t>
      </w:r>
      <w:r w:rsidR="00441431" w:rsidRPr="00441431">
        <w:t xml:space="preserve">M. </w:t>
      </w:r>
      <w:proofErr w:type="spellStart"/>
      <w:r w:rsidR="00441431" w:rsidRPr="00441431">
        <w:t>Musi</w:t>
      </w:r>
      <w:proofErr w:type="spellEnd"/>
      <w:r w:rsidR="00441431" w:rsidRPr="00441431">
        <w:t xml:space="preserve"> (Ed.), The Ship: an Example of Legal </w:t>
      </w:r>
      <w:proofErr w:type="spellStart"/>
      <w:r w:rsidR="00441431" w:rsidRPr="00441431">
        <w:t>Pluri</w:t>
      </w:r>
      <w:proofErr w:type="spellEnd"/>
      <w:r w:rsidR="00441431" w:rsidRPr="00441431">
        <w:t xml:space="preserve">-Qualification, Il </w:t>
      </w:r>
      <w:proofErr w:type="spellStart"/>
      <w:r w:rsidR="00441431" w:rsidRPr="00441431">
        <w:t>Diritto</w:t>
      </w:r>
      <w:proofErr w:type="spellEnd"/>
      <w:r w:rsidR="00441431" w:rsidRPr="00441431">
        <w:t xml:space="preserve"> </w:t>
      </w:r>
      <w:proofErr w:type="spellStart"/>
      <w:r w:rsidR="00441431" w:rsidRPr="00441431">
        <w:t>Marittimo</w:t>
      </w:r>
      <w:proofErr w:type="spellEnd"/>
      <w:r w:rsidR="00441431" w:rsidRPr="00441431">
        <w:t xml:space="preserve"> – </w:t>
      </w:r>
      <w:proofErr w:type="spellStart"/>
      <w:r w:rsidR="00441431" w:rsidRPr="00441431">
        <w:t>Quaderni</w:t>
      </w:r>
      <w:proofErr w:type="spellEnd"/>
      <w:r w:rsidR="00441431">
        <w:t xml:space="preserve">, </w:t>
      </w:r>
      <w:proofErr w:type="spellStart"/>
      <w:r w:rsidR="00441431">
        <w:t>Bonomo</w:t>
      </w:r>
      <w:proofErr w:type="spellEnd"/>
      <w:r w:rsidR="00441431">
        <w:t xml:space="preserve"> </w:t>
      </w:r>
      <w:proofErr w:type="spellStart"/>
      <w:r w:rsidR="00441431">
        <w:t>Editore</w:t>
      </w:r>
      <w:proofErr w:type="spellEnd"/>
      <w:r w:rsidR="00441431">
        <w:t>, Bologna, 2016, 148-149.</w:t>
      </w:r>
    </w:p>
    <w:p w:rsidR="005B14EB" w:rsidRDefault="00E927AE" w:rsidP="00300AAB">
      <w:pPr>
        <w:pStyle w:val="References"/>
      </w:pPr>
      <w:r>
        <w:t xml:space="preserve">H. </w:t>
      </w:r>
      <w:r w:rsidR="00C41001">
        <w:t xml:space="preserve">Hoppe, International Regulations for High-speed Craft an Overview, </w:t>
      </w:r>
      <w:r w:rsidR="00FB3A7F">
        <w:t xml:space="preserve">Paper for the </w:t>
      </w:r>
      <w:r w:rsidR="00FB3A7F" w:rsidRPr="00FB3A7F">
        <w:t>International</w:t>
      </w:r>
      <w:r w:rsidR="00FB3A7F">
        <w:t xml:space="preserve"> </w:t>
      </w:r>
      <w:r w:rsidR="00FB3A7F" w:rsidRPr="00FB3A7F">
        <w:t>Conference on Fast Sea Transportation</w:t>
      </w:r>
      <w:r w:rsidR="00FB3A7F">
        <w:t xml:space="preserve">, FAST’2005, </w:t>
      </w:r>
      <w:r w:rsidR="00FB3A7F" w:rsidRPr="00FB3A7F">
        <w:t>2005, St.</w:t>
      </w:r>
      <w:r w:rsidR="00FB3A7F">
        <w:t xml:space="preserve"> </w:t>
      </w:r>
      <w:r w:rsidR="00FB3A7F" w:rsidRPr="00FB3A7F">
        <w:t>Petersburg, Russia</w:t>
      </w:r>
      <w:r w:rsidR="00FB3A7F">
        <w:t xml:space="preserve">, in </w:t>
      </w:r>
      <w:r w:rsidR="00FB3A7F" w:rsidRPr="009947DD">
        <w:t>http://www.imo.org</w:t>
      </w:r>
      <w:r w:rsidR="00FB3A7F">
        <w:t xml:space="preserve">. </w:t>
      </w:r>
    </w:p>
    <w:p w:rsidR="00154FEA" w:rsidRDefault="00154FEA" w:rsidP="00300AAB">
      <w:pPr>
        <w:pStyle w:val="References"/>
      </w:pPr>
      <w:r>
        <w:t xml:space="preserve">I. Arroyo </w:t>
      </w:r>
      <w:proofErr w:type="spellStart"/>
      <w:r>
        <w:t>Martínez</w:t>
      </w:r>
      <w:proofErr w:type="spellEnd"/>
      <w:r>
        <w:t xml:space="preserve">, International Maritime Conventions, </w:t>
      </w:r>
      <w:r w:rsidR="00304DA9" w:rsidRPr="00304DA9">
        <w:t>Kluwer Law and Taxation Publishers</w:t>
      </w:r>
      <w:r w:rsidR="00304DA9">
        <w:t xml:space="preserve">, </w:t>
      </w:r>
      <w:r>
        <w:t>Deventer – Boston, 1991, 945 ff.</w:t>
      </w:r>
    </w:p>
    <w:p w:rsidR="00BB6AA4" w:rsidRDefault="00BB6AA4" w:rsidP="00300AAB">
      <w:pPr>
        <w:pStyle w:val="References"/>
      </w:pPr>
      <w:r>
        <w:t xml:space="preserve">S. </w:t>
      </w:r>
      <w:proofErr w:type="spellStart"/>
      <w:r>
        <w:t>Pollastrelli</w:t>
      </w:r>
      <w:proofErr w:type="spellEnd"/>
      <w:r>
        <w:t xml:space="preserve">, </w:t>
      </w:r>
      <w:proofErr w:type="spellStart"/>
      <w:r>
        <w:t>L’applicazione</w:t>
      </w:r>
      <w:proofErr w:type="spellEnd"/>
      <w:r>
        <w:t xml:space="preserve"> </w:t>
      </w:r>
      <w:proofErr w:type="spellStart"/>
      <w:r>
        <w:t>delle</w:t>
      </w:r>
      <w:proofErr w:type="spellEnd"/>
      <w:r>
        <w:t xml:space="preserve"> </w:t>
      </w:r>
      <w:r w:rsidRPr="00BB6AA4">
        <w:t xml:space="preserve">“COLREGS 1972” e </w:t>
      </w:r>
      <w:proofErr w:type="spellStart"/>
      <w:r w:rsidRPr="00BB6AA4">
        <w:t>il</w:t>
      </w:r>
      <w:proofErr w:type="spellEnd"/>
      <w:r w:rsidRPr="00BB6AA4">
        <w:t xml:space="preserve"> principio di </w:t>
      </w:r>
      <w:proofErr w:type="spellStart"/>
      <w:r w:rsidRPr="00BB6AA4">
        <w:t>autonomia</w:t>
      </w:r>
      <w:proofErr w:type="spellEnd"/>
      <w:r w:rsidRPr="00BB6AA4">
        <w:t xml:space="preserve"> </w:t>
      </w:r>
      <w:proofErr w:type="spellStart"/>
      <w:r w:rsidRPr="00BB6AA4">
        <w:t>con</w:t>
      </w:r>
      <w:r>
        <w:t>trattuale</w:t>
      </w:r>
      <w:proofErr w:type="spellEnd"/>
      <w:r>
        <w:t xml:space="preserve">, nota a U.S. Court of </w:t>
      </w:r>
      <w:r w:rsidRPr="00BB6AA4">
        <w:t>Appeals, N</w:t>
      </w:r>
      <w:r>
        <w:t xml:space="preserve">inth Circuit, 8 </w:t>
      </w:r>
      <w:proofErr w:type="spellStart"/>
      <w:r>
        <w:t>maggio</w:t>
      </w:r>
      <w:proofErr w:type="spellEnd"/>
      <w:r>
        <w:t xml:space="preserve"> 2006, </w:t>
      </w:r>
      <w:r w:rsidRPr="00BB6AA4">
        <w:rPr>
          <w:i/>
        </w:rPr>
        <w:t>Dir. mar.</w:t>
      </w:r>
      <w:r w:rsidRPr="00BB6AA4">
        <w:t xml:space="preserve"> </w:t>
      </w:r>
      <w:r>
        <w:t>(</w:t>
      </w:r>
      <w:r w:rsidRPr="00BB6AA4">
        <w:t>2007</w:t>
      </w:r>
      <w:r>
        <w:t>)</w:t>
      </w:r>
      <w:r w:rsidRPr="00BB6AA4">
        <w:t>, 558</w:t>
      </w:r>
      <w:r>
        <w:t xml:space="preserve">; S. </w:t>
      </w:r>
      <w:proofErr w:type="spellStart"/>
      <w:r>
        <w:t>Pollastrelli</w:t>
      </w:r>
      <w:proofErr w:type="spellEnd"/>
      <w:r>
        <w:t xml:space="preserve">, </w:t>
      </w:r>
      <w:proofErr w:type="spellStart"/>
      <w:r>
        <w:t>L’urto</w:t>
      </w:r>
      <w:proofErr w:type="spellEnd"/>
      <w:r>
        <w:t xml:space="preserve"> di </w:t>
      </w:r>
      <w:proofErr w:type="spellStart"/>
      <w:r>
        <w:t>navi</w:t>
      </w:r>
      <w:proofErr w:type="spellEnd"/>
      <w:r>
        <w:t xml:space="preserve">, in A. </w:t>
      </w:r>
      <w:proofErr w:type="spellStart"/>
      <w:r>
        <w:t>Antonini</w:t>
      </w:r>
      <w:proofErr w:type="spellEnd"/>
      <w:r>
        <w:t xml:space="preserve"> (Ed.), </w:t>
      </w:r>
      <w:proofErr w:type="spellStart"/>
      <w:r>
        <w:t>Trattato</w:t>
      </w:r>
      <w:proofErr w:type="spellEnd"/>
      <w:r>
        <w:t xml:space="preserve"> </w:t>
      </w:r>
      <w:proofErr w:type="spellStart"/>
      <w:r>
        <w:t>breve</w:t>
      </w:r>
      <w:proofErr w:type="spellEnd"/>
      <w:r>
        <w:t xml:space="preserve"> di </w:t>
      </w:r>
      <w:proofErr w:type="spellStart"/>
      <w:r>
        <w:t>diritto</w:t>
      </w:r>
      <w:proofErr w:type="spellEnd"/>
      <w:r>
        <w:t xml:space="preserve"> </w:t>
      </w:r>
      <w:proofErr w:type="spellStart"/>
      <w:r>
        <w:t>marittimo</w:t>
      </w:r>
      <w:proofErr w:type="spellEnd"/>
      <w:r>
        <w:t xml:space="preserve">, III, </w:t>
      </w:r>
      <w:proofErr w:type="spellStart"/>
      <w:r w:rsidR="00A74904">
        <w:t>Giuffrè</w:t>
      </w:r>
      <w:proofErr w:type="spellEnd"/>
      <w:r>
        <w:t xml:space="preserve"> </w:t>
      </w:r>
      <w:proofErr w:type="spellStart"/>
      <w:r>
        <w:t>Editore</w:t>
      </w:r>
      <w:proofErr w:type="spellEnd"/>
      <w:r>
        <w:t>, Milan, 2014, 241.</w:t>
      </w:r>
    </w:p>
    <w:p w:rsidR="00A95337" w:rsidRDefault="00776120" w:rsidP="00300AAB">
      <w:pPr>
        <w:pStyle w:val="References"/>
      </w:pPr>
      <w:r>
        <w:t xml:space="preserve">S. </w:t>
      </w:r>
      <w:proofErr w:type="spellStart"/>
      <w:r>
        <w:t>Zunarelli</w:t>
      </w:r>
      <w:proofErr w:type="spellEnd"/>
      <w:r>
        <w:t xml:space="preserve"> – A. </w:t>
      </w:r>
      <w:proofErr w:type="spellStart"/>
      <w:r>
        <w:t>Romagnoli</w:t>
      </w:r>
      <w:proofErr w:type="spellEnd"/>
      <w:r>
        <w:t xml:space="preserve">, </w:t>
      </w:r>
      <w:proofErr w:type="spellStart"/>
      <w:r>
        <w:t>Contratto</w:t>
      </w:r>
      <w:proofErr w:type="spellEnd"/>
      <w:r>
        <w:t xml:space="preserve"> di </w:t>
      </w:r>
      <w:proofErr w:type="spellStart"/>
      <w:r>
        <w:t>trasporto</w:t>
      </w:r>
      <w:proofErr w:type="spellEnd"/>
      <w:r>
        <w:t xml:space="preserve"> </w:t>
      </w:r>
      <w:proofErr w:type="spellStart"/>
      <w:r>
        <w:t>marittimo</w:t>
      </w:r>
      <w:proofErr w:type="spellEnd"/>
      <w:r>
        <w:t xml:space="preserve"> di </w:t>
      </w:r>
      <w:proofErr w:type="spellStart"/>
      <w:r>
        <w:t>persone</w:t>
      </w:r>
      <w:proofErr w:type="spellEnd"/>
      <w:r>
        <w:t xml:space="preserve">, </w:t>
      </w:r>
      <w:proofErr w:type="spellStart"/>
      <w:r>
        <w:t>Giuffrè</w:t>
      </w:r>
      <w:proofErr w:type="spellEnd"/>
      <w:r>
        <w:t xml:space="preserve"> </w:t>
      </w:r>
      <w:proofErr w:type="spellStart"/>
      <w:r>
        <w:t>Editore</w:t>
      </w:r>
      <w:proofErr w:type="spellEnd"/>
      <w:r>
        <w:t>, Milan, 2012</w:t>
      </w:r>
      <w:r w:rsidR="00B66008">
        <w:t xml:space="preserve">, 159-166; </w:t>
      </w:r>
      <w:r w:rsidR="00433981" w:rsidRPr="00433981">
        <w:t xml:space="preserve">A. </w:t>
      </w:r>
      <w:proofErr w:type="spellStart"/>
      <w:r w:rsidR="00433981" w:rsidRPr="00433981">
        <w:t>Mandaraka</w:t>
      </w:r>
      <w:proofErr w:type="spellEnd"/>
      <w:r w:rsidR="00433981" w:rsidRPr="00433981">
        <w:t xml:space="preserve">-Sheppard, Modern Maritime Law Volume 2: Managing Risks and Liabilities, third ed., </w:t>
      </w:r>
      <w:proofErr w:type="spellStart"/>
      <w:r w:rsidR="001A065D">
        <w:t>Informa</w:t>
      </w:r>
      <w:proofErr w:type="spellEnd"/>
      <w:r w:rsidR="001A065D">
        <w:t xml:space="preserve"> Law from </w:t>
      </w:r>
      <w:r w:rsidR="00433981" w:rsidRPr="00433981">
        <w:t>Routledge, Oxon – New York, 2013, 53</w:t>
      </w:r>
      <w:r w:rsidR="00656207">
        <w:t>.</w:t>
      </w:r>
    </w:p>
    <w:p w:rsidR="00446263" w:rsidRDefault="00DD63F2" w:rsidP="00300AAB">
      <w:pPr>
        <w:pStyle w:val="References"/>
      </w:pPr>
      <w:r>
        <w:t xml:space="preserve">F. </w:t>
      </w:r>
      <w:proofErr w:type="spellStart"/>
      <w:r>
        <w:t>Lorenzon</w:t>
      </w:r>
      <w:proofErr w:type="spellEnd"/>
      <w:r>
        <w:t xml:space="preserve">, Safety and Compliance, in Y. </w:t>
      </w:r>
      <w:proofErr w:type="spellStart"/>
      <w:r>
        <w:t>Baatz</w:t>
      </w:r>
      <w:proofErr w:type="spellEnd"/>
      <w:r>
        <w:t xml:space="preserve"> (Ed.), Maritime Law, </w:t>
      </w:r>
      <w:r w:rsidRPr="00DD63F2">
        <w:t xml:space="preserve">third ed., </w:t>
      </w:r>
      <w:proofErr w:type="spellStart"/>
      <w:r w:rsidRPr="00DD63F2">
        <w:t>Informa</w:t>
      </w:r>
      <w:proofErr w:type="spellEnd"/>
      <w:r w:rsidRPr="00DD63F2">
        <w:t xml:space="preserve"> Law from </w:t>
      </w:r>
      <w:r>
        <w:t xml:space="preserve">Routledge, Oxon – New York, 2014, 352-356; </w:t>
      </w:r>
      <w:r w:rsidR="00B32B17" w:rsidRPr="00B32B17">
        <w:t xml:space="preserve">S. </w:t>
      </w:r>
      <w:proofErr w:type="spellStart"/>
      <w:r w:rsidR="00B32B17" w:rsidRPr="00B32B17">
        <w:t>Zunarelli</w:t>
      </w:r>
      <w:proofErr w:type="spellEnd"/>
      <w:r w:rsidR="00B32B17" w:rsidRPr="00B32B17">
        <w:t xml:space="preserve"> – M.M. </w:t>
      </w:r>
      <w:proofErr w:type="spellStart"/>
      <w:r w:rsidR="00B32B17" w:rsidRPr="00B32B17">
        <w:t>Comenale</w:t>
      </w:r>
      <w:proofErr w:type="spellEnd"/>
      <w:r w:rsidR="00B32B17" w:rsidRPr="00B32B17">
        <w:t xml:space="preserve"> Pinto, </w:t>
      </w:r>
      <w:proofErr w:type="spellStart"/>
      <w:r w:rsidR="00B32B17" w:rsidRPr="00B32B17">
        <w:t>Manuale</w:t>
      </w:r>
      <w:proofErr w:type="spellEnd"/>
      <w:r w:rsidR="00B32B17" w:rsidRPr="00B32B17">
        <w:t xml:space="preserve"> di </w:t>
      </w:r>
      <w:proofErr w:type="spellStart"/>
      <w:r w:rsidR="00B32B17" w:rsidRPr="00B32B17">
        <w:t>diritto</w:t>
      </w:r>
      <w:proofErr w:type="spellEnd"/>
      <w:r w:rsidR="00B32B17" w:rsidRPr="00B32B17">
        <w:t xml:space="preserve"> </w:t>
      </w:r>
      <w:proofErr w:type="spellStart"/>
      <w:r w:rsidR="00B32B17" w:rsidRPr="00B32B17">
        <w:t>della</w:t>
      </w:r>
      <w:proofErr w:type="spellEnd"/>
      <w:r w:rsidR="00B32B17" w:rsidRPr="00B32B17">
        <w:t xml:space="preserve"> </w:t>
      </w:r>
      <w:proofErr w:type="spellStart"/>
      <w:r w:rsidR="00B32B17" w:rsidRPr="00B32B17">
        <w:t>navigazione</w:t>
      </w:r>
      <w:proofErr w:type="spellEnd"/>
      <w:r w:rsidR="00B32B17" w:rsidRPr="00B32B17">
        <w:t xml:space="preserve"> e </w:t>
      </w:r>
      <w:proofErr w:type="spellStart"/>
      <w:r w:rsidR="00B32B17" w:rsidRPr="00B32B17">
        <w:t>dei</w:t>
      </w:r>
      <w:proofErr w:type="spellEnd"/>
      <w:r w:rsidR="00B32B17" w:rsidRPr="00B32B17">
        <w:t xml:space="preserve"> </w:t>
      </w:r>
      <w:proofErr w:type="spellStart"/>
      <w:r w:rsidR="00B32B17" w:rsidRPr="00B32B17">
        <w:t>trasporti</w:t>
      </w:r>
      <w:proofErr w:type="spellEnd"/>
      <w:r w:rsidR="00B32B17" w:rsidRPr="00B32B17">
        <w:t>, I, third ed., Wolters Kluwer Italia – CEDAM, Assago (MI), 2016, 101-102.</w:t>
      </w:r>
    </w:p>
    <w:p w:rsidR="00433981" w:rsidRDefault="00A95337" w:rsidP="00300AAB">
      <w:pPr>
        <w:pStyle w:val="References"/>
      </w:pPr>
      <w:r>
        <w:t>A.E. Branch – M. Robarts, Branch’s Elements of Shipping,</w:t>
      </w:r>
      <w:r w:rsidRPr="00A95337">
        <w:t xml:space="preserve"> </w:t>
      </w:r>
      <w:r>
        <w:t xml:space="preserve">ninth ed., </w:t>
      </w:r>
      <w:proofErr w:type="spellStart"/>
      <w:r w:rsidRPr="00A95337">
        <w:t>Informa</w:t>
      </w:r>
      <w:proofErr w:type="spellEnd"/>
      <w:r w:rsidRPr="00A95337">
        <w:t xml:space="preserve"> Law from Rout</w:t>
      </w:r>
      <w:r>
        <w:t>ledge, London – New York, 2014, 19-20.</w:t>
      </w:r>
      <w:r w:rsidR="00776120">
        <w:t xml:space="preserve"> </w:t>
      </w:r>
    </w:p>
    <w:p w:rsidR="003E64CE" w:rsidRDefault="003E64CE" w:rsidP="00300AAB">
      <w:pPr>
        <w:pStyle w:val="References"/>
      </w:pPr>
      <w:r w:rsidRPr="003E64CE">
        <w:t xml:space="preserve">R. Coles, Yacht Registration, in F. </w:t>
      </w:r>
      <w:proofErr w:type="spellStart"/>
      <w:r w:rsidRPr="003E64CE">
        <w:t>Lorenzon</w:t>
      </w:r>
      <w:proofErr w:type="spellEnd"/>
      <w:r w:rsidRPr="003E64CE">
        <w:t xml:space="preserve"> – R. Coles</w:t>
      </w:r>
      <w:r w:rsidR="00CE6110">
        <w:t xml:space="preserve"> (Eds.)</w:t>
      </w:r>
      <w:r w:rsidRPr="003E64CE">
        <w:t xml:space="preserve">, The Law of Yachts and Yachting, </w:t>
      </w:r>
      <w:r w:rsidR="007A4809">
        <w:t xml:space="preserve">first ed., </w:t>
      </w:r>
      <w:proofErr w:type="spellStart"/>
      <w:r w:rsidRPr="003E64CE">
        <w:t>Informa</w:t>
      </w:r>
      <w:proofErr w:type="spellEnd"/>
      <w:r w:rsidRPr="003E64CE">
        <w:t xml:space="preserve"> Law from Routledge,</w:t>
      </w:r>
      <w:r>
        <w:t xml:space="preserve"> London – New York, 2012, 22; F. </w:t>
      </w:r>
      <w:proofErr w:type="spellStart"/>
      <w:r>
        <w:t>Lorenzon</w:t>
      </w:r>
      <w:proofErr w:type="spellEnd"/>
      <w:r>
        <w:t>, Yacht-Building Contracts</w:t>
      </w:r>
      <w:r w:rsidRPr="003E64CE">
        <w:t xml:space="preserve">, in F. </w:t>
      </w:r>
      <w:proofErr w:type="spellStart"/>
      <w:r w:rsidRPr="003E64CE">
        <w:t>Lorenzon</w:t>
      </w:r>
      <w:proofErr w:type="spellEnd"/>
      <w:r w:rsidRPr="003E64CE">
        <w:t xml:space="preserve"> – R. Coles</w:t>
      </w:r>
      <w:r w:rsidR="00CE6110">
        <w:t xml:space="preserve"> (Eds.)</w:t>
      </w:r>
      <w:r w:rsidRPr="003E64CE">
        <w:t xml:space="preserve">, The Law of Yachts and Yachting, </w:t>
      </w:r>
      <w:r w:rsidR="007A4809">
        <w:t xml:space="preserve">first ed., </w:t>
      </w:r>
      <w:proofErr w:type="spellStart"/>
      <w:r w:rsidRPr="003E64CE">
        <w:t>Informa</w:t>
      </w:r>
      <w:proofErr w:type="spellEnd"/>
      <w:r w:rsidRPr="003E64CE">
        <w:t xml:space="preserve"> Law from Routledge, </w:t>
      </w:r>
      <w:r>
        <w:t>London – New York, 2012, 18.</w:t>
      </w:r>
    </w:p>
    <w:p w:rsidR="00F43D31" w:rsidRDefault="005B14EB" w:rsidP="00300AAB">
      <w:pPr>
        <w:pStyle w:val="References"/>
      </w:pPr>
      <w:r>
        <w:t xml:space="preserve">F. </w:t>
      </w:r>
      <w:proofErr w:type="spellStart"/>
      <w:r>
        <w:t>Lorenzon</w:t>
      </w:r>
      <w:proofErr w:type="spellEnd"/>
      <w:r>
        <w:t xml:space="preserve">, </w:t>
      </w:r>
      <w:r w:rsidR="002945BC" w:rsidRPr="003E64CE">
        <w:t>LY2</w:t>
      </w:r>
      <w:r w:rsidRPr="003E64CE">
        <w:t>: Safety a</w:t>
      </w:r>
      <w:r w:rsidR="002945BC" w:rsidRPr="003E64CE">
        <w:t xml:space="preserve">nd Compliance for </w:t>
      </w:r>
      <w:proofErr w:type="spellStart"/>
      <w:r w:rsidR="002945BC" w:rsidRPr="003E64CE">
        <w:t>SuperYachts</w:t>
      </w:r>
      <w:proofErr w:type="spellEnd"/>
      <w:r w:rsidR="002945BC">
        <w:t xml:space="preserve">, </w:t>
      </w:r>
      <w:r>
        <w:t xml:space="preserve">in </w:t>
      </w:r>
      <w:r w:rsidR="002945BC">
        <w:t xml:space="preserve">F. </w:t>
      </w:r>
      <w:proofErr w:type="spellStart"/>
      <w:r w:rsidR="002945BC">
        <w:t>Lorenzon</w:t>
      </w:r>
      <w:proofErr w:type="spellEnd"/>
      <w:r w:rsidR="002945BC">
        <w:t xml:space="preserve"> – R. Coles</w:t>
      </w:r>
      <w:r w:rsidR="00CE6110">
        <w:t xml:space="preserve"> (Eds.)</w:t>
      </w:r>
      <w:r w:rsidR="002945BC">
        <w:t xml:space="preserve">, </w:t>
      </w:r>
      <w:r w:rsidR="002945BC" w:rsidRPr="003E64CE">
        <w:t>The Law of Yachts and Yachting</w:t>
      </w:r>
      <w:r w:rsidR="002945BC">
        <w:t xml:space="preserve">, </w:t>
      </w:r>
      <w:r w:rsidR="007A4809">
        <w:t xml:space="preserve">first ed., </w:t>
      </w:r>
      <w:proofErr w:type="spellStart"/>
      <w:r w:rsidR="001A065D">
        <w:t>Informa</w:t>
      </w:r>
      <w:proofErr w:type="spellEnd"/>
      <w:r w:rsidR="001A065D">
        <w:t xml:space="preserve"> Law from </w:t>
      </w:r>
      <w:r w:rsidR="002945BC">
        <w:t>Routledge, London – New York, 2012</w:t>
      </w:r>
      <w:r>
        <w:t>, 253</w:t>
      </w:r>
      <w:r w:rsidR="001A065D">
        <w:t>-264</w:t>
      </w:r>
      <w:r>
        <w:t>.</w:t>
      </w:r>
    </w:p>
    <w:p w:rsidR="002945BC" w:rsidRDefault="004D59CF" w:rsidP="00300AAB">
      <w:pPr>
        <w:pStyle w:val="References"/>
      </w:pPr>
      <w:r>
        <w:t xml:space="preserve">F. </w:t>
      </w:r>
      <w:proofErr w:type="spellStart"/>
      <w:r w:rsidR="00B32B17">
        <w:t>Munari</w:t>
      </w:r>
      <w:proofErr w:type="spellEnd"/>
      <w:r w:rsidR="00B32B17">
        <w:t xml:space="preserve"> – L. </w:t>
      </w:r>
      <w:proofErr w:type="spellStart"/>
      <w:r w:rsidR="00B32B17">
        <w:t>Schiano</w:t>
      </w:r>
      <w:proofErr w:type="spellEnd"/>
      <w:r w:rsidR="00B32B17">
        <w:t xml:space="preserve"> di </w:t>
      </w:r>
      <w:proofErr w:type="spellStart"/>
      <w:r w:rsidR="00B32B17">
        <w:t>Pepe</w:t>
      </w:r>
      <w:proofErr w:type="spellEnd"/>
      <w:r w:rsidR="00B32B17">
        <w:t xml:space="preserve">, </w:t>
      </w:r>
      <w:r w:rsidR="00B32B17" w:rsidRPr="00B32B17">
        <w:t xml:space="preserve">Standard di </w:t>
      </w:r>
      <w:proofErr w:type="spellStart"/>
      <w:r w:rsidR="00B32B17" w:rsidRPr="00B32B17">
        <w:t>t</w:t>
      </w:r>
      <w:r>
        <w:t>utela</w:t>
      </w:r>
      <w:proofErr w:type="spellEnd"/>
      <w:r>
        <w:t xml:space="preserve"> </w:t>
      </w:r>
      <w:proofErr w:type="spellStart"/>
      <w:r>
        <w:t>dei</w:t>
      </w:r>
      <w:proofErr w:type="spellEnd"/>
      <w:r>
        <w:t xml:space="preserve"> </w:t>
      </w:r>
      <w:proofErr w:type="spellStart"/>
      <w:r>
        <w:t>lavoratori</w:t>
      </w:r>
      <w:proofErr w:type="spellEnd"/>
      <w:r>
        <w:t xml:space="preserve"> </w:t>
      </w:r>
      <w:proofErr w:type="spellStart"/>
      <w:r>
        <w:t>marittimi</w:t>
      </w:r>
      <w:proofErr w:type="spellEnd"/>
      <w:r>
        <w:t xml:space="preserve">: </w:t>
      </w:r>
      <w:proofErr w:type="spellStart"/>
      <w:r w:rsidR="00B32B17" w:rsidRPr="00B32B17">
        <w:t>profili</w:t>
      </w:r>
      <w:proofErr w:type="spellEnd"/>
      <w:r w:rsidR="00B32B17" w:rsidRPr="00B32B17">
        <w:t xml:space="preserve"> </w:t>
      </w:r>
      <w:proofErr w:type="spellStart"/>
      <w:r w:rsidR="00B32B17" w:rsidRPr="00B32B17">
        <w:t>sostanziali</w:t>
      </w:r>
      <w:proofErr w:type="spellEnd"/>
      <w:r w:rsidR="00B32B17" w:rsidRPr="00B32B17">
        <w:t xml:space="preserve"> e </w:t>
      </w:r>
      <w:proofErr w:type="spellStart"/>
      <w:r w:rsidR="00B32B17" w:rsidRPr="00B32B17">
        <w:t>internaziona</w:t>
      </w:r>
      <w:r>
        <w:t>lprivatistici</w:t>
      </w:r>
      <w:proofErr w:type="spellEnd"/>
      <w:r>
        <w:t xml:space="preserve"> </w:t>
      </w:r>
      <w:proofErr w:type="spellStart"/>
      <w:r>
        <w:t>nel</w:t>
      </w:r>
      <w:proofErr w:type="spellEnd"/>
      <w:r>
        <w:t xml:space="preserve"> </w:t>
      </w:r>
      <w:proofErr w:type="spellStart"/>
      <w:r>
        <w:t>diritto</w:t>
      </w:r>
      <w:proofErr w:type="spellEnd"/>
      <w:r>
        <w:t xml:space="preserve"> </w:t>
      </w:r>
      <w:proofErr w:type="spellStart"/>
      <w:r>
        <w:t>dell'U</w:t>
      </w:r>
      <w:r w:rsidR="00B32B17" w:rsidRPr="00B32B17">
        <w:t>nione</w:t>
      </w:r>
      <w:proofErr w:type="spellEnd"/>
      <w:r w:rsidR="00B32B17" w:rsidRPr="00B32B17">
        <w:t xml:space="preserve"> </w:t>
      </w:r>
      <w:proofErr w:type="spellStart"/>
      <w:r w:rsidR="00B32B17" w:rsidRPr="00B32B17">
        <w:t>Europea</w:t>
      </w:r>
      <w:proofErr w:type="spellEnd"/>
      <w:r>
        <w:t xml:space="preserve">, </w:t>
      </w:r>
      <w:r w:rsidRPr="004D59CF">
        <w:rPr>
          <w:i/>
        </w:rPr>
        <w:t>Riv. int. dir. priv.</w:t>
      </w:r>
      <w:r>
        <w:t xml:space="preserve"> </w:t>
      </w:r>
      <w:r w:rsidRPr="004D59CF">
        <w:rPr>
          <w:b/>
        </w:rPr>
        <w:t>48</w:t>
      </w:r>
      <w:r>
        <w:t xml:space="preserve"> (2012), 42; </w:t>
      </w:r>
      <w:r w:rsidR="00433981">
        <w:t xml:space="preserve">M. </w:t>
      </w:r>
      <w:proofErr w:type="spellStart"/>
      <w:r w:rsidR="00433981">
        <w:t>Bek</w:t>
      </w:r>
      <w:proofErr w:type="spellEnd"/>
      <w:r w:rsidR="00433981">
        <w:t xml:space="preserve">, Yachting and the Maritime </w:t>
      </w:r>
      <w:proofErr w:type="spellStart"/>
      <w:r w:rsidR="00433981">
        <w:t>Labour</w:t>
      </w:r>
      <w:proofErr w:type="spellEnd"/>
      <w:r w:rsidR="00433981">
        <w:t xml:space="preserve"> Convention 2006, in J. Lavelle (Ed.),</w:t>
      </w:r>
      <w:r w:rsidR="00F43D31">
        <w:t xml:space="preserve"> </w:t>
      </w:r>
      <w:r w:rsidR="00433981" w:rsidRPr="00433981">
        <w:t xml:space="preserve">The Maritime </w:t>
      </w:r>
      <w:proofErr w:type="spellStart"/>
      <w:r w:rsidR="00433981" w:rsidRPr="00433981">
        <w:t>Labour</w:t>
      </w:r>
      <w:proofErr w:type="spellEnd"/>
      <w:r w:rsidR="00433981" w:rsidRPr="00433981">
        <w:t xml:space="preserve"> Convention 2006: International </w:t>
      </w:r>
      <w:proofErr w:type="spellStart"/>
      <w:r w:rsidR="00433981" w:rsidRPr="00433981">
        <w:t>Labour</w:t>
      </w:r>
      <w:proofErr w:type="spellEnd"/>
      <w:r w:rsidR="00433981" w:rsidRPr="00433981">
        <w:t xml:space="preserve"> Law Redefined</w:t>
      </w:r>
      <w:r w:rsidR="00433981">
        <w:t xml:space="preserve">, </w:t>
      </w:r>
      <w:proofErr w:type="spellStart"/>
      <w:r w:rsidR="001A065D">
        <w:t>Informa</w:t>
      </w:r>
      <w:proofErr w:type="spellEnd"/>
      <w:r w:rsidR="001A065D">
        <w:t xml:space="preserve"> Law from </w:t>
      </w:r>
      <w:r w:rsidR="00F43D31">
        <w:t>Routl</w:t>
      </w:r>
      <w:r w:rsidR="00433981">
        <w:t>edge, Oxon – New York, 2014</w:t>
      </w:r>
      <w:r w:rsidR="00072011">
        <w:t xml:space="preserve">, 69-93; F. </w:t>
      </w:r>
      <w:proofErr w:type="spellStart"/>
      <w:r w:rsidR="00072011">
        <w:t>Mandin</w:t>
      </w:r>
      <w:proofErr w:type="spellEnd"/>
      <w:r w:rsidR="00072011">
        <w:t xml:space="preserve">, </w:t>
      </w:r>
      <w:r w:rsidR="00072011" w:rsidRPr="00072011">
        <w:t xml:space="preserve">The Ship Master and the Maritime </w:t>
      </w:r>
      <w:proofErr w:type="spellStart"/>
      <w:r w:rsidR="00072011" w:rsidRPr="00072011">
        <w:t>Labour</w:t>
      </w:r>
      <w:proofErr w:type="spellEnd"/>
      <w:r w:rsidR="00072011" w:rsidRPr="00072011">
        <w:t xml:space="preserve"> Convention</w:t>
      </w:r>
      <w:r w:rsidR="00072011">
        <w:t xml:space="preserve">, in P. </w:t>
      </w:r>
      <w:proofErr w:type="spellStart"/>
      <w:r w:rsidR="00072011">
        <w:t>Chaumette</w:t>
      </w:r>
      <w:proofErr w:type="spellEnd"/>
      <w:r w:rsidR="000801F3">
        <w:t xml:space="preserve"> (Ed.)</w:t>
      </w:r>
      <w:r w:rsidR="00072011">
        <w:t xml:space="preserve">, </w:t>
      </w:r>
      <w:r w:rsidR="00072011" w:rsidRPr="00072011">
        <w:t xml:space="preserve">Seafarers: an international </w:t>
      </w:r>
      <w:proofErr w:type="spellStart"/>
      <w:r w:rsidR="00072011" w:rsidRPr="00072011">
        <w:t>labour</w:t>
      </w:r>
      <w:proofErr w:type="spellEnd"/>
      <w:r w:rsidR="00072011" w:rsidRPr="00072011">
        <w:t xml:space="preserve"> market in perspective</w:t>
      </w:r>
      <w:r w:rsidR="00072011">
        <w:t xml:space="preserve">, Editorial </w:t>
      </w:r>
      <w:proofErr w:type="spellStart"/>
      <w:r w:rsidR="00072011">
        <w:t>Gomylex</w:t>
      </w:r>
      <w:proofErr w:type="spellEnd"/>
      <w:r w:rsidR="00072011">
        <w:t>,</w:t>
      </w:r>
      <w:r w:rsidR="000801F3">
        <w:t xml:space="preserve"> Bilbao,</w:t>
      </w:r>
      <w:r w:rsidR="00072011">
        <w:t xml:space="preserve"> 2016, </w:t>
      </w:r>
      <w:r w:rsidR="00072011" w:rsidRPr="00072011">
        <w:t>217-238</w:t>
      </w:r>
      <w:r w:rsidR="00072011">
        <w:t>.</w:t>
      </w:r>
    </w:p>
    <w:p w:rsidR="00164CB4" w:rsidRDefault="008D20D8" w:rsidP="00300AAB">
      <w:pPr>
        <w:pStyle w:val="References"/>
      </w:pPr>
      <w:r>
        <w:t xml:space="preserve">P. </w:t>
      </w:r>
      <w:proofErr w:type="spellStart"/>
      <w:r>
        <w:t>Wysocki</w:t>
      </w:r>
      <w:proofErr w:type="spellEnd"/>
      <w:r>
        <w:t xml:space="preserve">, Employment and Manning, </w:t>
      </w:r>
      <w:r w:rsidR="00164CB4" w:rsidRPr="00164CB4">
        <w:t xml:space="preserve">in F. </w:t>
      </w:r>
      <w:proofErr w:type="spellStart"/>
      <w:r w:rsidR="00164CB4" w:rsidRPr="00164CB4">
        <w:t>Lorenzon</w:t>
      </w:r>
      <w:proofErr w:type="spellEnd"/>
      <w:r w:rsidR="00164CB4" w:rsidRPr="00164CB4">
        <w:t xml:space="preserve"> – R. Coles</w:t>
      </w:r>
      <w:r w:rsidR="00CE6110">
        <w:t xml:space="preserve"> (Eds.)</w:t>
      </w:r>
      <w:r w:rsidR="00164CB4" w:rsidRPr="00164CB4">
        <w:t xml:space="preserve">, The Law of Yachts and Yachting, </w:t>
      </w:r>
      <w:r w:rsidR="007A4809">
        <w:t xml:space="preserve">first ed., </w:t>
      </w:r>
      <w:proofErr w:type="spellStart"/>
      <w:r w:rsidR="00164CB4" w:rsidRPr="00164CB4">
        <w:t>Informa</w:t>
      </w:r>
      <w:proofErr w:type="spellEnd"/>
      <w:r w:rsidR="00164CB4" w:rsidRPr="00164CB4">
        <w:t xml:space="preserve"> Law from Routledge, L</w:t>
      </w:r>
      <w:r w:rsidR="00164CB4">
        <w:t xml:space="preserve">ondon – New York, 2012, </w:t>
      </w:r>
      <w:r>
        <w:t>142.</w:t>
      </w:r>
    </w:p>
    <w:p w:rsidR="00A97069" w:rsidRDefault="00B41AE6" w:rsidP="00300AAB">
      <w:pPr>
        <w:pStyle w:val="References"/>
      </w:pPr>
      <w:r>
        <w:t xml:space="preserve">R. Coles, op. cit., 36-38; </w:t>
      </w:r>
      <w:r w:rsidR="008D20D8" w:rsidRPr="008D20D8">
        <w:t xml:space="preserve">P. </w:t>
      </w:r>
      <w:proofErr w:type="spellStart"/>
      <w:r w:rsidR="008D20D8" w:rsidRPr="008D20D8">
        <w:t>W</w:t>
      </w:r>
      <w:r w:rsidR="00D10A40">
        <w:t>ysocki</w:t>
      </w:r>
      <w:proofErr w:type="spellEnd"/>
      <w:r w:rsidR="00D10A40">
        <w:t>, op. cit.</w:t>
      </w:r>
      <w:r w:rsidR="00164CB4" w:rsidRPr="00164CB4">
        <w:t xml:space="preserve">, </w:t>
      </w:r>
      <w:r>
        <w:t>149-150</w:t>
      </w:r>
      <w:r w:rsidR="00A97069">
        <w:t>.</w:t>
      </w:r>
    </w:p>
    <w:p w:rsidR="00EB27A9" w:rsidRDefault="00EB27A9" w:rsidP="00300AAB">
      <w:pPr>
        <w:pStyle w:val="References"/>
      </w:pPr>
      <w:r>
        <w:t xml:space="preserve">M. </w:t>
      </w:r>
      <w:proofErr w:type="spellStart"/>
      <w:r>
        <w:t>Grigoli</w:t>
      </w:r>
      <w:proofErr w:type="spellEnd"/>
      <w:r>
        <w:t xml:space="preserve">, La </w:t>
      </w:r>
      <w:proofErr w:type="spellStart"/>
      <w:r>
        <w:t>disciplina</w:t>
      </w:r>
      <w:proofErr w:type="spellEnd"/>
      <w:r>
        <w:t xml:space="preserve"> del </w:t>
      </w:r>
      <w:proofErr w:type="spellStart"/>
      <w:r>
        <w:t>diporto</w:t>
      </w:r>
      <w:proofErr w:type="spellEnd"/>
      <w:r>
        <w:t xml:space="preserve"> e </w:t>
      </w:r>
      <w:proofErr w:type="spellStart"/>
      <w:r>
        <w:t>turismo</w:t>
      </w:r>
      <w:proofErr w:type="spellEnd"/>
      <w:r>
        <w:t xml:space="preserve"> </w:t>
      </w:r>
      <w:proofErr w:type="spellStart"/>
      <w:r>
        <w:t>nautico</w:t>
      </w:r>
      <w:proofErr w:type="spellEnd"/>
      <w:r>
        <w:t xml:space="preserve">, </w:t>
      </w:r>
      <w:proofErr w:type="spellStart"/>
      <w:r>
        <w:t>Cacucci</w:t>
      </w:r>
      <w:proofErr w:type="spellEnd"/>
      <w:r>
        <w:t xml:space="preserve"> </w:t>
      </w:r>
      <w:proofErr w:type="spellStart"/>
      <w:r>
        <w:t>Editore</w:t>
      </w:r>
      <w:proofErr w:type="spellEnd"/>
      <w:r>
        <w:t>, Bari, 2005,</w:t>
      </w:r>
      <w:r w:rsidR="00EB6516">
        <w:t xml:space="preserve"> 223 ff.; G. </w:t>
      </w:r>
      <w:proofErr w:type="spellStart"/>
      <w:r w:rsidR="00EB6516">
        <w:t>Tellarini</w:t>
      </w:r>
      <w:proofErr w:type="spellEnd"/>
      <w:r w:rsidR="00EB6516">
        <w:t xml:space="preserve">, </w:t>
      </w:r>
      <w:proofErr w:type="spellStart"/>
      <w:r w:rsidR="00EB6516">
        <w:t>Codice</w:t>
      </w:r>
      <w:proofErr w:type="spellEnd"/>
      <w:r w:rsidR="00EB6516">
        <w:t xml:space="preserve"> </w:t>
      </w:r>
      <w:proofErr w:type="spellStart"/>
      <w:r w:rsidR="00EB6516">
        <w:t>della</w:t>
      </w:r>
      <w:proofErr w:type="spellEnd"/>
      <w:r w:rsidR="00EB6516">
        <w:t xml:space="preserve"> </w:t>
      </w:r>
      <w:proofErr w:type="spellStart"/>
      <w:r w:rsidR="00905F1D">
        <w:t>nautica</w:t>
      </w:r>
      <w:proofErr w:type="spellEnd"/>
      <w:r w:rsidR="00905F1D">
        <w:t xml:space="preserve"> da </w:t>
      </w:r>
      <w:proofErr w:type="spellStart"/>
      <w:r w:rsidR="00905F1D">
        <w:t>diporto</w:t>
      </w:r>
      <w:proofErr w:type="spellEnd"/>
      <w:r w:rsidR="00905F1D">
        <w:t xml:space="preserve">, </w:t>
      </w:r>
      <w:proofErr w:type="spellStart"/>
      <w:r w:rsidR="00EB6516">
        <w:t>Maggioli</w:t>
      </w:r>
      <w:proofErr w:type="spellEnd"/>
      <w:r w:rsidR="00EB6516">
        <w:t xml:space="preserve"> </w:t>
      </w:r>
      <w:proofErr w:type="spellStart"/>
      <w:r w:rsidR="00EB6516">
        <w:t>Editore</w:t>
      </w:r>
      <w:proofErr w:type="spellEnd"/>
      <w:r w:rsidR="00EB6516">
        <w:t xml:space="preserve">, </w:t>
      </w:r>
      <w:proofErr w:type="spellStart"/>
      <w:r w:rsidR="00EB6516" w:rsidRPr="00EB6516">
        <w:t>Santarcangelo</w:t>
      </w:r>
      <w:proofErr w:type="spellEnd"/>
      <w:r w:rsidR="00EB6516" w:rsidRPr="00EB6516">
        <w:t xml:space="preserve"> di Romagna (RN)</w:t>
      </w:r>
      <w:r w:rsidR="00905F1D">
        <w:t xml:space="preserve">, 2006, </w:t>
      </w:r>
      <w:r w:rsidR="00905F1D" w:rsidRPr="00905F1D">
        <w:rPr>
          <w:i/>
        </w:rPr>
        <w:t>passim</w:t>
      </w:r>
      <w:r w:rsidR="00905F1D">
        <w:t>.</w:t>
      </w:r>
    </w:p>
    <w:p w:rsidR="00FF04F0" w:rsidRDefault="004E3253" w:rsidP="00300AAB">
      <w:pPr>
        <w:pStyle w:val="References"/>
      </w:pPr>
      <w:r>
        <w:t xml:space="preserve">E. </w:t>
      </w:r>
      <w:proofErr w:type="spellStart"/>
      <w:r>
        <w:t>Romagnoli</w:t>
      </w:r>
      <w:proofErr w:type="spellEnd"/>
      <w:r>
        <w:t xml:space="preserve">, </w:t>
      </w:r>
      <w:r w:rsidR="00FF04F0">
        <w:t xml:space="preserve">Il </w:t>
      </w:r>
      <w:proofErr w:type="spellStart"/>
      <w:r w:rsidR="00FF04F0">
        <w:t>Registro</w:t>
      </w:r>
      <w:proofErr w:type="spellEnd"/>
      <w:r w:rsidR="00FF04F0">
        <w:t xml:space="preserve"> </w:t>
      </w:r>
      <w:proofErr w:type="spellStart"/>
      <w:r w:rsidR="00FF04F0">
        <w:t>internazionale</w:t>
      </w:r>
      <w:proofErr w:type="spellEnd"/>
      <w:r w:rsidR="00FF04F0">
        <w:t>, in</w:t>
      </w:r>
      <w:r w:rsidR="00A74904" w:rsidRPr="00A74904">
        <w:t xml:space="preserve"> A. </w:t>
      </w:r>
      <w:proofErr w:type="spellStart"/>
      <w:r w:rsidR="00A74904" w:rsidRPr="00A74904">
        <w:t>Antonini</w:t>
      </w:r>
      <w:proofErr w:type="spellEnd"/>
      <w:r w:rsidR="00A74904" w:rsidRPr="00A74904">
        <w:t xml:space="preserve"> (Ed.), </w:t>
      </w:r>
      <w:proofErr w:type="spellStart"/>
      <w:r w:rsidR="00A74904" w:rsidRPr="00A74904">
        <w:t>Trattato</w:t>
      </w:r>
      <w:proofErr w:type="spellEnd"/>
      <w:r w:rsidR="00A74904">
        <w:t xml:space="preserve"> </w:t>
      </w:r>
      <w:proofErr w:type="spellStart"/>
      <w:r w:rsidR="00A74904">
        <w:t>breve</w:t>
      </w:r>
      <w:proofErr w:type="spellEnd"/>
      <w:r w:rsidR="00A74904">
        <w:t xml:space="preserve"> di </w:t>
      </w:r>
      <w:proofErr w:type="spellStart"/>
      <w:r w:rsidR="00A74904">
        <w:t>diritto</w:t>
      </w:r>
      <w:proofErr w:type="spellEnd"/>
      <w:r w:rsidR="00A74904">
        <w:t xml:space="preserve"> </w:t>
      </w:r>
      <w:proofErr w:type="spellStart"/>
      <w:r w:rsidR="00A74904">
        <w:t>marittimo</w:t>
      </w:r>
      <w:proofErr w:type="spellEnd"/>
      <w:r w:rsidR="00A74904">
        <w:t xml:space="preserve">, I, </w:t>
      </w:r>
      <w:proofErr w:type="spellStart"/>
      <w:r w:rsidR="00A74904">
        <w:t>Giuffrè</w:t>
      </w:r>
      <w:proofErr w:type="spellEnd"/>
      <w:r w:rsidR="00A74904">
        <w:t xml:space="preserve"> </w:t>
      </w:r>
      <w:proofErr w:type="spellStart"/>
      <w:r w:rsidR="00A74904">
        <w:t>Editore</w:t>
      </w:r>
      <w:proofErr w:type="spellEnd"/>
      <w:r w:rsidR="00A74904">
        <w:t>, Milan, 2007, 404</w:t>
      </w:r>
      <w:r w:rsidR="00263911">
        <w:t xml:space="preserve">; </w:t>
      </w:r>
      <w:r w:rsidR="00B169F9">
        <w:t xml:space="preserve">E. </w:t>
      </w:r>
      <w:proofErr w:type="spellStart"/>
      <w:r w:rsidR="00B169F9">
        <w:t>Romagnoli</w:t>
      </w:r>
      <w:proofErr w:type="spellEnd"/>
      <w:r w:rsidR="00B169F9">
        <w:t xml:space="preserve">, Il </w:t>
      </w:r>
      <w:proofErr w:type="spellStart"/>
      <w:r w:rsidR="00B169F9">
        <w:t>registro</w:t>
      </w:r>
      <w:proofErr w:type="spellEnd"/>
      <w:r w:rsidR="00B169F9">
        <w:t xml:space="preserve"> </w:t>
      </w:r>
      <w:proofErr w:type="spellStart"/>
      <w:r w:rsidR="00B169F9">
        <w:t>internazionale</w:t>
      </w:r>
      <w:proofErr w:type="spellEnd"/>
      <w:r w:rsidR="00B169F9">
        <w:t xml:space="preserve">, la </w:t>
      </w:r>
      <w:proofErr w:type="spellStart"/>
      <w:r w:rsidR="00B169F9">
        <w:t>normativa</w:t>
      </w:r>
      <w:proofErr w:type="spellEnd"/>
      <w:r w:rsidR="00B169F9">
        <w:t xml:space="preserve"> </w:t>
      </w:r>
      <w:proofErr w:type="spellStart"/>
      <w:r w:rsidR="00B169F9">
        <w:t>sul</w:t>
      </w:r>
      <w:proofErr w:type="spellEnd"/>
      <w:r w:rsidR="00B169F9">
        <w:t xml:space="preserve"> </w:t>
      </w:r>
      <w:proofErr w:type="spellStart"/>
      <w:r w:rsidR="00B169F9">
        <w:t>diporto</w:t>
      </w:r>
      <w:proofErr w:type="spellEnd"/>
      <w:r w:rsidR="00B169F9">
        <w:t xml:space="preserve"> e </w:t>
      </w:r>
      <w:proofErr w:type="spellStart"/>
      <w:r w:rsidR="00B169F9">
        <w:t>i</w:t>
      </w:r>
      <w:proofErr w:type="spellEnd"/>
      <w:r w:rsidR="00B169F9">
        <w:t xml:space="preserve"> </w:t>
      </w:r>
      <w:proofErr w:type="spellStart"/>
      <w:r w:rsidR="00B169F9">
        <w:t>nuovi</w:t>
      </w:r>
      <w:proofErr w:type="spellEnd"/>
      <w:r w:rsidR="00B169F9">
        <w:t xml:space="preserve"> </w:t>
      </w:r>
      <w:proofErr w:type="spellStart"/>
      <w:r w:rsidR="00B169F9">
        <w:t>titoli</w:t>
      </w:r>
      <w:proofErr w:type="spellEnd"/>
      <w:r w:rsidR="00B169F9">
        <w:t xml:space="preserve"> </w:t>
      </w:r>
      <w:proofErr w:type="spellStart"/>
      <w:r w:rsidR="00B169F9">
        <w:t>professionali</w:t>
      </w:r>
      <w:proofErr w:type="spellEnd"/>
      <w:r w:rsidR="00B169F9">
        <w:t xml:space="preserve">, in </w:t>
      </w:r>
      <w:proofErr w:type="spellStart"/>
      <w:r w:rsidR="00B169F9" w:rsidRPr="00B169F9">
        <w:rPr>
          <w:i/>
        </w:rPr>
        <w:t>Trasp</w:t>
      </w:r>
      <w:proofErr w:type="spellEnd"/>
      <w:r w:rsidR="00B169F9" w:rsidRPr="00B169F9">
        <w:rPr>
          <w:i/>
        </w:rPr>
        <w:t>.</w:t>
      </w:r>
      <w:r w:rsidR="00B169F9">
        <w:t xml:space="preserve"> </w:t>
      </w:r>
      <w:r w:rsidR="00B169F9" w:rsidRPr="00B169F9">
        <w:rPr>
          <w:b/>
        </w:rPr>
        <w:t>109</w:t>
      </w:r>
      <w:r w:rsidR="00B169F9">
        <w:t xml:space="preserve"> (2009), 9; </w:t>
      </w:r>
      <w:r w:rsidR="00263911">
        <w:t xml:space="preserve">M. Lopez De Gonzalo, item “Nave”, </w:t>
      </w:r>
      <w:proofErr w:type="spellStart"/>
      <w:r w:rsidR="00263911">
        <w:t>Diritto</w:t>
      </w:r>
      <w:proofErr w:type="spellEnd"/>
      <w:r w:rsidR="00263911">
        <w:t xml:space="preserve"> on line</w:t>
      </w:r>
      <w:r w:rsidR="009C5733">
        <w:t xml:space="preserve">, </w:t>
      </w:r>
      <w:proofErr w:type="spellStart"/>
      <w:r w:rsidR="009C5733">
        <w:t>Enciclopedia</w:t>
      </w:r>
      <w:proofErr w:type="spellEnd"/>
      <w:r w:rsidR="009C5733">
        <w:t xml:space="preserve"> </w:t>
      </w:r>
      <w:proofErr w:type="spellStart"/>
      <w:r w:rsidR="009C5733">
        <w:t>Giuridica</w:t>
      </w:r>
      <w:proofErr w:type="spellEnd"/>
      <w:r w:rsidR="009C5733">
        <w:t xml:space="preserve"> </w:t>
      </w:r>
      <w:proofErr w:type="spellStart"/>
      <w:r w:rsidR="009C5733">
        <w:t>Treccani</w:t>
      </w:r>
      <w:proofErr w:type="spellEnd"/>
      <w:r w:rsidR="00263911">
        <w:t xml:space="preserve"> (2012), in </w:t>
      </w:r>
      <w:r w:rsidR="00813AB1" w:rsidRPr="00813AB1">
        <w:t>http://www.treccani.it</w:t>
      </w:r>
      <w:r w:rsidR="00263911">
        <w:t>.</w:t>
      </w:r>
    </w:p>
    <w:p w:rsidR="00813AB1" w:rsidRDefault="00237E36" w:rsidP="00300AAB">
      <w:pPr>
        <w:pStyle w:val="References"/>
      </w:pPr>
      <w:bookmarkStart w:id="0" w:name="_GoBack"/>
      <w:bookmarkEnd w:id="0"/>
      <w:r w:rsidRPr="00237E36">
        <w:t xml:space="preserve">S. </w:t>
      </w:r>
      <w:proofErr w:type="spellStart"/>
      <w:r w:rsidRPr="00237E36">
        <w:t>Zunarelli</w:t>
      </w:r>
      <w:proofErr w:type="spellEnd"/>
      <w:r w:rsidRPr="00237E36">
        <w:t xml:space="preserve"> – M.M. </w:t>
      </w:r>
      <w:proofErr w:type="spellStart"/>
      <w:r w:rsidRPr="00237E36">
        <w:t>Comenale</w:t>
      </w:r>
      <w:proofErr w:type="spellEnd"/>
      <w:r w:rsidRPr="00237E36">
        <w:t xml:space="preserve"> Pinto, </w:t>
      </w:r>
      <w:proofErr w:type="spellStart"/>
      <w:r w:rsidRPr="00237E36">
        <w:t>Manuale</w:t>
      </w:r>
      <w:proofErr w:type="spellEnd"/>
      <w:r w:rsidRPr="00237E36">
        <w:t xml:space="preserve"> di </w:t>
      </w:r>
      <w:proofErr w:type="spellStart"/>
      <w:r w:rsidRPr="00237E36">
        <w:t>diritto</w:t>
      </w:r>
      <w:proofErr w:type="spellEnd"/>
      <w:r w:rsidRPr="00237E36">
        <w:t xml:space="preserve"> </w:t>
      </w:r>
      <w:proofErr w:type="spellStart"/>
      <w:proofErr w:type="gramStart"/>
      <w:r w:rsidRPr="00237E36">
        <w:t>della</w:t>
      </w:r>
      <w:proofErr w:type="spellEnd"/>
      <w:proofErr w:type="gramEnd"/>
      <w:r w:rsidRPr="00237E36">
        <w:t xml:space="preserve"> </w:t>
      </w:r>
      <w:proofErr w:type="spellStart"/>
      <w:r w:rsidRPr="00237E36">
        <w:t>navigazione</w:t>
      </w:r>
      <w:proofErr w:type="spellEnd"/>
      <w:r w:rsidRPr="00237E36">
        <w:t xml:space="preserve"> e </w:t>
      </w:r>
      <w:proofErr w:type="spellStart"/>
      <w:r w:rsidRPr="00237E36">
        <w:t>dei</w:t>
      </w:r>
      <w:proofErr w:type="spellEnd"/>
      <w:r w:rsidRPr="00237E36">
        <w:t xml:space="preserve"> </w:t>
      </w:r>
      <w:proofErr w:type="spellStart"/>
      <w:r w:rsidRPr="00237E36">
        <w:t>trasporti</w:t>
      </w:r>
      <w:proofErr w:type="spellEnd"/>
      <w:r w:rsidRPr="00237E36">
        <w:t>,</w:t>
      </w:r>
      <w:r w:rsidR="00D10A40">
        <w:t xml:space="preserve"> cit., </w:t>
      </w:r>
      <w:r>
        <w:t xml:space="preserve">293; </w:t>
      </w:r>
      <w:r w:rsidR="00813AB1">
        <w:t xml:space="preserve">F. </w:t>
      </w:r>
      <w:proofErr w:type="spellStart"/>
      <w:r w:rsidR="00813AB1">
        <w:t>Berlingieri</w:t>
      </w:r>
      <w:proofErr w:type="spellEnd"/>
      <w:r w:rsidR="00813AB1">
        <w:t xml:space="preserve">, In </w:t>
      </w:r>
      <w:proofErr w:type="spellStart"/>
      <w:r w:rsidR="00813AB1">
        <w:t>tema</w:t>
      </w:r>
      <w:proofErr w:type="spellEnd"/>
      <w:r w:rsidR="00813AB1">
        <w:t xml:space="preserve"> di </w:t>
      </w:r>
      <w:proofErr w:type="spellStart"/>
      <w:r w:rsidR="00813AB1">
        <w:t>iscrizione</w:t>
      </w:r>
      <w:proofErr w:type="spellEnd"/>
      <w:r w:rsidR="00813AB1">
        <w:t xml:space="preserve"> </w:t>
      </w:r>
      <w:proofErr w:type="spellStart"/>
      <w:r w:rsidR="00813AB1">
        <w:t>delle</w:t>
      </w:r>
      <w:proofErr w:type="spellEnd"/>
      <w:r w:rsidR="00813AB1">
        <w:t xml:space="preserve"> </w:t>
      </w:r>
      <w:proofErr w:type="spellStart"/>
      <w:r w:rsidR="00813AB1">
        <w:t>navi</w:t>
      </w:r>
      <w:proofErr w:type="spellEnd"/>
      <w:r w:rsidR="00813AB1">
        <w:t xml:space="preserve"> da </w:t>
      </w:r>
      <w:proofErr w:type="spellStart"/>
      <w:r w:rsidR="00813AB1">
        <w:t>diporto</w:t>
      </w:r>
      <w:proofErr w:type="spellEnd"/>
      <w:r w:rsidR="00813AB1">
        <w:t xml:space="preserve"> </w:t>
      </w:r>
      <w:proofErr w:type="spellStart"/>
      <w:r w:rsidR="00813AB1">
        <w:t>nel</w:t>
      </w:r>
      <w:proofErr w:type="spellEnd"/>
      <w:r w:rsidR="00813AB1">
        <w:t xml:space="preserve"> </w:t>
      </w:r>
      <w:proofErr w:type="spellStart"/>
      <w:r w:rsidR="00813AB1">
        <w:t>registro</w:t>
      </w:r>
      <w:proofErr w:type="spellEnd"/>
      <w:r w:rsidR="00813AB1">
        <w:t xml:space="preserve"> </w:t>
      </w:r>
      <w:proofErr w:type="spellStart"/>
      <w:r w:rsidR="00813AB1">
        <w:t>internazionale</w:t>
      </w:r>
      <w:proofErr w:type="spellEnd"/>
      <w:r w:rsidR="00813AB1">
        <w:t xml:space="preserve">, </w:t>
      </w:r>
      <w:r w:rsidR="00813AB1" w:rsidRPr="00813AB1">
        <w:rPr>
          <w:i/>
        </w:rPr>
        <w:t>Dir. mar.</w:t>
      </w:r>
      <w:r w:rsidR="00813AB1">
        <w:t xml:space="preserve"> (2009), 569-571</w:t>
      </w:r>
      <w:r w:rsidR="00813AB1" w:rsidRPr="00813AB1">
        <w:t>.</w:t>
      </w:r>
      <w:r w:rsidR="00813AB1">
        <w:t xml:space="preserve"> </w:t>
      </w:r>
    </w:p>
    <w:sectPr w:rsidR="00813AB1">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FC" w:rsidRDefault="00204BFC">
      <w:r>
        <w:separator/>
      </w:r>
    </w:p>
  </w:endnote>
  <w:endnote w:type="continuationSeparator" w:id="0">
    <w:p w:rsidR="00204BFC" w:rsidRDefault="0020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FC" w:rsidRDefault="00204BFC">
      <w:r>
        <w:separator/>
      </w:r>
    </w:p>
  </w:footnote>
  <w:footnote w:type="continuationSeparator" w:id="0">
    <w:p w:rsidR="00204BFC" w:rsidRDefault="00204BFC">
      <w:r>
        <w:continuationSeparator/>
      </w:r>
    </w:p>
  </w:footnote>
  <w:footnote w:id="1">
    <w:p w:rsidR="00B05D6E" w:rsidRPr="00457EE2" w:rsidRDefault="00B05D6E">
      <w:pPr>
        <w:pStyle w:val="Testonotaapidipagina"/>
        <w:rPr>
          <w:rStyle w:val="FootnoteChar"/>
          <w:szCs w:val="16"/>
        </w:rPr>
      </w:pPr>
      <w:r w:rsidRPr="00457EE2">
        <w:rPr>
          <w:rStyle w:val="Rimandonotaapidipagina"/>
          <w:sz w:val="16"/>
          <w:szCs w:val="16"/>
        </w:rPr>
        <w:footnoteRef/>
      </w:r>
      <w:r w:rsidR="00D77FD0" w:rsidRPr="00457EE2">
        <w:rPr>
          <w:rStyle w:val="FootnoteChar"/>
          <w:szCs w:val="16"/>
        </w:rPr>
        <w:t xml:space="preserve"> Leonida GIUNTA</w:t>
      </w:r>
      <w:r w:rsidR="00D77FD0" w:rsidRPr="00457EE2">
        <w:rPr>
          <w:sz w:val="16"/>
          <w:szCs w:val="16"/>
          <w:lang w:val="en-GB"/>
        </w:rPr>
        <w:t xml:space="preserve">, Ca’ </w:t>
      </w:r>
      <w:proofErr w:type="spellStart"/>
      <w:r w:rsidR="00D77FD0" w:rsidRPr="00457EE2">
        <w:rPr>
          <w:sz w:val="16"/>
          <w:szCs w:val="16"/>
          <w:lang w:val="en-GB"/>
        </w:rPr>
        <w:t>Foscari</w:t>
      </w:r>
      <w:proofErr w:type="spellEnd"/>
      <w:r w:rsidR="00D77FD0" w:rsidRPr="00457EE2">
        <w:rPr>
          <w:sz w:val="16"/>
          <w:szCs w:val="16"/>
          <w:lang w:val="en-GB"/>
        </w:rPr>
        <w:t xml:space="preserve"> University of Venice, School of Economics</w:t>
      </w:r>
      <w:r w:rsidR="00457EE2" w:rsidRPr="00457EE2">
        <w:rPr>
          <w:sz w:val="16"/>
          <w:szCs w:val="16"/>
          <w:lang w:val="en-GB"/>
        </w:rPr>
        <w:t xml:space="preserve">, </w:t>
      </w:r>
      <w:proofErr w:type="spellStart"/>
      <w:r w:rsidR="00457EE2" w:rsidRPr="00457EE2">
        <w:rPr>
          <w:sz w:val="16"/>
          <w:szCs w:val="16"/>
          <w:lang w:val="en-GB"/>
        </w:rPr>
        <w:t>Cannaregio</w:t>
      </w:r>
      <w:proofErr w:type="spellEnd"/>
      <w:r w:rsidR="00457EE2" w:rsidRPr="00457EE2">
        <w:rPr>
          <w:sz w:val="16"/>
          <w:szCs w:val="16"/>
          <w:lang w:val="en-GB"/>
        </w:rPr>
        <w:t xml:space="preserve"> 873, </w:t>
      </w:r>
      <w:proofErr w:type="spellStart"/>
      <w:r w:rsidR="00457EE2" w:rsidRPr="00457EE2">
        <w:rPr>
          <w:sz w:val="16"/>
          <w:szCs w:val="16"/>
          <w:lang w:val="en-GB"/>
        </w:rPr>
        <w:t>Fondamenta</w:t>
      </w:r>
      <w:proofErr w:type="spellEnd"/>
      <w:r w:rsidR="00457EE2" w:rsidRPr="00457EE2">
        <w:rPr>
          <w:sz w:val="16"/>
          <w:szCs w:val="16"/>
          <w:lang w:val="en-GB"/>
        </w:rPr>
        <w:t xml:space="preserve"> San </w:t>
      </w:r>
      <w:proofErr w:type="spellStart"/>
      <w:r w:rsidR="00457EE2" w:rsidRPr="00457EE2">
        <w:rPr>
          <w:sz w:val="16"/>
          <w:szCs w:val="16"/>
          <w:lang w:val="en-GB"/>
        </w:rPr>
        <w:t>Giobbe</w:t>
      </w:r>
      <w:proofErr w:type="spellEnd"/>
      <w:r w:rsidR="00457EE2" w:rsidRPr="00457EE2">
        <w:rPr>
          <w:sz w:val="16"/>
          <w:szCs w:val="16"/>
          <w:lang w:val="en-GB"/>
        </w:rPr>
        <w:t xml:space="preserve">, 30121, </w:t>
      </w:r>
      <w:proofErr w:type="spellStart"/>
      <w:r w:rsidR="00457EE2" w:rsidRPr="00457EE2">
        <w:rPr>
          <w:sz w:val="16"/>
          <w:szCs w:val="16"/>
          <w:lang w:val="en-GB"/>
        </w:rPr>
        <w:t>Venezia</w:t>
      </w:r>
      <w:proofErr w:type="spellEnd"/>
      <w:r w:rsidR="006161C2" w:rsidRPr="00457EE2">
        <w:rPr>
          <w:sz w:val="16"/>
          <w:szCs w:val="16"/>
          <w:lang w:val="en-GB"/>
        </w:rPr>
        <w:t>; E-m</w:t>
      </w:r>
      <w:r w:rsidR="00D77FD0" w:rsidRPr="00457EE2">
        <w:rPr>
          <w:sz w:val="16"/>
          <w:szCs w:val="16"/>
          <w:lang w:val="en-GB"/>
        </w:rPr>
        <w:t xml:space="preserve">ail: </w:t>
      </w:r>
      <w:r w:rsidR="00BC2DED" w:rsidRPr="00BC2DED">
        <w:rPr>
          <w:sz w:val="16"/>
          <w:szCs w:val="16"/>
          <w:lang w:val="en-GB"/>
        </w:rPr>
        <w:t>leonida.giunta@unive.it</w:t>
      </w:r>
      <w:r w:rsidR="00BC2DED">
        <w:rPr>
          <w:sz w:val="16"/>
          <w:szCs w:val="16"/>
          <w:lang w:val="en-GB"/>
        </w:rPr>
        <w:t>; leonida.giunta@gmail.com</w:t>
      </w:r>
    </w:p>
  </w:footnote>
  <w:footnote w:id="2">
    <w:p w:rsidR="00566D15" w:rsidRPr="00566D15" w:rsidRDefault="00566D15">
      <w:pPr>
        <w:pStyle w:val="Testonotaapidipagina"/>
        <w:rPr>
          <w:lang w:val="it-IT"/>
        </w:rPr>
      </w:pPr>
      <w:r w:rsidRPr="00566D15">
        <w:rPr>
          <w:rStyle w:val="Rimandonotaapidipagina"/>
          <w:sz w:val="16"/>
          <w:szCs w:val="16"/>
        </w:rPr>
        <w:footnoteRef/>
      </w:r>
      <w:r w:rsidRPr="00566D15">
        <w:rPr>
          <w:sz w:val="16"/>
          <w:szCs w:val="16"/>
        </w:rPr>
        <w:t xml:space="preserve"> In par</w:t>
      </w:r>
      <w:r w:rsidR="00AE0FBA">
        <w:rPr>
          <w:sz w:val="16"/>
          <w:szCs w:val="16"/>
        </w:rPr>
        <w:t xml:space="preserve">ticular, </w:t>
      </w:r>
      <w:r w:rsidRPr="00566D15">
        <w:rPr>
          <w:sz w:val="16"/>
          <w:szCs w:val="16"/>
        </w:rPr>
        <w:t xml:space="preserve">the </w:t>
      </w:r>
      <w:r w:rsidR="00BD5560">
        <w:rPr>
          <w:sz w:val="16"/>
          <w:szCs w:val="16"/>
        </w:rPr>
        <w:t xml:space="preserve">harmfulness of the </w:t>
      </w:r>
      <w:r w:rsidRPr="00566D15">
        <w:rPr>
          <w:sz w:val="16"/>
          <w:szCs w:val="16"/>
        </w:rPr>
        <w:t xml:space="preserve">organotin </w:t>
      </w:r>
      <w:r w:rsidR="00AE0FBA">
        <w:rPr>
          <w:sz w:val="16"/>
          <w:szCs w:val="16"/>
        </w:rPr>
        <w:t xml:space="preserve">tributyltin (TBT) </w:t>
      </w:r>
      <w:r w:rsidR="00BD5560">
        <w:rPr>
          <w:sz w:val="16"/>
          <w:szCs w:val="16"/>
        </w:rPr>
        <w:t xml:space="preserve">consists, for instance, of provoking </w:t>
      </w:r>
      <w:r w:rsidRPr="00566D15">
        <w:rPr>
          <w:sz w:val="16"/>
          <w:szCs w:val="16"/>
        </w:rPr>
        <w:t>deformations in oysters and sex changes in whelks</w:t>
      </w:r>
      <w:r w:rsidRPr="00566D15">
        <w:t>.</w:t>
      </w:r>
    </w:p>
  </w:footnote>
  <w:footnote w:id="3">
    <w:p w:rsidR="00F250BB" w:rsidRPr="00F250BB" w:rsidRDefault="00F250BB" w:rsidP="00B8305C">
      <w:pPr>
        <w:pStyle w:val="Testonotaapidipagina"/>
        <w:rPr>
          <w:sz w:val="16"/>
          <w:szCs w:val="16"/>
          <w:lang w:val="it-IT"/>
        </w:rPr>
      </w:pPr>
      <w:r w:rsidRPr="00F250BB">
        <w:rPr>
          <w:rStyle w:val="Rimandonotaapidipagina"/>
          <w:sz w:val="16"/>
          <w:szCs w:val="16"/>
        </w:rPr>
        <w:footnoteRef/>
      </w:r>
      <w:r w:rsidRPr="00F250BB">
        <w:rPr>
          <w:sz w:val="16"/>
          <w:szCs w:val="16"/>
        </w:rPr>
        <w:t xml:space="preserve"> </w:t>
      </w:r>
      <w:proofErr w:type="spellStart"/>
      <w:r w:rsidR="00A53153">
        <w:rPr>
          <w:sz w:val="16"/>
          <w:szCs w:val="16"/>
          <w:lang w:val="it-IT"/>
        </w:rPr>
        <w:t>Indeed</w:t>
      </w:r>
      <w:proofErr w:type="spellEnd"/>
      <w:r w:rsidR="00A53153">
        <w:rPr>
          <w:sz w:val="16"/>
          <w:szCs w:val="16"/>
          <w:lang w:val="it-IT"/>
        </w:rPr>
        <w:t xml:space="preserve"> </w:t>
      </w:r>
      <w:r w:rsidRPr="00F250BB">
        <w:rPr>
          <w:sz w:val="16"/>
          <w:szCs w:val="16"/>
          <w:lang w:val="it-IT"/>
        </w:rPr>
        <w:t>high-</w:t>
      </w:r>
      <w:proofErr w:type="spellStart"/>
      <w:r w:rsidRPr="00F250BB">
        <w:rPr>
          <w:sz w:val="16"/>
          <w:szCs w:val="16"/>
          <w:lang w:val="it-IT"/>
        </w:rPr>
        <w:t>speed</w:t>
      </w:r>
      <w:proofErr w:type="spellEnd"/>
      <w:r w:rsidRPr="00F250BB">
        <w:rPr>
          <w:sz w:val="16"/>
          <w:szCs w:val="16"/>
          <w:lang w:val="it-IT"/>
        </w:rPr>
        <w:t xml:space="preserve"> </w:t>
      </w:r>
      <w:proofErr w:type="spellStart"/>
      <w:r w:rsidRPr="00F250BB">
        <w:rPr>
          <w:sz w:val="16"/>
          <w:szCs w:val="16"/>
          <w:lang w:val="it-IT"/>
        </w:rPr>
        <w:t>craft</w:t>
      </w:r>
      <w:r w:rsidR="00A53153">
        <w:rPr>
          <w:sz w:val="16"/>
          <w:szCs w:val="16"/>
          <w:lang w:val="it-IT"/>
        </w:rPr>
        <w:t>s</w:t>
      </w:r>
      <w:proofErr w:type="spellEnd"/>
      <w:r w:rsidR="00A53153">
        <w:rPr>
          <w:sz w:val="16"/>
          <w:szCs w:val="16"/>
          <w:lang w:val="it-IT"/>
        </w:rPr>
        <w:t xml:space="preserve"> are </w:t>
      </w:r>
      <w:proofErr w:type="spellStart"/>
      <w:r w:rsidRPr="00F250BB">
        <w:rPr>
          <w:sz w:val="16"/>
          <w:szCs w:val="16"/>
          <w:lang w:val="it-IT"/>
        </w:rPr>
        <w:t>recognized</w:t>
      </w:r>
      <w:proofErr w:type="spellEnd"/>
      <w:r w:rsidRPr="00F250BB">
        <w:rPr>
          <w:sz w:val="16"/>
          <w:szCs w:val="16"/>
          <w:lang w:val="it-IT"/>
        </w:rPr>
        <w:t xml:space="preserve"> by </w:t>
      </w:r>
      <w:proofErr w:type="spellStart"/>
      <w:r w:rsidRPr="00F250BB">
        <w:rPr>
          <w:sz w:val="16"/>
          <w:szCs w:val="16"/>
          <w:lang w:val="it-IT"/>
        </w:rPr>
        <w:t>Regulation</w:t>
      </w:r>
      <w:proofErr w:type="spellEnd"/>
      <w:r w:rsidRPr="00F250BB">
        <w:rPr>
          <w:sz w:val="16"/>
          <w:szCs w:val="16"/>
          <w:lang w:val="it-IT"/>
        </w:rPr>
        <w:t xml:space="preserve"> 1, par. 3 of </w:t>
      </w:r>
      <w:proofErr w:type="spellStart"/>
      <w:r w:rsidRPr="00F250BB">
        <w:rPr>
          <w:sz w:val="16"/>
          <w:szCs w:val="16"/>
          <w:lang w:val="it-IT"/>
        </w:rPr>
        <w:t>Chapter</w:t>
      </w:r>
      <w:proofErr w:type="spellEnd"/>
      <w:r w:rsidRPr="00F250BB">
        <w:rPr>
          <w:sz w:val="16"/>
          <w:szCs w:val="16"/>
          <w:lang w:val="it-IT"/>
        </w:rPr>
        <w:t xml:space="preserve"> X of the SOLAS Convention</w:t>
      </w:r>
      <w:r>
        <w:rPr>
          <w:sz w:val="16"/>
          <w:szCs w:val="16"/>
          <w:lang w:val="it-IT"/>
        </w:rPr>
        <w:t xml:space="preserve"> in </w:t>
      </w:r>
      <w:proofErr w:type="spellStart"/>
      <w:r w:rsidR="00A53153">
        <w:rPr>
          <w:sz w:val="16"/>
          <w:szCs w:val="16"/>
          <w:lang w:val="it-IT"/>
        </w:rPr>
        <w:t>those</w:t>
      </w:r>
      <w:proofErr w:type="spellEnd"/>
      <w:r w:rsidR="00A53153">
        <w:rPr>
          <w:sz w:val="16"/>
          <w:szCs w:val="16"/>
          <w:lang w:val="it-IT"/>
        </w:rPr>
        <w:t xml:space="preserve"> </w:t>
      </w:r>
      <w:proofErr w:type="spellStart"/>
      <w:r w:rsidRPr="00F250BB">
        <w:rPr>
          <w:sz w:val="16"/>
          <w:szCs w:val="16"/>
          <w:lang w:val="it-IT"/>
        </w:rPr>
        <w:t>capable</w:t>
      </w:r>
      <w:proofErr w:type="spellEnd"/>
      <w:r w:rsidRPr="00F250BB">
        <w:rPr>
          <w:sz w:val="16"/>
          <w:szCs w:val="16"/>
          <w:lang w:val="it-IT"/>
        </w:rPr>
        <w:t xml:space="preserve"> of a maximum </w:t>
      </w:r>
      <w:proofErr w:type="spellStart"/>
      <w:r w:rsidRPr="00F250BB">
        <w:rPr>
          <w:sz w:val="16"/>
          <w:szCs w:val="16"/>
          <w:lang w:val="it-IT"/>
        </w:rPr>
        <w:t>speed</w:t>
      </w:r>
      <w:proofErr w:type="spellEnd"/>
      <w:r w:rsidRPr="00F250BB">
        <w:rPr>
          <w:sz w:val="16"/>
          <w:szCs w:val="16"/>
          <w:lang w:val="it-IT"/>
        </w:rPr>
        <w:t xml:space="preserve">, in </w:t>
      </w:r>
      <w:proofErr w:type="spellStart"/>
      <w:r w:rsidRPr="00F250BB">
        <w:rPr>
          <w:sz w:val="16"/>
          <w:szCs w:val="16"/>
          <w:lang w:val="it-IT"/>
        </w:rPr>
        <w:t>metres</w:t>
      </w:r>
      <w:proofErr w:type="spellEnd"/>
      <w:r w:rsidRPr="00F250BB">
        <w:rPr>
          <w:sz w:val="16"/>
          <w:szCs w:val="16"/>
          <w:lang w:val="it-IT"/>
        </w:rPr>
        <w:t xml:space="preserve"> per </w:t>
      </w:r>
      <w:proofErr w:type="spellStart"/>
      <w:r w:rsidRPr="00F250BB">
        <w:rPr>
          <w:sz w:val="16"/>
          <w:szCs w:val="16"/>
          <w:lang w:val="it-IT"/>
        </w:rPr>
        <w:t>seco</w:t>
      </w:r>
      <w:r w:rsidR="00A53153">
        <w:rPr>
          <w:sz w:val="16"/>
          <w:szCs w:val="16"/>
          <w:lang w:val="it-IT"/>
        </w:rPr>
        <w:t>nd</w:t>
      </w:r>
      <w:proofErr w:type="spellEnd"/>
      <w:r w:rsidR="00A53153">
        <w:rPr>
          <w:sz w:val="16"/>
          <w:szCs w:val="16"/>
          <w:lang w:val="it-IT"/>
        </w:rPr>
        <w:t xml:space="preserve"> (m/s), </w:t>
      </w:r>
      <w:proofErr w:type="spellStart"/>
      <w:r w:rsidR="00A53153">
        <w:rPr>
          <w:sz w:val="16"/>
          <w:szCs w:val="16"/>
          <w:lang w:val="it-IT"/>
        </w:rPr>
        <w:t>equal</w:t>
      </w:r>
      <w:proofErr w:type="spellEnd"/>
      <w:r w:rsidR="00A53153">
        <w:rPr>
          <w:sz w:val="16"/>
          <w:szCs w:val="16"/>
          <w:lang w:val="it-IT"/>
        </w:rPr>
        <w:t xml:space="preserve"> to or </w:t>
      </w:r>
      <w:proofErr w:type="spellStart"/>
      <w:r w:rsidR="00A53153">
        <w:rPr>
          <w:sz w:val="16"/>
          <w:szCs w:val="16"/>
          <w:lang w:val="it-IT"/>
        </w:rPr>
        <w:t>exceeding</w:t>
      </w:r>
      <w:proofErr w:type="spellEnd"/>
      <w:r w:rsidR="00A53153">
        <w:rPr>
          <w:sz w:val="16"/>
          <w:szCs w:val="16"/>
          <w:lang w:val="it-IT"/>
        </w:rPr>
        <w:t xml:space="preserve"> 3.7 </w:t>
      </w:r>
      <w:proofErr w:type="spellStart"/>
      <w:r w:rsidR="00A53153">
        <w:rPr>
          <w:sz w:val="16"/>
          <w:szCs w:val="16"/>
          <w:lang w:val="it-IT"/>
        </w:rPr>
        <w:t>times</w:t>
      </w:r>
      <w:proofErr w:type="spellEnd"/>
      <w:r w:rsidR="00A53153">
        <w:rPr>
          <w:sz w:val="16"/>
          <w:szCs w:val="16"/>
          <w:lang w:val="it-IT"/>
        </w:rPr>
        <w:t xml:space="preserve"> the </w:t>
      </w:r>
      <w:proofErr w:type="spellStart"/>
      <w:r w:rsidR="00A53153">
        <w:rPr>
          <w:sz w:val="16"/>
          <w:szCs w:val="16"/>
          <w:lang w:val="it-IT"/>
        </w:rPr>
        <w:t>one-</w:t>
      </w:r>
      <w:r w:rsidR="00A53153" w:rsidRPr="00A53153">
        <w:rPr>
          <w:sz w:val="16"/>
          <w:szCs w:val="16"/>
          <w:lang w:val="it-IT"/>
        </w:rPr>
        <w:t>sixth</w:t>
      </w:r>
      <w:proofErr w:type="spellEnd"/>
      <w:r w:rsidR="00A53153" w:rsidRPr="00A53153">
        <w:rPr>
          <w:sz w:val="16"/>
          <w:szCs w:val="16"/>
          <w:lang w:val="it-IT"/>
        </w:rPr>
        <w:t xml:space="preserve"> </w:t>
      </w:r>
      <w:proofErr w:type="spellStart"/>
      <w:r w:rsidR="00A53153" w:rsidRPr="00A53153">
        <w:rPr>
          <w:sz w:val="16"/>
          <w:szCs w:val="16"/>
          <w:lang w:val="it-IT"/>
        </w:rPr>
        <w:t>power</w:t>
      </w:r>
      <w:proofErr w:type="spellEnd"/>
      <w:r w:rsidR="00A53153" w:rsidRPr="00A53153">
        <w:rPr>
          <w:sz w:val="16"/>
          <w:szCs w:val="16"/>
          <w:lang w:val="it-IT"/>
        </w:rPr>
        <w:t xml:space="preserve"> of the </w:t>
      </w:r>
      <w:r w:rsidR="00B8305C" w:rsidRPr="00B8305C">
        <w:rPr>
          <w:sz w:val="16"/>
          <w:szCs w:val="16"/>
          <w:lang w:val="it-IT"/>
        </w:rPr>
        <w:t xml:space="preserve">volume of </w:t>
      </w:r>
      <w:proofErr w:type="spellStart"/>
      <w:r w:rsidR="00B8305C" w:rsidRPr="00B8305C">
        <w:rPr>
          <w:sz w:val="16"/>
          <w:szCs w:val="16"/>
          <w:lang w:val="it-IT"/>
        </w:rPr>
        <w:t>displacement</w:t>
      </w:r>
      <w:proofErr w:type="spellEnd"/>
      <w:r w:rsidR="00B8305C" w:rsidRPr="00B8305C">
        <w:rPr>
          <w:sz w:val="16"/>
          <w:szCs w:val="16"/>
          <w:lang w:val="it-IT"/>
        </w:rPr>
        <w:t xml:space="preserve"> </w:t>
      </w:r>
      <w:proofErr w:type="spellStart"/>
      <w:r w:rsidR="00B8305C" w:rsidRPr="00B8305C">
        <w:rPr>
          <w:sz w:val="16"/>
          <w:szCs w:val="16"/>
          <w:lang w:val="it-IT"/>
        </w:rPr>
        <w:t>corresponding</w:t>
      </w:r>
      <w:proofErr w:type="spellEnd"/>
      <w:r w:rsidR="00B8305C" w:rsidRPr="00B8305C">
        <w:rPr>
          <w:sz w:val="16"/>
          <w:szCs w:val="16"/>
          <w:lang w:val="it-IT"/>
        </w:rPr>
        <w:t xml:space="preserve"> to the design </w:t>
      </w:r>
      <w:proofErr w:type="spellStart"/>
      <w:r w:rsidR="00B8305C" w:rsidRPr="00B8305C">
        <w:rPr>
          <w:sz w:val="16"/>
          <w:szCs w:val="16"/>
          <w:lang w:val="it-IT"/>
        </w:rPr>
        <w:t>waterline</w:t>
      </w:r>
      <w:proofErr w:type="spellEnd"/>
      <w:r w:rsidR="00B8305C" w:rsidRPr="00B8305C">
        <w:rPr>
          <w:sz w:val="16"/>
          <w:szCs w:val="16"/>
          <w:lang w:val="it-IT"/>
        </w:rPr>
        <w:t xml:space="preserve"> (m</w:t>
      </w:r>
      <w:r w:rsidR="00B8305C" w:rsidRPr="00B8305C">
        <w:rPr>
          <w:sz w:val="16"/>
          <w:szCs w:val="16"/>
          <w:vertAlign w:val="superscript"/>
          <w:lang w:val="it-IT"/>
        </w:rPr>
        <w:t>3</w:t>
      </w:r>
      <w:r w:rsidR="00B8305C" w:rsidRPr="00B8305C">
        <w:rPr>
          <w:sz w:val="16"/>
          <w:szCs w:val="16"/>
          <w:lang w:val="it-IT"/>
        </w:rPr>
        <w:t>)</w:t>
      </w:r>
      <w:r w:rsidR="00A53153">
        <w:rPr>
          <w:sz w:val="16"/>
          <w:szCs w:val="16"/>
          <w:lang w:val="it-IT"/>
        </w:rPr>
        <w:t>,</w:t>
      </w:r>
      <w:r w:rsidR="00B8305C">
        <w:rPr>
          <w:sz w:val="16"/>
          <w:szCs w:val="16"/>
          <w:lang w:val="it-IT"/>
        </w:rPr>
        <w:t xml:space="preserve"> </w:t>
      </w:r>
      <w:r w:rsidR="00A53153">
        <w:rPr>
          <w:sz w:val="16"/>
          <w:szCs w:val="16"/>
          <w:lang w:val="it-IT"/>
        </w:rPr>
        <w:t>“</w:t>
      </w:r>
      <w:proofErr w:type="spellStart"/>
      <w:r w:rsidR="00B8305C" w:rsidRPr="00B8305C">
        <w:rPr>
          <w:sz w:val="16"/>
          <w:szCs w:val="16"/>
          <w:lang w:val="it-IT"/>
        </w:rPr>
        <w:t>excluding</w:t>
      </w:r>
      <w:proofErr w:type="spellEnd"/>
      <w:r w:rsidR="00B8305C" w:rsidRPr="00B8305C">
        <w:rPr>
          <w:sz w:val="16"/>
          <w:szCs w:val="16"/>
          <w:lang w:val="it-IT"/>
        </w:rPr>
        <w:t xml:space="preserve"> </w:t>
      </w:r>
      <w:proofErr w:type="spellStart"/>
      <w:r w:rsidR="00B8305C" w:rsidRPr="00B8305C">
        <w:rPr>
          <w:sz w:val="16"/>
          <w:szCs w:val="16"/>
          <w:lang w:val="it-IT"/>
        </w:rPr>
        <w:t>craft</w:t>
      </w:r>
      <w:proofErr w:type="spellEnd"/>
      <w:r w:rsidR="00B8305C" w:rsidRPr="00B8305C">
        <w:rPr>
          <w:sz w:val="16"/>
          <w:szCs w:val="16"/>
          <w:vertAlign w:val="superscript"/>
          <w:lang w:val="it-IT"/>
        </w:rPr>
        <w:t xml:space="preserve"> </w:t>
      </w:r>
      <w:r w:rsidR="00B8305C" w:rsidRPr="00B8305C">
        <w:rPr>
          <w:sz w:val="16"/>
          <w:szCs w:val="16"/>
          <w:lang w:val="it-IT"/>
        </w:rPr>
        <w:t xml:space="preserve">the </w:t>
      </w:r>
      <w:proofErr w:type="spellStart"/>
      <w:r w:rsidR="00B8305C" w:rsidRPr="00B8305C">
        <w:rPr>
          <w:sz w:val="16"/>
          <w:szCs w:val="16"/>
          <w:lang w:val="it-IT"/>
        </w:rPr>
        <w:t>hull</w:t>
      </w:r>
      <w:proofErr w:type="spellEnd"/>
      <w:r w:rsidR="00B8305C" w:rsidRPr="00B8305C">
        <w:rPr>
          <w:sz w:val="16"/>
          <w:szCs w:val="16"/>
          <w:lang w:val="it-IT"/>
        </w:rPr>
        <w:t xml:space="preserve"> of </w:t>
      </w:r>
      <w:proofErr w:type="spellStart"/>
      <w:r w:rsidR="00B8305C" w:rsidRPr="00B8305C">
        <w:rPr>
          <w:sz w:val="16"/>
          <w:szCs w:val="16"/>
          <w:lang w:val="it-IT"/>
        </w:rPr>
        <w:t>which</w:t>
      </w:r>
      <w:proofErr w:type="spellEnd"/>
      <w:r w:rsidR="00B8305C" w:rsidRPr="00B8305C">
        <w:rPr>
          <w:sz w:val="16"/>
          <w:szCs w:val="16"/>
          <w:lang w:val="it-IT"/>
        </w:rPr>
        <w:t xml:space="preserve"> </w:t>
      </w:r>
      <w:proofErr w:type="spellStart"/>
      <w:r w:rsidR="00B8305C" w:rsidRPr="00B8305C">
        <w:rPr>
          <w:sz w:val="16"/>
          <w:szCs w:val="16"/>
          <w:lang w:val="it-IT"/>
        </w:rPr>
        <w:t>is</w:t>
      </w:r>
      <w:proofErr w:type="spellEnd"/>
      <w:r w:rsidR="00B8305C" w:rsidRPr="00B8305C">
        <w:rPr>
          <w:sz w:val="16"/>
          <w:szCs w:val="16"/>
          <w:lang w:val="it-IT"/>
        </w:rPr>
        <w:t xml:space="preserve"> </w:t>
      </w:r>
      <w:proofErr w:type="spellStart"/>
      <w:r w:rsidR="00B8305C" w:rsidRPr="00B8305C">
        <w:rPr>
          <w:sz w:val="16"/>
          <w:szCs w:val="16"/>
          <w:lang w:val="it-IT"/>
        </w:rPr>
        <w:t>supported</w:t>
      </w:r>
      <w:proofErr w:type="spellEnd"/>
      <w:r w:rsidR="00B8305C" w:rsidRPr="00B8305C">
        <w:rPr>
          <w:sz w:val="16"/>
          <w:szCs w:val="16"/>
          <w:lang w:val="it-IT"/>
        </w:rPr>
        <w:t xml:space="preserve"> </w:t>
      </w:r>
      <w:proofErr w:type="spellStart"/>
      <w:r w:rsidR="00B8305C" w:rsidRPr="00B8305C">
        <w:rPr>
          <w:sz w:val="16"/>
          <w:szCs w:val="16"/>
          <w:lang w:val="it-IT"/>
        </w:rPr>
        <w:t>completely</w:t>
      </w:r>
      <w:proofErr w:type="spellEnd"/>
      <w:r w:rsidR="00B8305C" w:rsidRPr="00B8305C">
        <w:rPr>
          <w:sz w:val="16"/>
          <w:szCs w:val="16"/>
          <w:lang w:val="it-IT"/>
        </w:rPr>
        <w:t xml:space="preserve"> </w:t>
      </w:r>
      <w:proofErr w:type="spellStart"/>
      <w:r w:rsidR="00B8305C" w:rsidRPr="00B8305C">
        <w:rPr>
          <w:sz w:val="16"/>
          <w:szCs w:val="16"/>
          <w:lang w:val="it-IT"/>
        </w:rPr>
        <w:t>clear</w:t>
      </w:r>
      <w:proofErr w:type="spellEnd"/>
      <w:r w:rsidR="00B8305C" w:rsidRPr="00B8305C">
        <w:rPr>
          <w:sz w:val="16"/>
          <w:szCs w:val="16"/>
          <w:lang w:val="it-IT"/>
        </w:rPr>
        <w:t xml:space="preserve"> </w:t>
      </w:r>
      <w:proofErr w:type="spellStart"/>
      <w:r w:rsidR="00B8305C" w:rsidRPr="00B8305C">
        <w:rPr>
          <w:sz w:val="16"/>
          <w:szCs w:val="16"/>
          <w:lang w:val="it-IT"/>
        </w:rPr>
        <w:t>above</w:t>
      </w:r>
      <w:proofErr w:type="spellEnd"/>
      <w:r w:rsidR="00B8305C" w:rsidRPr="00B8305C">
        <w:rPr>
          <w:sz w:val="16"/>
          <w:szCs w:val="16"/>
          <w:lang w:val="it-IT"/>
        </w:rPr>
        <w:t xml:space="preserve"> the water </w:t>
      </w:r>
      <w:proofErr w:type="spellStart"/>
      <w:r w:rsidR="00B8305C" w:rsidRPr="00B8305C">
        <w:rPr>
          <w:sz w:val="16"/>
          <w:szCs w:val="16"/>
          <w:lang w:val="it-IT"/>
        </w:rPr>
        <w:t>surface</w:t>
      </w:r>
      <w:proofErr w:type="spellEnd"/>
      <w:r w:rsidR="00B8305C" w:rsidRPr="00B8305C">
        <w:rPr>
          <w:sz w:val="16"/>
          <w:szCs w:val="16"/>
          <w:lang w:val="it-IT"/>
        </w:rPr>
        <w:t xml:space="preserve"> in non-</w:t>
      </w:r>
      <w:proofErr w:type="spellStart"/>
      <w:r w:rsidR="00B8305C" w:rsidRPr="00B8305C">
        <w:rPr>
          <w:sz w:val="16"/>
          <w:szCs w:val="16"/>
          <w:lang w:val="it-IT"/>
        </w:rPr>
        <w:t>displace</w:t>
      </w:r>
      <w:r w:rsidR="00B8305C">
        <w:rPr>
          <w:sz w:val="16"/>
          <w:szCs w:val="16"/>
          <w:lang w:val="it-IT"/>
        </w:rPr>
        <w:t>ment</w:t>
      </w:r>
      <w:proofErr w:type="spellEnd"/>
      <w:r w:rsidR="00B8305C">
        <w:rPr>
          <w:sz w:val="16"/>
          <w:szCs w:val="16"/>
          <w:lang w:val="it-IT"/>
        </w:rPr>
        <w:t xml:space="preserve"> mode by </w:t>
      </w:r>
      <w:proofErr w:type="spellStart"/>
      <w:r w:rsidR="00B8305C">
        <w:rPr>
          <w:sz w:val="16"/>
          <w:szCs w:val="16"/>
          <w:lang w:val="it-IT"/>
        </w:rPr>
        <w:t>aerodynamic</w:t>
      </w:r>
      <w:proofErr w:type="spellEnd"/>
      <w:r w:rsidR="00B8305C">
        <w:rPr>
          <w:sz w:val="16"/>
          <w:szCs w:val="16"/>
          <w:lang w:val="it-IT"/>
        </w:rPr>
        <w:t xml:space="preserve"> </w:t>
      </w:r>
      <w:proofErr w:type="spellStart"/>
      <w:r w:rsidR="00B8305C">
        <w:rPr>
          <w:sz w:val="16"/>
          <w:szCs w:val="16"/>
          <w:lang w:val="it-IT"/>
        </w:rPr>
        <w:t>forces</w:t>
      </w:r>
      <w:proofErr w:type="spellEnd"/>
      <w:r w:rsidR="00B8305C">
        <w:rPr>
          <w:sz w:val="16"/>
          <w:szCs w:val="16"/>
          <w:lang w:val="it-IT"/>
        </w:rPr>
        <w:t xml:space="preserve"> </w:t>
      </w:r>
      <w:proofErr w:type="spellStart"/>
      <w:r w:rsidR="00B8305C">
        <w:rPr>
          <w:sz w:val="16"/>
          <w:szCs w:val="16"/>
          <w:lang w:val="it-IT"/>
        </w:rPr>
        <w:t>generated</w:t>
      </w:r>
      <w:proofErr w:type="spellEnd"/>
      <w:r w:rsidR="00B8305C">
        <w:rPr>
          <w:sz w:val="16"/>
          <w:szCs w:val="16"/>
          <w:lang w:val="it-IT"/>
        </w:rPr>
        <w:t xml:space="preserve"> by </w:t>
      </w:r>
      <w:proofErr w:type="spellStart"/>
      <w:r w:rsidR="00B8305C">
        <w:rPr>
          <w:sz w:val="16"/>
          <w:szCs w:val="16"/>
          <w:lang w:val="it-IT"/>
        </w:rPr>
        <w:t>ground</w:t>
      </w:r>
      <w:proofErr w:type="spellEnd"/>
      <w:r w:rsidR="00B8305C">
        <w:rPr>
          <w:sz w:val="16"/>
          <w:szCs w:val="16"/>
          <w:lang w:val="it-IT"/>
        </w:rPr>
        <w:t xml:space="preserve"> </w:t>
      </w:r>
      <w:proofErr w:type="spellStart"/>
      <w:r w:rsidR="00B8305C">
        <w:rPr>
          <w:sz w:val="16"/>
          <w:szCs w:val="16"/>
          <w:lang w:val="it-IT"/>
        </w:rPr>
        <w:t>effect</w:t>
      </w:r>
      <w:proofErr w:type="spellEnd"/>
      <w:r w:rsidR="00B8305C">
        <w:rPr>
          <w:sz w:val="16"/>
          <w:szCs w:val="16"/>
          <w:lang w:val="it-IT"/>
        </w:rPr>
        <w:t>”.</w:t>
      </w:r>
      <w:r w:rsidR="00B8305C" w:rsidRPr="00B8305C">
        <w:rPr>
          <w:sz w:val="16"/>
          <w:szCs w:val="16"/>
          <w:vertAlign w:val="superscript"/>
          <w:lang w:val="it-IT"/>
        </w:rPr>
        <w:t xml:space="preserve"> </w:t>
      </w:r>
      <w:r w:rsidR="00B8305C" w:rsidRPr="00B8305C">
        <w:rPr>
          <w:sz w:val="16"/>
          <w:szCs w:val="16"/>
          <w:vertAlign w:val="superscript"/>
          <w:lang w:val="it-IT"/>
        </w:rPr>
        <w:cr/>
      </w:r>
    </w:p>
  </w:footnote>
  <w:footnote w:id="4">
    <w:p w:rsidR="000826E9" w:rsidRPr="000826E9" w:rsidRDefault="000826E9" w:rsidP="000826E9">
      <w:pPr>
        <w:pStyle w:val="Testonotaapidipagina"/>
        <w:rPr>
          <w:sz w:val="16"/>
          <w:szCs w:val="16"/>
          <w:lang w:val="it-IT"/>
        </w:rPr>
      </w:pPr>
      <w:r w:rsidRPr="000826E9">
        <w:rPr>
          <w:rStyle w:val="Rimandonotaapidipagina"/>
          <w:sz w:val="16"/>
          <w:szCs w:val="16"/>
        </w:rPr>
        <w:footnoteRef/>
      </w:r>
      <w:r w:rsidRPr="000826E9">
        <w:rPr>
          <w:sz w:val="16"/>
          <w:szCs w:val="16"/>
        </w:rPr>
        <w:t xml:space="preserve"> </w:t>
      </w:r>
      <w:proofErr w:type="spellStart"/>
      <w:r w:rsidRPr="000826E9">
        <w:rPr>
          <w:sz w:val="16"/>
          <w:szCs w:val="16"/>
          <w:lang w:val="it-IT"/>
        </w:rPr>
        <w:t>Going</w:t>
      </w:r>
      <w:proofErr w:type="spellEnd"/>
      <w:r w:rsidRPr="000826E9">
        <w:rPr>
          <w:sz w:val="16"/>
          <w:szCs w:val="16"/>
          <w:lang w:val="it-IT"/>
        </w:rPr>
        <w:t xml:space="preserve"> </w:t>
      </w:r>
      <w:proofErr w:type="spellStart"/>
      <w:r w:rsidRPr="000826E9">
        <w:rPr>
          <w:sz w:val="16"/>
          <w:szCs w:val="16"/>
          <w:lang w:val="it-IT"/>
        </w:rPr>
        <w:t>into</w:t>
      </w:r>
      <w:proofErr w:type="spellEnd"/>
      <w:r w:rsidRPr="000826E9">
        <w:rPr>
          <w:sz w:val="16"/>
          <w:szCs w:val="16"/>
          <w:lang w:val="it-IT"/>
        </w:rPr>
        <w:t xml:space="preserve"> </w:t>
      </w:r>
      <w:proofErr w:type="spellStart"/>
      <w:r w:rsidRPr="000826E9">
        <w:rPr>
          <w:sz w:val="16"/>
          <w:szCs w:val="16"/>
          <w:lang w:val="it-IT"/>
        </w:rPr>
        <w:t>details</w:t>
      </w:r>
      <w:proofErr w:type="spellEnd"/>
      <w:r w:rsidRPr="000826E9">
        <w:rPr>
          <w:sz w:val="16"/>
          <w:szCs w:val="16"/>
          <w:lang w:val="it-IT"/>
        </w:rPr>
        <w:t xml:space="preserve">, </w:t>
      </w:r>
      <w:r>
        <w:rPr>
          <w:sz w:val="16"/>
          <w:szCs w:val="16"/>
          <w:lang w:val="it-IT"/>
        </w:rPr>
        <w:t xml:space="preserve">the STCW Convention </w:t>
      </w:r>
      <w:proofErr w:type="spellStart"/>
      <w:r>
        <w:rPr>
          <w:sz w:val="16"/>
          <w:szCs w:val="16"/>
          <w:lang w:val="it-IT"/>
        </w:rPr>
        <w:t>here</w:t>
      </w:r>
      <w:proofErr w:type="spellEnd"/>
      <w:r>
        <w:rPr>
          <w:sz w:val="16"/>
          <w:szCs w:val="16"/>
          <w:lang w:val="it-IT"/>
        </w:rPr>
        <w:t xml:space="preserve"> </w:t>
      </w:r>
      <w:proofErr w:type="spellStart"/>
      <w:r>
        <w:rPr>
          <w:sz w:val="16"/>
          <w:szCs w:val="16"/>
          <w:lang w:val="it-IT"/>
        </w:rPr>
        <w:t>requires</w:t>
      </w:r>
      <w:proofErr w:type="spellEnd"/>
      <w:r>
        <w:rPr>
          <w:sz w:val="16"/>
          <w:szCs w:val="16"/>
          <w:lang w:val="it-IT"/>
        </w:rPr>
        <w:t xml:space="preserve"> </w:t>
      </w:r>
      <w:proofErr w:type="spellStart"/>
      <w:r>
        <w:rPr>
          <w:sz w:val="16"/>
          <w:szCs w:val="16"/>
          <w:lang w:val="it-IT"/>
        </w:rPr>
        <w:t>that</w:t>
      </w:r>
      <w:proofErr w:type="spellEnd"/>
      <w:r>
        <w:rPr>
          <w:sz w:val="16"/>
          <w:szCs w:val="16"/>
          <w:lang w:val="it-IT"/>
        </w:rPr>
        <w:t xml:space="preserve"> “</w:t>
      </w:r>
      <w:r w:rsidRPr="000826E9">
        <w:rPr>
          <w:sz w:val="16"/>
          <w:szCs w:val="16"/>
          <w:lang w:val="it-IT"/>
        </w:rPr>
        <w:t xml:space="preserve">the </w:t>
      </w:r>
      <w:proofErr w:type="spellStart"/>
      <w:r w:rsidRPr="000826E9">
        <w:rPr>
          <w:sz w:val="16"/>
          <w:szCs w:val="16"/>
          <w:lang w:val="it-IT"/>
        </w:rPr>
        <w:t>level</w:t>
      </w:r>
      <w:proofErr w:type="spellEnd"/>
      <w:r w:rsidRPr="000826E9">
        <w:rPr>
          <w:sz w:val="16"/>
          <w:szCs w:val="16"/>
          <w:lang w:val="it-IT"/>
        </w:rPr>
        <w:t xml:space="preserve"> of </w:t>
      </w:r>
      <w:proofErr w:type="spellStart"/>
      <w:r w:rsidRPr="000826E9">
        <w:rPr>
          <w:sz w:val="16"/>
          <w:szCs w:val="16"/>
          <w:lang w:val="it-IT"/>
        </w:rPr>
        <w:t>seagoing</w:t>
      </w:r>
      <w:proofErr w:type="spellEnd"/>
      <w:r w:rsidRPr="000826E9">
        <w:rPr>
          <w:sz w:val="16"/>
          <w:szCs w:val="16"/>
          <w:lang w:val="it-IT"/>
        </w:rPr>
        <w:t xml:space="preserve"> service, </w:t>
      </w:r>
      <w:proofErr w:type="spellStart"/>
      <w:r w:rsidRPr="000826E9">
        <w:rPr>
          <w:sz w:val="16"/>
          <w:szCs w:val="16"/>
          <w:lang w:val="it-IT"/>
        </w:rPr>
        <w:t>knowledge</w:t>
      </w:r>
      <w:proofErr w:type="spellEnd"/>
      <w:r w:rsidRPr="000826E9">
        <w:rPr>
          <w:sz w:val="16"/>
          <w:szCs w:val="16"/>
          <w:lang w:val="it-IT"/>
        </w:rPr>
        <w:t xml:space="preserve"> and </w:t>
      </w:r>
      <w:proofErr w:type="spellStart"/>
      <w:r w:rsidRPr="000826E9">
        <w:rPr>
          <w:sz w:val="16"/>
          <w:szCs w:val="16"/>
          <w:lang w:val="it-IT"/>
        </w:rPr>
        <w:t>efficiency</w:t>
      </w:r>
      <w:proofErr w:type="spellEnd"/>
      <w:r w:rsidRPr="000826E9">
        <w:rPr>
          <w:sz w:val="16"/>
          <w:szCs w:val="16"/>
          <w:lang w:val="it-IT"/>
        </w:rPr>
        <w:t xml:space="preserve"> </w:t>
      </w:r>
      <w:proofErr w:type="spellStart"/>
      <w:r w:rsidRPr="000826E9">
        <w:rPr>
          <w:sz w:val="16"/>
          <w:szCs w:val="16"/>
          <w:lang w:val="it-IT"/>
        </w:rPr>
        <w:t>as</w:t>
      </w:r>
      <w:proofErr w:type="spellEnd"/>
      <w:r w:rsidRPr="000826E9">
        <w:rPr>
          <w:sz w:val="16"/>
          <w:szCs w:val="16"/>
          <w:lang w:val="it-IT"/>
        </w:rPr>
        <w:t xml:space="preserve"> </w:t>
      </w:r>
      <w:proofErr w:type="spellStart"/>
      <w:r w:rsidRPr="000826E9">
        <w:rPr>
          <w:sz w:val="16"/>
          <w:szCs w:val="16"/>
          <w:lang w:val="it-IT"/>
        </w:rPr>
        <w:t>regards</w:t>
      </w:r>
      <w:proofErr w:type="spellEnd"/>
      <w:r w:rsidRPr="000826E9">
        <w:rPr>
          <w:sz w:val="16"/>
          <w:szCs w:val="16"/>
          <w:lang w:val="it-IT"/>
        </w:rPr>
        <w:t xml:space="preserve"> </w:t>
      </w:r>
      <w:proofErr w:type="spellStart"/>
      <w:r w:rsidRPr="000826E9">
        <w:rPr>
          <w:sz w:val="16"/>
          <w:szCs w:val="16"/>
          <w:lang w:val="it-IT"/>
        </w:rPr>
        <w:t>navigational</w:t>
      </w:r>
      <w:proofErr w:type="spellEnd"/>
      <w:r w:rsidRPr="000826E9">
        <w:rPr>
          <w:sz w:val="16"/>
          <w:szCs w:val="16"/>
          <w:lang w:val="it-IT"/>
        </w:rPr>
        <w:t xml:space="preserve"> and </w:t>
      </w:r>
      <w:proofErr w:type="spellStart"/>
      <w:r w:rsidRPr="000826E9">
        <w:rPr>
          <w:sz w:val="16"/>
          <w:szCs w:val="16"/>
          <w:lang w:val="it-IT"/>
        </w:rPr>
        <w:t>technical</w:t>
      </w:r>
      <w:proofErr w:type="spellEnd"/>
      <w:r w:rsidRPr="000826E9">
        <w:rPr>
          <w:sz w:val="16"/>
          <w:szCs w:val="16"/>
          <w:lang w:val="it-IT"/>
        </w:rPr>
        <w:t xml:space="preserve"> </w:t>
      </w:r>
      <w:proofErr w:type="spellStart"/>
      <w:r w:rsidRPr="000826E9">
        <w:rPr>
          <w:sz w:val="16"/>
          <w:szCs w:val="16"/>
          <w:lang w:val="it-IT"/>
        </w:rPr>
        <w:t>handling</w:t>
      </w:r>
      <w:proofErr w:type="spellEnd"/>
      <w:r w:rsidRPr="000826E9">
        <w:rPr>
          <w:sz w:val="16"/>
          <w:szCs w:val="16"/>
          <w:lang w:val="it-IT"/>
        </w:rPr>
        <w:t xml:space="preserve"> of </w:t>
      </w:r>
      <w:proofErr w:type="spellStart"/>
      <w:r w:rsidRPr="000826E9">
        <w:rPr>
          <w:sz w:val="16"/>
          <w:szCs w:val="16"/>
          <w:lang w:val="it-IT"/>
        </w:rPr>
        <w:t>ship</w:t>
      </w:r>
      <w:proofErr w:type="spellEnd"/>
      <w:r w:rsidRPr="000826E9">
        <w:rPr>
          <w:sz w:val="16"/>
          <w:szCs w:val="16"/>
          <w:lang w:val="it-IT"/>
        </w:rPr>
        <w:t xml:space="preserve"> and cargo </w:t>
      </w:r>
      <w:proofErr w:type="spellStart"/>
      <w:r w:rsidRPr="000826E9">
        <w:rPr>
          <w:sz w:val="16"/>
          <w:szCs w:val="16"/>
          <w:lang w:val="it-IT"/>
        </w:rPr>
        <w:t>ensures</w:t>
      </w:r>
      <w:proofErr w:type="spellEnd"/>
      <w:r w:rsidRPr="000826E9">
        <w:rPr>
          <w:sz w:val="16"/>
          <w:szCs w:val="16"/>
          <w:lang w:val="it-IT"/>
        </w:rPr>
        <w:t xml:space="preserve"> a </w:t>
      </w:r>
      <w:proofErr w:type="spellStart"/>
      <w:r w:rsidRPr="000826E9">
        <w:rPr>
          <w:sz w:val="16"/>
          <w:szCs w:val="16"/>
          <w:lang w:val="it-IT"/>
        </w:rPr>
        <w:t>degree</w:t>
      </w:r>
      <w:proofErr w:type="spellEnd"/>
      <w:r w:rsidRPr="000826E9">
        <w:rPr>
          <w:sz w:val="16"/>
          <w:szCs w:val="16"/>
          <w:lang w:val="it-IT"/>
        </w:rPr>
        <w:t xml:space="preserve"> of </w:t>
      </w:r>
      <w:proofErr w:type="spellStart"/>
      <w:r w:rsidRPr="000826E9">
        <w:rPr>
          <w:sz w:val="16"/>
          <w:szCs w:val="16"/>
          <w:lang w:val="it-IT"/>
        </w:rPr>
        <w:t>safety</w:t>
      </w:r>
      <w:proofErr w:type="spellEnd"/>
      <w:r w:rsidRPr="000826E9">
        <w:rPr>
          <w:sz w:val="16"/>
          <w:szCs w:val="16"/>
          <w:lang w:val="it-IT"/>
        </w:rPr>
        <w:t xml:space="preserve"> </w:t>
      </w:r>
      <w:proofErr w:type="spellStart"/>
      <w:r w:rsidRPr="000826E9">
        <w:rPr>
          <w:sz w:val="16"/>
          <w:szCs w:val="16"/>
          <w:lang w:val="it-IT"/>
        </w:rPr>
        <w:t>at</w:t>
      </w:r>
      <w:proofErr w:type="spellEnd"/>
      <w:r w:rsidRPr="000826E9">
        <w:rPr>
          <w:sz w:val="16"/>
          <w:szCs w:val="16"/>
          <w:lang w:val="it-IT"/>
        </w:rPr>
        <w:t xml:space="preserve"> </w:t>
      </w:r>
      <w:proofErr w:type="spellStart"/>
      <w:r w:rsidRPr="000826E9">
        <w:rPr>
          <w:sz w:val="16"/>
          <w:szCs w:val="16"/>
          <w:lang w:val="it-IT"/>
        </w:rPr>
        <w:t>sea</w:t>
      </w:r>
      <w:proofErr w:type="spellEnd"/>
      <w:r w:rsidRPr="000826E9">
        <w:rPr>
          <w:sz w:val="16"/>
          <w:szCs w:val="16"/>
          <w:lang w:val="it-IT"/>
        </w:rPr>
        <w:t xml:space="preserve"> and </w:t>
      </w:r>
      <w:proofErr w:type="spellStart"/>
      <w:r w:rsidRPr="000826E9">
        <w:rPr>
          <w:sz w:val="16"/>
          <w:szCs w:val="16"/>
          <w:lang w:val="it-IT"/>
        </w:rPr>
        <w:t>has</w:t>
      </w:r>
      <w:proofErr w:type="spellEnd"/>
      <w:r w:rsidRPr="000826E9">
        <w:rPr>
          <w:sz w:val="16"/>
          <w:szCs w:val="16"/>
          <w:lang w:val="it-IT"/>
        </w:rPr>
        <w:t xml:space="preserve"> a preventive </w:t>
      </w:r>
      <w:proofErr w:type="spellStart"/>
      <w:r w:rsidRPr="000826E9">
        <w:rPr>
          <w:sz w:val="16"/>
          <w:szCs w:val="16"/>
          <w:lang w:val="it-IT"/>
        </w:rPr>
        <w:t>effect</w:t>
      </w:r>
      <w:proofErr w:type="spellEnd"/>
      <w:r w:rsidRPr="000826E9">
        <w:rPr>
          <w:sz w:val="16"/>
          <w:szCs w:val="16"/>
          <w:lang w:val="it-IT"/>
        </w:rPr>
        <w:t xml:space="preserve"> </w:t>
      </w:r>
      <w:proofErr w:type="spellStart"/>
      <w:r w:rsidRPr="000826E9">
        <w:rPr>
          <w:sz w:val="16"/>
          <w:szCs w:val="16"/>
          <w:lang w:val="it-IT"/>
        </w:rPr>
        <w:t>as</w:t>
      </w:r>
      <w:proofErr w:type="spellEnd"/>
      <w:r w:rsidRPr="000826E9">
        <w:rPr>
          <w:sz w:val="16"/>
          <w:szCs w:val="16"/>
          <w:lang w:val="it-IT"/>
        </w:rPr>
        <w:t xml:space="preserve"> </w:t>
      </w:r>
      <w:proofErr w:type="spellStart"/>
      <w:r w:rsidRPr="000826E9">
        <w:rPr>
          <w:sz w:val="16"/>
          <w:szCs w:val="16"/>
          <w:lang w:val="it-IT"/>
        </w:rPr>
        <w:t>regards</w:t>
      </w:r>
      <w:proofErr w:type="spellEnd"/>
      <w:r w:rsidRPr="000826E9">
        <w:rPr>
          <w:sz w:val="16"/>
          <w:szCs w:val="16"/>
          <w:lang w:val="it-IT"/>
        </w:rPr>
        <w:t xml:space="preserve"> </w:t>
      </w:r>
      <w:proofErr w:type="spellStart"/>
      <w:r w:rsidRPr="000826E9">
        <w:rPr>
          <w:sz w:val="16"/>
          <w:szCs w:val="16"/>
          <w:lang w:val="it-IT"/>
        </w:rPr>
        <w:t>pollution</w:t>
      </w:r>
      <w:proofErr w:type="spellEnd"/>
      <w:r w:rsidRPr="000826E9">
        <w:rPr>
          <w:sz w:val="16"/>
          <w:szCs w:val="16"/>
          <w:lang w:val="it-IT"/>
        </w:rPr>
        <w:t xml:space="preserve"> </w:t>
      </w:r>
      <w:proofErr w:type="spellStart"/>
      <w:r w:rsidRPr="000826E9">
        <w:rPr>
          <w:sz w:val="16"/>
          <w:szCs w:val="16"/>
          <w:lang w:val="it-IT"/>
        </w:rPr>
        <w:t>at</w:t>
      </w:r>
      <w:proofErr w:type="spellEnd"/>
      <w:r w:rsidRPr="000826E9">
        <w:rPr>
          <w:sz w:val="16"/>
          <w:szCs w:val="16"/>
          <w:lang w:val="it-IT"/>
        </w:rPr>
        <w:t xml:space="preserve"> </w:t>
      </w:r>
      <w:proofErr w:type="spellStart"/>
      <w:r w:rsidRPr="000826E9">
        <w:rPr>
          <w:sz w:val="16"/>
          <w:szCs w:val="16"/>
          <w:lang w:val="it-IT"/>
        </w:rPr>
        <w:t>least</w:t>
      </w:r>
      <w:proofErr w:type="spellEnd"/>
      <w:r w:rsidRPr="000826E9">
        <w:rPr>
          <w:sz w:val="16"/>
          <w:szCs w:val="16"/>
          <w:lang w:val="it-IT"/>
        </w:rPr>
        <w:t xml:space="preserve"> </w:t>
      </w:r>
      <w:proofErr w:type="spellStart"/>
      <w:r w:rsidRPr="000826E9">
        <w:rPr>
          <w:sz w:val="16"/>
          <w:szCs w:val="16"/>
          <w:lang w:val="it-IT"/>
        </w:rPr>
        <w:t>equivalent</w:t>
      </w:r>
      <w:proofErr w:type="spellEnd"/>
      <w:r w:rsidRPr="000826E9">
        <w:rPr>
          <w:sz w:val="16"/>
          <w:szCs w:val="16"/>
          <w:lang w:val="it-IT"/>
        </w:rPr>
        <w:t xml:space="preserve"> to th</w:t>
      </w:r>
      <w:r>
        <w:rPr>
          <w:sz w:val="16"/>
          <w:szCs w:val="16"/>
          <w:lang w:val="it-IT"/>
        </w:rPr>
        <w:t xml:space="preserve">e </w:t>
      </w:r>
      <w:proofErr w:type="spellStart"/>
      <w:r>
        <w:rPr>
          <w:sz w:val="16"/>
          <w:szCs w:val="16"/>
          <w:lang w:val="it-IT"/>
        </w:rPr>
        <w:t>requirements</w:t>
      </w:r>
      <w:proofErr w:type="spellEnd"/>
      <w:r>
        <w:rPr>
          <w:sz w:val="16"/>
          <w:szCs w:val="16"/>
          <w:lang w:val="it-IT"/>
        </w:rPr>
        <w:t>”</w:t>
      </w:r>
      <w:r w:rsidR="00005A61">
        <w:rPr>
          <w:sz w:val="16"/>
          <w:szCs w:val="16"/>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D9"/>
    <w:rsid w:val="000027F0"/>
    <w:rsid w:val="00002AFE"/>
    <w:rsid w:val="00003CDD"/>
    <w:rsid w:val="00005A61"/>
    <w:rsid w:val="000079DE"/>
    <w:rsid w:val="000120F8"/>
    <w:rsid w:val="00015FC0"/>
    <w:rsid w:val="00016652"/>
    <w:rsid w:val="00024EC2"/>
    <w:rsid w:val="000254A3"/>
    <w:rsid w:val="00043787"/>
    <w:rsid w:val="000441F3"/>
    <w:rsid w:val="000479F1"/>
    <w:rsid w:val="00056CF7"/>
    <w:rsid w:val="00064840"/>
    <w:rsid w:val="00067E0A"/>
    <w:rsid w:val="0007131B"/>
    <w:rsid w:val="00072011"/>
    <w:rsid w:val="00077EB9"/>
    <w:rsid w:val="000801F3"/>
    <w:rsid w:val="000826E9"/>
    <w:rsid w:val="00085F54"/>
    <w:rsid w:val="000948AE"/>
    <w:rsid w:val="00096307"/>
    <w:rsid w:val="000968A4"/>
    <w:rsid w:val="00097A7F"/>
    <w:rsid w:val="000A06EA"/>
    <w:rsid w:val="000A2524"/>
    <w:rsid w:val="000A4F29"/>
    <w:rsid w:val="000A6366"/>
    <w:rsid w:val="000A6F1D"/>
    <w:rsid w:val="000B1051"/>
    <w:rsid w:val="000B207B"/>
    <w:rsid w:val="000B4D06"/>
    <w:rsid w:val="000B6D1F"/>
    <w:rsid w:val="000C05CB"/>
    <w:rsid w:val="000C33D6"/>
    <w:rsid w:val="000D1B5F"/>
    <w:rsid w:val="000D369A"/>
    <w:rsid w:val="000D3D40"/>
    <w:rsid w:val="000D583B"/>
    <w:rsid w:val="000E3AA1"/>
    <w:rsid w:val="000E7290"/>
    <w:rsid w:val="000E7B23"/>
    <w:rsid w:val="000F0864"/>
    <w:rsid w:val="000F0B7C"/>
    <w:rsid w:val="000F1729"/>
    <w:rsid w:val="000F2ACA"/>
    <w:rsid w:val="000F34F2"/>
    <w:rsid w:val="00107E0C"/>
    <w:rsid w:val="00114B83"/>
    <w:rsid w:val="001161A8"/>
    <w:rsid w:val="00122341"/>
    <w:rsid w:val="0014557F"/>
    <w:rsid w:val="00151BD9"/>
    <w:rsid w:val="001542DE"/>
    <w:rsid w:val="00154FEA"/>
    <w:rsid w:val="001616C3"/>
    <w:rsid w:val="00164CB4"/>
    <w:rsid w:val="001655F0"/>
    <w:rsid w:val="001673A9"/>
    <w:rsid w:val="00175014"/>
    <w:rsid w:val="00175C86"/>
    <w:rsid w:val="00182761"/>
    <w:rsid w:val="00184296"/>
    <w:rsid w:val="00184C66"/>
    <w:rsid w:val="00185B50"/>
    <w:rsid w:val="00190CC7"/>
    <w:rsid w:val="001940E1"/>
    <w:rsid w:val="001961A5"/>
    <w:rsid w:val="001974C1"/>
    <w:rsid w:val="001A065D"/>
    <w:rsid w:val="001B0A2D"/>
    <w:rsid w:val="001B7EF1"/>
    <w:rsid w:val="001C0131"/>
    <w:rsid w:val="001C180E"/>
    <w:rsid w:val="001C723E"/>
    <w:rsid w:val="001E13DD"/>
    <w:rsid w:val="001E4275"/>
    <w:rsid w:val="001F5376"/>
    <w:rsid w:val="0020365F"/>
    <w:rsid w:val="00204BFC"/>
    <w:rsid w:val="002068D0"/>
    <w:rsid w:val="002074B4"/>
    <w:rsid w:val="00224BFC"/>
    <w:rsid w:val="0023426F"/>
    <w:rsid w:val="00237E36"/>
    <w:rsid w:val="0024777F"/>
    <w:rsid w:val="002534F1"/>
    <w:rsid w:val="0025365E"/>
    <w:rsid w:val="00263911"/>
    <w:rsid w:val="002661CD"/>
    <w:rsid w:val="0028039E"/>
    <w:rsid w:val="00284C3B"/>
    <w:rsid w:val="002864C7"/>
    <w:rsid w:val="00290760"/>
    <w:rsid w:val="00293B3C"/>
    <w:rsid w:val="002945BC"/>
    <w:rsid w:val="00296059"/>
    <w:rsid w:val="0029797D"/>
    <w:rsid w:val="002A1318"/>
    <w:rsid w:val="002A3A29"/>
    <w:rsid w:val="002B21E9"/>
    <w:rsid w:val="002B50EC"/>
    <w:rsid w:val="002B7A73"/>
    <w:rsid w:val="002C24E0"/>
    <w:rsid w:val="002C71D2"/>
    <w:rsid w:val="002D2054"/>
    <w:rsid w:val="002D2399"/>
    <w:rsid w:val="002D2B1C"/>
    <w:rsid w:val="002D34E5"/>
    <w:rsid w:val="002E2159"/>
    <w:rsid w:val="002E3E85"/>
    <w:rsid w:val="002F01A8"/>
    <w:rsid w:val="002F06B9"/>
    <w:rsid w:val="002F0F00"/>
    <w:rsid w:val="002F4BB8"/>
    <w:rsid w:val="00300AAB"/>
    <w:rsid w:val="003026D3"/>
    <w:rsid w:val="00304DA9"/>
    <w:rsid w:val="00305DBD"/>
    <w:rsid w:val="0031140B"/>
    <w:rsid w:val="003120DE"/>
    <w:rsid w:val="00321588"/>
    <w:rsid w:val="00337BBC"/>
    <w:rsid w:val="003437FA"/>
    <w:rsid w:val="00344332"/>
    <w:rsid w:val="00345D81"/>
    <w:rsid w:val="00345E56"/>
    <w:rsid w:val="00347008"/>
    <w:rsid w:val="00347D96"/>
    <w:rsid w:val="00356593"/>
    <w:rsid w:val="003633BA"/>
    <w:rsid w:val="003640D0"/>
    <w:rsid w:val="00370C77"/>
    <w:rsid w:val="00371F8D"/>
    <w:rsid w:val="00373061"/>
    <w:rsid w:val="00376C6C"/>
    <w:rsid w:val="00376E72"/>
    <w:rsid w:val="00382A52"/>
    <w:rsid w:val="00396730"/>
    <w:rsid w:val="00397095"/>
    <w:rsid w:val="003A068C"/>
    <w:rsid w:val="003A0817"/>
    <w:rsid w:val="003B57EE"/>
    <w:rsid w:val="003B5AD0"/>
    <w:rsid w:val="003B5C3C"/>
    <w:rsid w:val="003B5FB4"/>
    <w:rsid w:val="003B7DEB"/>
    <w:rsid w:val="003C1FD0"/>
    <w:rsid w:val="003C3EA2"/>
    <w:rsid w:val="003C75FD"/>
    <w:rsid w:val="003D5949"/>
    <w:rsid w:val="003D63DC"/>
    <w:rsid w:val="003E64CE"/>
    <w:rsid w:val="003F0574"/>
    <w:rsid w:val="003F51D5"/>
    <w:rsid w:val="003F6978"/>
    <w:rsid w:val="003F705E"/>
    <w:rsid w:val="003F70BE"/>
    <w:rsid w:val="003F7887"/>
    <w:rsid w:val="003F7985"/>
    <w:rsid w:val="004037C9"/>
    <w:rsid w:val="00405480"/>
    <w:rsid w:val="004118D9"/>
    <w:rsid w:val="004228C2"/>
    <w:rsid w:val="00424A2E"/>
    <w:rsid w:val="00425DB1"/>
    <w:rsid w:val="0042697A"/>
    <w:rsid w:val="00431DDA"/>
    <w:rsid w:val="004334ED"/>
    <w:rsid w:val="00433981"/>
    <w:rsid w:val="004352DA"/>
    <w:rsid w:val="00440CD7"/>
    <w:rsid w:val="00441431"/>
    <w:rsid w:val="00442FA4"/>
    <w:rsid w:val="00446263"/>
    <w:rsid w:val="00456504"/>
    <w:rsid w:val="00457EE2"/>
    <w:rsid w:val="00464BCC"/>
    <w:rsid w:val="00474B7D"/>
    <w:rsid w:val="0048500D"/>
    <w:rsid w:val="00496590"/>
    <w:rsid w:val="00496BA5"/>
    <w:rsid w:val="00496F44"/>
    <w:rsid w:val="004A6D06"/>
    <w:rsid w:val="004B76C9"/>
    <w:rsid w:val="004C005D"/>
    <w:rsid w:val="004C60D6"/>
    <w:rsid w:val="004D2FBA"/>
    <w:rsid w:val="004D59CF"/>
    <w:rsid w:val="004E139F"/>
    <w:rsid w:val="004E3253"/>
    <w:rsid w:val="004F2F4E"/>
    <w:rsid w:val="004F5186"/>
    <w:rsid w:val="004F586C"/>
    <w:rsid w:val="004F5896"/>
    <w:rsid w:val="00500454"/>
    <w:rsid w:val="00503439"/>
    <w:rsid w:val="00504DDF"/>
    <w:rsid w:val="005116B0"/>
    <w:rsid w:val="00511C31"/>
    <w:rsid w:val="005134BB"/>
    <w:rsid w:val="0051699C"/>
    <w:rsid w:val="005238F0"/>
    <w:rsid w:val="0053010E"/>
    <w:rsid w:val="00534FB5"/>
    <w:rsid w:val="00537E63"/>
    <w:rsid w:val="0054188D"/>
    <w:rsid w:val="00544B7E"/>
    <w:rsid w:val="00555FE0"/>
    <w:rsid w:val="0055615E"/>
    <w:rsid w:val="00560939"/>
    <w:rsid w:val="00564C7A"/>
    <w:rsid w:val="00566D15"/>
    <w:rsid w:val="005670AF"/>
    <w:rsid w:val="005778EB"/>
    <w:rsid w:val="00580F00"/>
    <w:rsid w:val="00580FFC"/>
    <w:rsid w:val="00587499"/>
    <w:rsid w:val="0059023C"/>
    <w:rsid w:val="0059269E"/>
    <w:rsid w:val="00592CF5"/>
    <w:rsid w:val="0059672F"/>
    <w:rsid w:val="005A0CAE"/>
    <w:rsid w:val="005A6BE7"/>
    <w:rsid w:val="005B057D"/>
    <w:rsid w:val="005B14EB"/>
    <w:rsid w:val="005B1A7B"/>
    <w:rsid w:val="005B5D58"/>
    <w:rsid w:val="005C18E1"/>
    <w:rsid w:val="005C2778"/>
    <w:rsid w:val="005C6AB7"/>
    <w:rsid w:val="005C71D5"/>
    <w:rsid w:val="005D3E53"/>
    <w:rsid w:val="005D457F"/>
    <w:rsid w:val="005D5C66"/>
    <w:rsid w:val="005E1A2D"/>
    <w:rsid w:val="005E1CA9"/>
    <w:rsid w:val="005E45F1"/>
    <w:rsid w:val="005E7530"/>
    <w:rsid w:val="005F0AC7"/>
    <w:rsid w:val="005F457A"/>
    <w:rsid w:val="005F6227"/>
    <w:rsid w:val="00600DB5"/>
    <w:rsid w:val="006059D2"/>
    <w:rsid w:val="006130EC"/>
    <w:rsid w:val="006161C2"/>
    <w:rsid w:val="006206FA"/>
    <w:rsid w:val="00623208"/>
    <w:rsid w:val="00626A55"/>
    <w:rsid w:val="00631672"/>
    <w:rsid w:val="00631ACC"/>
    <w:rsid w:val="006347FB"/>
    <w:rsid w:val="0063602F"/>
    <w:rsid w:val="0063782B"/>
    <w:rsid w:val="00643A26"/>
    <w:rsid w:val="00656207"/>
    <w:rsid w:val="006625E0"/>
    <w:rsid w:val="0066451D"/>
    <w:rsid w:val="00666A17"/>
    <w:rsid w:val="006710F7"/>
    <w:rsid w:val="00671545"/>
    <w:rsid w:val="00674653"/>
    <w:rsid w:val="00675E03"/>
    <w:rsid w:val="006804FA"/>
    <w:rsid w:val="00685993"/>
    <w:rsid w:val="006968D6"/>
    <w:rsid w:val="006A1BDA"/>
    <w:rsid w:val="006A5A7C"/>
    <w:rsid w:val="006A6E61"/>
    <w:rsid w:val="006B2C29"/>
    <w:rsid w:val="006C3DA8"/>
    <w:rsid w:val="006C513B"/>
    <w:rsid w:val="006D1AE1"/>
    <w:rsid w:val="006D55F5"/>
    <w:rsid w:val="006E2F71"/>
    <w:rsid w:val="006E3A4E"/>
    <w:rsid w:val="006F3805"/>
    <w:rsid w:val="006F5EBF"/>
    <w:rsid w:val="00700F3E"/>
    <w:rsid w:val="00702DFB"/>
    <w:rsid w:val="007036B3"/>
    <w:rsid w:val="00707991"/>
    <w:rsid w:val="00715C65"/>
    <w:rsid w:val="007218A9"/>
    <w:rsid w:val="00726039"/>
    <w:rsid w:val="00726DD7"/>
    <w:rsid w:val="00732D86"/>
    <w:rsid w:val="00735069"/>
    <w:rsid w:val="0074381C"/>
    <w:rsid w:val="00746BA4"/>
    <w:rsid w:val="0075084A"/>
    <w:rsid w:val="007525AF"/>
    <w:rsid w:val="00771EFF"/>
    <w:rsid w:val="0077540A"/>
    <w:rsid w:val="00776120"/>
    <w:rsid w:val="00780BD7"/>
    <w:rsid w:val="00784029"/>
    <w:rsid w:val="00784FB5"/>
    <w:rsid w:val="007878A6"/>
    <w:rsid w:val="00791773"/>
    <w:rsid w:val="007A12CD"/>
    <w:rsid w:val="007A3A1E"/>
    <w:rsid w:val="007A4809"/>
    <w:rsid w:val="007A793E"/>
    <w:rsid w:val="007B3AFA"/>
    <w:rsid w:val="007B51A7"/>
    <w:rsid w:val="007C24B5"/>
    <w:rsid w:val="007C4B93"/>
    <w:rsid w:val="007D0E7C"/>
    <w:rsid w:val="007D5385"/>
    <w:rsid w:val="007E2B8B"/>
    <w:rsid w:val="007E639C"/>
    <w:rsid w:val="007E6DD6"/>
    <w:rsid w:val="0080125A"/>
    <w:rsid w:val="0080145E"/>
    <w:rsid w:val="008024F8"/>
    <w:rsid w:val="008026CF"/>
    <w:rsid w:val="008032B9"/>
    <w:rsid w:val="00813AB1"/>
    <w:rsid w:val="008157AA"/>
    <w:rsid w:val="008233AB"/>
    <w:rsid w:val="008261F4"/>
    <w:rsid w:val="00827943"/>
    <w:rsid w:val="00827A15"/>
    <w:rsid w:val="00860C51"/>
    <w:rsid w:val="00861488"/>
    <w:rsid w:val="008712CA"/>
    <w:rsid w:val="00871422"/>
    <w:rsid w:val="0087208E"/>
    <w:rsid w:val="008769C1"/>
    <w:rsid w:val="008841B2"/>
    <w:rsid w:val="00884990"/>
    <w:rsid w:val="00884FE8"/>
    <w:rsid w:val="00886219"/>
    <w:rsid w:val="008A1D9A"/>
    <w:rsid w:val="008A242C"/>
    <w:rsid w:val="008A6EAA"/>
    <w:rsid w:val="008B115A"/>
    <w:rsid w:val="008B253E"/>
    <w:rsid w:val="008B7FDD"/>
    <w:rsid w:val="008C0DE3"/>
    <w:rsid w:val="008D20D8"/>
    <w:rsid w:val="008D320D"/>
    <w:rsid w:val="008D7323"/>
    <w:rsid w:val="008E2528"/>
    <w:rsid w:val="008E6310"/>
    <w:rsid w:val="008E6EA8"/>
    <w:rsid w:val="008F4606"/>
    <w:rsid w:val="009025D9"/>
    <w:rsid w:val="00904D38"/>
    <w:rsid w:val="00905F1D"/>
    <w:rsid w:val="009117CF"/>
    <w:rsid w:val="00912670"/>
    <w:rsid w:val="00912E30"/>
    <w:rsid w:val="009162CA"/>
    <w:rsid w:val="00923C9F"/>
    <w:rsid w:val="00923F78"/>
    <w:rsid w:val="00927B06"/>
    <w:rsid w:val="00933155"/>
    <w:rsid w:val="00933971"/>
    <w:rsid w:val="009369ED"/>
    <w:rsid w:val="00941112"/>
    <w:rsid w:val="0094717E"/>
    <w:rsid w:val="00952464"/>
    <w:rsid w:val="009535B3"/>
    <w:rsid w:val="00954526"/>
    <w:rsid w:val="00956AC3"/>
    <w:rsid w:val="00963706"/>
    <w:rsid w:val="009641D4"/>
    <w:rsid w:val="00965CE4"/>
    <w:rsid w:val="00966066"/>
    <w:rsid w:val="00974514"/>
    <w:rsid w:val="009747C5"/>
    <w:rsid w:val="0098105D"/>
    <w:rsid w:val="009947DD"/>
    <w:rsid w:val="00996FA7"/>
    <w:rsid w:val="009A7CB6"/>
    <w:rsid w:val="009B2EE1"/>
    <w:rsid w:val="009C1C6C"/>
    <w:rsid w:val="009C3995"/>
    <w:rsid w:val="009C5733"/>
    <w:rsid w:val="009C6758"/>
    <w:rsid w:val="009C7248"/>
    <w:rsid w:val="009D0B96"/>
    <w:rsid w:val="009D3C62"/>
    <w:rsid w:val="009D64A6"/>
    <w:rsid w:val="009E1425"/>
    <w:rsid w:val="009E3CBA"/>
    <w:rsid w:val="009E3E6D"/>
    <w:rsid w:val="009F32E3"/>
    <w:rsid w:val="00A03276"/>
    <w:rsid w:val="00A0503C"/>
    <w:rsid w:val="00A15194"/>
    <w:rsid w:val="00A21C26"/>
    <w:rsid w:val="00A2338C"/>
    <w:rsid w:val="00A246BD"/>
    <w:rsid w:val="00A26479"/>
    <w:rsid w:val="00A37AAA"/>
    <w:rsid w:val="00A404AD"/>
    <w:rsid w:val="00A464B3"/>
    <w:rsid w:val="00A515C8"/>
    <w:rsid w:val="00A53153"/>
    <w:rsid w:val="00A53229"/>
    <w:rsid w:val="00A616DA"/>
    <w:rsid w:val="00A61AA9"/>
    <w:rsid w:val="00A624B4"/>
    <w:rsid w:val="00A64143"/>
    <w:rsid w:val="00A72530"/>
    <w:rsid w:val="00A74904"/>
    <w:rsid w:val="00A76C2B"/>
    <w:rsid w:val="00A81AFB"/>
    <w:rsid w:val="00A82CCD"/>
    <w:rsid w:val="00A869C0"/>
    <w:rsid w:val="00A911F7"/>
    <w:rsid w:val="00A95337"/>
    <w:rsid w:val="00A96F0B"/>
    <w:rsid w:val="00A97069"/>
    <w:rsid w:val="00AB6BDF"/>
    <w:rsid w:val="00AC54F2"/>
    <w:rsid w:val="00AC6DA8"/>
    <w:rsid w:val="00AC7249"/>
    <w:rsid w:val="00AD4BDC"/>
    <w:rsid w:val="00AD4C0A"/>
    <w:rsid w:val="00AE07FD"/>
    <w:rsid w:val="00AE0FBA"/>
    <w:rsid w:val="00AE35A0"/>
    <w:rsid w:val="00AE39C5"/>
    <w:rsid w:val="00AE567E"/>
    <w:rsid w:val="00AF0E2C"/>
    <w:rsid w:val="00AF3429"/>
    <w:rsid w:val="00B055FB"/>
    <w:rsid w:val="00B05D6E"/>
    <w:rsid w:val="00B067A3"/>
    <w:rsid w:val="00B13DE8"/>
    <w:rsid w:val="00B169F9"/>
    <w:rsid w:val="00B26502"/>
    <w:rsid w:val="00B268E3"/>
    <w:rsid w:val="00B27416"/>
    <w:rsid w:val="00B32B17"/>
    <w:rsid w:val="00B3554F"/>
    <w:rsid w:val="00B41AE6"/>
    <w:rsid w:val="00B41C52"/>
    <w:rsid w:val="00B47F14"/>
    <w:rsid w:val="00B50A23"/>
    <w:rsid w:val="00B50A2F"/>
    <w:rsid w:val="00B519FA"/>
    <w:rsid w:val="00B5408B"/>
    <w:rsid w:val="00B63CF9"/>
    <w:rsid w:val="00B6521C"/>
    <w:rsid w:val="00B66008"/>
    <w:rsid w:val="00B729B7"/>
    <w:rsid w:val="00B8195C"/>
    <w:rsid w:val="00B8305C"/>
    <w:rsid w:val="00B83758"/>
    <w:rsid w:val="00B84216"/>
    <w:rsid w:val="00B9540D"/>
    <w:rsid w:val="00BB6AA4"/>
    <w:rsid w:val="00BC1C0E"/>
    <w:rsid w:val="00BC2DED"/>
    <w:rsid w:val="00BD1BDC"/>
    <w:rsid w:val="00BD5560"/>
    <w:rsid w:val="00BE30EB"/>
    <w:rsid w:val="00BE3C40"/>
    <w:rsid w:val="00BE5603"/>
    <w:rsid w:val="00BE7459"/>
    <w:rsid w:val="00BF0793"/>
    <w:rsid w:val="00BF2C0B"/>
    <w:rsid w:val="00BF676F"/>
    <w:rsid w:val="00BF7325"/>
    <w:rsid w:val="00BF767B"/>
    <w:rsid w:val="00C040E6"/>
    <w:rsid w:val="00C11568"/>
    <w:rsid w:val="00C17A9D"/>
    <w:rsid w:val="00C21099"/>
    <w:rsid w:val="00C2173F"/>
    <w:rsid w:val="00C24159"/>
    <w:rsid w:val="00C324CB"/>
    <w:rsid w:val="00C33353"/>
    <w:rsid w:val="00C36B4A"/>
    <w:rsid w:val="00C41001"/>
    <w:rsid w:val="00C435D5"/>
    <w:rsid w:val="00C5031E"/>
    <w:rsid w:val="00C56EC0"/>
    <w:rsid w:val="00C6315C"/>
    <w:rsid w:val="00C6562B"/>
    <w:rsid w:val="00C7095E"/>
    <w:rsid w:val="00C9325C"/>
    <w:rsid w:val="00C96294"/>
    <w:rsid w:val="00C97D11"/>
    <w:rsid w:val="00CA3995"/>
    <w:rsid w:val="00CA4597"/>
    <w:rsid w:val="00CA5E40"/>
    <w:rsid w:val="00CB43FB"/>
    <w:rsid w:val="00CC0ACD"/>
    <w:rsid w:val="00CC491C"/>
    <w:rsid w:val="00CC4EDC"/>
    <w:rsid w:val="00CD2285"/>
    <w:rsid w:val="00CE13B9"/>
    <w:rsid w:val="00CE6110"/>
    <w:rsid w:val="00CF5C91"/>
    <w:rsid w:val="00D00053"/>
    <w:rsid w:val="00D030E3"/>
    <w:rsid w:val="00D046C3"/>
    <w:rsid w:val="00D06A23"/>
    <w:rsid w:val="00D10A40"/>
    <w:rsid w:val="00D32BCD"/>
    <w:rsid w:val="00D450C9"/>
    <w:rsid w:val="00D452B5"/>
    <w:rsid w:val="00D4535F"/>
    <w:rsid w:val="00D475EA"/>
    <w:rsid w:val="00D5738A"/>
    <w:rsid w:val="00D60C10"/>
    <w:rsid w:val="00D62CCE"/>
    <w:rsid w:val="00D64901"/>
    <w:rsid w:val="00D66D1C"/>
    <w:rsid w:val="00D70CA9"/>
    <w:rsid w:val="00D71136"/>
    <w:rsid w:val="00D754B2"/>
    <w:rsid w:val="00D76745"/>
    <w:rsid w:val="00D77FD0"/>
    <w:rsid w:val="00D807F3"/>
    <w:rsid w:val="00D82BC9"/>
    <w:rsid w:val="00D84C63"/>
    <w:rsid w:val="00D86E79"/>
    <w:rsid w:val="00D97192"/>
    <w:rsid w:val="00DA39C0"/>
    <w:rsid w:val="00DB5476"/>
    <w:rsid w:val="00DC2588"/>
    <w:rsid w:val="00DD05E1"/>
    <w:rsid w:val="00DD193C"/>
    <w:rsid w:val="00DD2360"/>
    <w:rsid w:val="00DD267A"/>
    <w:rsid w:val="00DD33C3"/>
    <w:rsid w:val="00DD3B47"/>
    <w:rsid w:val="00DD63F2"/>
    <w:rsid w:val="00DD7DBE"/>
    <w:rsid w:val="00DD7FC7"/>
    <w:rsid w:val="00DE273D"/>
    <w:rsid w:val="00DE5AB7"/>
    <w:rsid w:val="00DF1194"/>
    <w:rsid w:val="00DF1871"/>
    <w:rsid w:val="00E0366F"/>
    <w:rsid w:val="00E06CBB"/>
    <w:rsid w:val="00E0774C"/>
    <w:rsid w:val="00E21239"/>
    <w:rsid w:val="00E23B7D"/>
    <w:rsid w:val="00E250BD"/>
    <w:rsid w:val="00E46236"/>
    <w:rsid w:val="00E512F8"/>
    <w:rsid w:val="00E55444"/>
    <w:rsid w:val="00E613EF"/>
    <w:rsid w:val="00E7720A"/>
    <w:rsid w:val="00E81CD8"/>
    <w:rsid w:val="00E834C5"/>
    <w:rsid w:val="00E87949"/>
    <w:rsid w:val="00E923E2"/>
    <w:rsid w:val="00E927AE"/>
    <w:rsid w:val="00E93B4C"/>
    <w:rsid w:val="00EA5C9A"/>
    <w:rsid w:val="00EA68DA"/>
    <w:rsid w:val="00EB22B7"/>
    <w:rsid w:val="00EB2762"/>
    <w:rsid w:val="00EB27A9"/>
    <w:rsid w:val="00EB6516"/>
    <w:rsid w:val="00EC3555"/>
    <w:rsid w:val="00EC674C"/>
    <w:rsid w:val="00ED061E"/>
    <w:rsid w:val="00ED09BC"/>
    <w:rsid w:val="00ED62E5"/>
    <w:rsid w:val="00EE7697"/>
    <w:rsid w:val="00EF0DAF"/>
    <w:rsid w:val="00EF6BC7"/>
    <w:rsid w:val="00EF7585"/>
    <w:rsid w:val="00F01432"/>
    <w:rsid w:val="00F0253A"/>
    <w:rsid w:val="00F027A1"/>
    <w:rsid w:val="00F05247"/>
    <w:rsid w:val="00F07579"/>
    <w:rsid w:val="00F07FC3"/>
    <w:rsid w:val="00F14537"/>
    <w:rsid w:val="00F16BC5"/>
    <w:rsid w:val="00F23F4B"/>
    <w:rsid w:val="00F24683"/>
    <w:rsid w:val="00F250BB"/>
    <w:rsid w:val="00F25877"/>
    <w:rsid w:val="00F26723"/>
    <w:rsid w:val="00F31EE5"/>
    <w:rsid w:val="00F326DE"/>
    <w:rsid w:val="00F34F13"/>
    <w:rsid w:val="00F35B23"/>
    <w:rsid w:val="00F378BA"/>
    <w:rsid w:val="00F43D31"/>
    <w:rsid w:val="00F55DE5"/>
    <w:rsid w:val="00F75E83"/>
    <w:rsid w:val="00F76152"/>
    <w:rsid w:val="00F819C9"/>
    <w:rsid w:val="00F954D6"/>
    <w:rsid w:val="00FA4455"/>
    <w:rsid w:val="00FB2118"/>
    <w:rsid w:val="00FB3A7F"/>
    <w:rsid w:val="00FB53B3"/>
    <w:rsid w:val="00FB6571"/>
    <w:rsid w:val="00FC4D71"/>
    <w:rsid w:val="00FC4F17"/>
    <w:rsid w:val="00FC4F20"/>
    <w:rsid w:val="00FC5013"/>
    <w:rsid w:val="00FC65A1"/>
    <w:rsid w:val="00FE1A59"/>
    <w:rsid w:val="00FF04F0"/>
    <w:rsid w:val="00FF1AD1"/>
    <w:rsid w:val="00FF34C4"/>
    <w:rsid w:val="00FF7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17709F-24AE-43E4-88E4-8BA300A2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Collegamentoipertestuale">
    <w:name w:val="Hyperlink"/>
    <w:basedOn w:val="Carpredefinitoparagrafo"/>
    <w:uiPriority w:val="99"/>
    <w:unhideWhenUsed/>
    <w:rsid w:val="00FB3A7F"/>
    <w:rPr>
      <w:color w:val="0563C1" w:themeColor="hyperlink"/>
      <w:u w:val="single"/>
    </w:rPr>
  </w:style>
  <w:style w:type="paragraph" w:styleId="Titolosommario">
    <w:name w:val="TOC Heading"/>
    <w:basedOn w:val="Titolo1"/>
    <w:next w:val="Normale"/>
    <w:uiPriority w:val="39"/>
    <w:unhideWhenUsed/>
    <w:qFormat/>
    <w:rsid w:val="005238F0"/>
    <w:pPr>
      <w:numPr>
        <w:numId w:val="0"/>
      </w:numPr>
      <w:suppressAutoHyphens w:val="0"/>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it-IT" w:eastAsia="it-IT"/>
    </w:rPr>
  </w:style>
  <w:style w:type="paragraph" w:styleId="Sommario1">
    <w:name w:val="toc 1"/>
    <w:basedOn w:val="Normale"/>
    <w:next w:val="Normale"/>
    <w:autoRedefine/>
    <w:uiPriority w:val="39"/>
    <w:unhideWhenUsed/>
    <w:rsid w:val="005238F0"/>
    <w:pPr>
      <w:spacing w:after="100"/>
    </w:pPr>
  </w:style>
  <w:style w:type="paragraph" w:styleId="Sommario2">
    <w:name w:val="toc 2"/>
    <w:basedOn w:val="Normale"/>
    <w:next w:val="Normale"/>
    <w:autoRedefine/>
    <w:uiPriority w:val="39"/>
    <w:unhideWhenUsed/>
    <w:rsid w:val="005238F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04562\Desktop\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F9A4-7E2D-4E1E-B178-31DD89F9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3822</TotalTime>
  <Pages>11</Pages>
  <Words>6008</Words>
  <Characters>34248</Characters>
  <Application>Microsoft Office Word</Application>
  <DocSecurity>0</DocSecurity>
  <Lines>285</Lines>
  <Paragraphs>80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40176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Leonida Giunta</dc:creator>
  <cp:keywords/>
  <cp:lastModifiedBy>Luca</cp:lastModifiedBy>
  <cp:revision>664</cp:revision>
  <cp:lastPrinted>2008-10-24T09:15:00Z</cp:lastPrinted>
  <dcterms:created xsi:type="dcterms:W3CDTF">2018-03-11T14:23:00Z</dcterms:created>
  <dcterms:modified xsi:type="dcterms:W3CDTF">2018-04-03T10:36:00Z</dcterms:modified>
</cp:coreProperties>
</file>