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454" w:rsidRDefault="00FF6454" w:rsidP="00651618">
      <w:pPr>
        <w:pStyle w:val="Titolo"/>
      </w:pPr>
      <w:r w:rsidRPr="00636118">
        <w:t xml:space="preserve">Definition </w:t>
      </w:r>
      <w:r>
        <w:t>a</w:t>
      </w:r>
      <w:r w:rsidRPr="00636118">
        <w:t xml:space="preserve">nd Development </w:t>
      </w:r>
      <w:r>
        <w:t>o</w:t>
      </w:r>
      <w:r w:rsidRPr="00636118">
        <w:t xml:space="preserve">f </w:t>
      </w:r>
      <w:r>
        <w:t>t</w:t>
      </w:r>
      <w:r w:rsidRPr="00636118">
        <w:t xml:space="preserve">he Modularity Features </w:t>
      </w:r>
      <w:r>
        <w:t>f</w:t>
      </w:r>
      <w:r w:rsidRPr="00636118">
        <w:t xml:space="preserve">or </w:t>
      </w:r>
      <w:r>
        <w:t>t</w:t>
      </w:r>
      <w:r w:rsidRPr="00636118">
        <w:t>he Italian Navy Multirole Patrol Vessel Mission Bay</w:t>
      </w:r>
      <w:r w:rsidR="00685D19">
        <w:t>s</w:t>
      </w:r>
    </w:p>
    <w:p w:rsidR="00FF6454" w:rsidRPr="009F2686" w:rsidRDefault="00FF6454" w:rsidP="00FF6454">
      <w:pPr>
        <w:jc w:val="center"/>
        <w:rPr>
          <w:vertAlign w:val="superscript"/>
          <w:lang w:val="it-IT"/>
        </w:rPr>
      </w:pPr>
      <w:r w:rsidRPr="009F2686">
        <w:rPr>
          <w:lang w:val="it-IT"/>
        </w:rPr>
        <w:t xml:space="preserve">Francesco </w:t>
      </w:r>
      <w:proofErr w:type="spellStart"/>
      <w:r w:rsidRPr="009F2686">
        <w:rPr>
          <w:lang w:val="it-IT"/>
        </w:rPr>
        <w:t>GRECO</w:t>
      </w:r>
      <w:r w:rsidRPr="009F2686">
        <w:rPr>
          <w:vertAlign w:val="superscript"/>
          <w:lang w:val="it-IT"/>
        </w:rPr>
        <w:t>a</w:t>
      </w:r>
      <w:proofErr w:type="spellEnd"/>
      <w:r>
        <w:rPr>
          <w:rStyle w:val="Rimandonotaapidipagina"/>
          <w:rFonts w:asciiTheme="majorBidi" w:hAnsiTheme="majorBidi" w:cstheme="majorBidi"/>
          <w:szCs w:val="20"/>
        </w:rPr>
        <w:footnoteReference w:id="1"/>
      </w:r>
      <w:r w:rsidRPr="009F2686">
        <w:rPr>
          <w:lang w:val="it-IT"/>
        </w:rPr>
        <w:t xml:space="preserve">, Simone </w:t>
      </w:r>
      <w:proofErr w:type="spellStart"/>
      <w:r w:rsidRPr="009F2686">
        <w:rPr>
          <w:lang w:val="it-IT"/>
        </w:rPr>
        <w:t>SERPAGLI</w:t>
      </w:r>
      <w:r w:rsidRPr="009F2686">
        <w:rPr>
          <w:vertAlign w:val="superscript"/>
          <w:lang w:val="it-IT"/>
        </w:rPr>
        <w:t>b</w:t>
      </w:r>
      <w:proofErr w:type="spellEnd"/>
    </w:p>
    <w:p w:rsidR="00FF6454" w:rsidRPr="007602F2" w:rsidRDefault="00FF6454" w:rsidP="00FF6454">
      <w:pPr>
        <w:jc w:val="center"/>
        <w:rPr>
          <w:i/>
          <w:iCs/>
        </w:rPr>
      </w:pPr>
      <w:r w:rsidRPr="007602F2">
        <w:rPr>
          <w:i/>
          <w:iCs/>
          <w:vertAlign w:val="superscript"/>
        </w:rPr>
        <w:t>a</w:t>
      </w:r>
      <w:r w:rsidRPr="007602F2">
        <w:rPr>
          <w:i/>
          <w:iCs/>
        </w:rPr>
        <w:t xml:space="preserve"> Italian General Navy Staff, Rome, Italy</w:t>
      </w:r>
    </w:p>
    <w:p w:rsidR="00651618" w:rsidRPr="009F2686" w:rsidRDefault="00FF6454" w:rsidP="00651618">
      <w:pPr>
        <w:jc w:val="center"/>
        <w:rPr>
          <w:i/>
          <w:iCs/>
          <w:lang w:val="it-IT"/>
        </w:rPr>
      </w:pPr>
      <w:r w:rsidRPr="009F2686">
        <w:rPr>
          <w:i/>
          <w:iCs/>
          <w:vertAlign w:val="superscript"/>
          <w:lang w:val="it-IT"/>
        </w:rPr>
        <w:t>b</w:t>
      </w:r>
      <w:r w:rsidRPr="009F2686">
        <w:rPr>
          <w:i/>
          <w:iCs/>
          <w:lang w:val="it-IT"/>
        </w:rPr>
        <w:t xml:space="preserve"> </w:t>
      </w:r>
      <w:r w:rsidR="00775B34" w:rsidRPr="009F2686">
        <w:rPr>
          <w:i/>
          <w:iCs/>
          <w:lang w:val="it-IT"/>
        </w:rPr>
        <w:t>Fincantieri</w:t>
      </w:r>
      <w:r w:rsidRPr="009F2686">
        <w:rPr>
          <w:i/>
          <w:iCs/>
          <w:lang w:val="it-IT"/>
        </w:rPr>
        <w:t xml:space="preserve"> </w:t>
      </w:r>
      <w:proofErr w:type="spellStart"/>
      <w:r w:rsidRPr="009F2686">
        <w:rPr>
          <w:i/>
          <w:iCs/>
          <w:lang w:val="it-IT"/>
        </w:rPr>
        <w:t>SpA</w:t>
      </w:r>
      <w:proofErr w:type="spellEnd"/>
      <w:r w:rsidRPr="009F2686">
        <w:rPr>
          <w:i/>
          <w:iCs/>
          <w:lang w:val="it-IT"/>
        </w:rPr>
        <w:t>, Genova, Italy</w:t>
      </w:r>
    </w:p>
    <w:p w:rsidR="00651618" w:rsidRPr="00B06867" w:rsidRDefault="004D4FCD" w:rsidP="00F2513D">
      <w:pPr>
        <w:spacing w:before="480"/>
        <w:ind w:left="851" w:right="851" w:firstLine="0"/>
        <w:rPr>
          <w:rFonts w:eastAsia="Times New Roman"/>
          <w:sz w:val="16"/>
          <w:szCs w:val="16"/>
          <w:lang w:val="en-GB"/>
        </w:rPr>
      </w:pPr>
      <w:r w:rsidRPr="00D7030F">
        <w:rPr>
          <w:rFonts w:eastAsia="Times New Roman"/>
          <w:b/>
          <w:bCs/>
          <w:kern w:val="32"/>
          <w:sz w:val="16"/>
          <w:szCs w:val="16"/>
          <w:lang w:val="en-GB"/>
        </w:rPr>
        <w:t>Abstract</w:t>
      </w:r>
      <w:r w:rsidR="00D7030F">
        <w:rPr>
          <w:rFonts w:eastAsia="Times New Roman"/>
          <w:b/>
          <w:bCs/>
          <w:kern w:val="32"/>
          <w:sz w:val="16"/>
          <w:szCs w:val="16"/>
          <w:lang w:val="en-GB"/>
        </w:rPr>
        <w:t xml:space="preserve">. </w:t>
      </w:r>
      <w:r w:rsidR="00636118" w:rsidRPr="00636118">
        <w:rPr>
          <w:rFonts w:eastAsia="Times New Roman"/>
          <w:sz w:val="16"/>
          <w:szCs w:val="16"/>
          <w:lang w:val="en-GB"/>
        </w:rPr>
        <w:t>All NATO navies are facing the challenge of meeting current and future operational requirements while reducing procurement and life cycle cost of naval platform.</w:t>
      </w:r>
      <w:r w:rsidR="00636118">
        <w:rPr>
          <w:rFonts w:eastAsia="Times New Roman"/>
          <w:sz w:val="16"/>
          <w:szCs w:val="16"/>
          <w:lang w:val="en-GB"/>
        </w:rPr>
        <w:t xml:space="preserve"> </w:t>
      </w:r>
      <w:r w:rsidR="00636118" w:rsidRPr="00636118">
        <w:rPr>
          <w:rFonts w:eastAsia="Times New Roman"/>
          <w:sz w:val="16"/>
          <w:szCs w:val="16"/>
          <w:lang w:val="en-GB"/>
        </w:rPr>
        <w:t xml:space="preserve">To this regard, the Italian Navy </w:t>
      </w:r>
      <w:r w:rsidR="00951F9C">
        <w:rPr>
          <w:rFonts w:eastAsia="Times New Roman"/>
          <w:sz w:val="16"/>
          <w:szCs w:val="16"/>
          <w:lang w:val="en-GB"/>
        </w:rPr>
        <w:t xml:space="preserve">(IT Navy) </w:t>
      </w:r>
      <w:r w:rsidR="00636118" w:rsidRPr="00636118">
        <w:rPr>
          <w:rFonts w:eastAsia="Times New Roman"/>
          <w:sz w:val="16"/>
          <w:szCs w:val="16"/>
          <w:lang w:val="en-GB"/>
        </w:rPr>
        <w:t>has adopted, over the last years, new design concepts in order to maximize operational flexibility for future needs by an extensive use of modularity features on its platforms.</w:t>
      </w:r>
      <w:r w:rsidR="00636118">
        <w:rPr>
          <w:rFonts w:eastAsia="Times New Roman"/>
          <w:sz w:val="16"/>
          <w:szCs w:val="16"/>
          <w:lang w:val="en-GB"/>
        </w:rPr>
        <w:t xml:space="preserve"> </w:t>
      </w:r>
      <w:r w:rsidR="00636118" w:rsidRPr="00636118">
        <w:rPr>
          <w:rFonts w:eastAsia="Times New Roman"/>
          <w:sz w:val="16"/>
          <w:szCs w:val="16"/>
          <w:lang w:val="en-GB"/>
        </w:rPr>
        <w:t>During 2016 through 2017, the activities performed in the NATO Mission Modularity Specialist Team, NATO Total Ship System Engineering Specialist Team and in the procurement activities for the Italian Navy Multirole Patrol Vessel project, allowed to define a collaborative multi-disciplinary team between Italian Navy and Italian companies (Fincantieri) in order to identity and develop an exploratory approach for assessing the capabilities and functionality features of newly designed mission bays.</w:t>
      </w:r>
      <w:r w:rsidR="00636118">
        <w:rPr>
          <w:rFonts w:eastAsia="Times New Roman"/>
          <w:sz w:val="16"/>
          <w:szCs w:val="16"/>
          <w:lang w:val="en-GB"/>
        </w:rPr>
        <w:t xml:space="preserve"> </w:t>
      </w:r>
      <w:r w:rsidR="00636118" w:rsidRPr="00636118">
        <w:rPr>
          <w:rFonts w:eastAsia="Times New Roman"/>
          <w:sz w:val="16"/>
          <w:szCs w:val="16"/>
          <w:lang w:val="en-GB"/>
        </w:rPr>
        <w:t xml:space="preserve">This paper aims at underlining the </w:t>
      </w:r>
      <w:r w:rsidR="00951F9C">
        <w:rPr>
          <w:rFonts w:eastAsia="Times New Roman"/>
          <w:sz w:val="16"/>
          <w:szCs w:val="16"/>
          <w:lang w:val="en-GB"/>
        </w:rPr>
        <w:t xml:space="preserve">IT Navy </w:t>
      </w:r>
      <w:r w:rsidR="00636118" w:rsidRPr="00636118">
        <w:rPr>
          <w:rFonts w:eastAsia="Times New Roman"/>
          <w:sz w:val="16"/>
          <w:szCs w:val="16"/>
          <w:lang w:val="en-GB"/>
        </w:rPr>
        <w:t xml:space="preserve">innovative approach to procure more effective and affordable naval units, through a deep insight on </w:t>
      </w:r>
      <w:r w:rsidR="00951F9C">
        <w:rPr>
          <w:rFonts w:eastAsia="Times New Roman"/>
          <w:sz w:val="16"/>
          <w:szCs w:val="16"/>
          <w:lang w:val="en-GB"/>
        </w:rPr>
        <w:t xml:space="preserve">the </w:t>
      </w:r>
      <w:r w:rsidR="00636118" w:rsidRPr="00636118">
        <w:rPr>
          <w:rFonts w:eastAsia="Times New Roman"/>
          <w:sz w:val="16"/>
          <w:szCs w:val="16"/>
          <w:lang w:val="en-GB"/>
        </w:rPr>
        <w:t xml:space="preserve">whole-warship design impact of Mission Bays and standardized modular areas, </w:t>
      </w:r>
      <w:r w:rsidR="00951F9C">
        <w:rPr>
          <w:rFonts w:eastAsia="Times New Roman"/>
          <w:sz w:val="16"/>
          <w:szCs w:val="16"/>
          <w:lang w:val="en-GB"/>
        </w:rPr>
        <w:t xml:space="preserve">aiming at the </w:t>
      </w:r>
      <w:r w:rsidR="00636118" w:rsidRPr="00636118">
        <w:rPr>
          <w:rFonts w:eastAsia="Times New Roman"/>
          <w:sz w:val="16"/>
          <w:szCs w:val="16"/>
          <w:lang w:val="en-GB"/>
        </w:rPr>
        <w:t xml:space="preserve">maximum versatility of operational use of </w:t>
      </w:r>
      <w:r w:rsidR="00951F9C">
        <w:rPr>
          <w:rFonts w:eastAsia="Times New Roman"/>
          <w:sz w:val="16"/>
          <w:szCs w:val="16"/>
          <w:lang w:val="en-GB"/>
        </w:rPr>
        <w:t xml:space="preserve">its </w:t>
      </w:r>
      <w:r w:rsidR="00636118" w:rsidRPr="00636118">
        <w:rPr>
          <w:rFonts w:eastAsia="Times New Roman"/>
          <w:sz w:val="16"/>
          <w:szCs w:val="16"/>
          <w:lang w:val="en-GB"/>
        </w:rPr>
        <w:t>military ships</w:t>
      </w:r>
      <w:r w:rsidRPr="00B06867">
        <w:rPr>
          <w:rFonts w:eastAsia="Times New Roman"/>
          <w:sz w:val="16"/>
          <w:szCs w:val="16"/>
          <w:lang w:val="en-GB"/>
        </w:rPr>
        <w:t>.</w:t>
      </w:r>
    </w:p>
    <w:p w:rsidR="00651618" w:rsidRPr="009F2686" w:rsidRDefault="00D7030F" w:rsidP="00F2513D">
      <w:pPr>
        <w:spacing w:before="240" w:after="240"/>
        <w:ind w:left="851" w:right="851" w:firstLine="0"/>
        <w:rPr>
          <w:sz w:val="16"/>
          <w:szCs w:val="16"/>
          <w:lang w:val="it-IT"/>
        </w:rPr>
      </w:pPr>
      <w:proofErr w:type="spellStart"/>
      <w:r w:rsidRPr="009F2686">
        <w:rPr>
          <w:b/>
          <w:bCs/>
          <w:sz w:val="16"/>
          <w:szCs w:val="16"/>
          <w:lang w:val="it-IT"/>
        </w:rPr>
        <w:t>Keywords</w:t>
      </w:r>
      <w:proofErr w:type="spellEnd"/>
      <w:r w:rsidR="00DC47DA" w:rsidRPr="009F2686">
        <w:rPr>
          <w:b/>
          <w:bCs/>
          <w:sz w:val="16"/>
          <w:szCs w:val="16"/>
          <w:lang w:val="it-IT"/>
        </w:rPr>
        <w:t>.</w:t>
      </w:r>
      <w:r w:rsidR="00980541" w:rsidRPr="009F2686">
        <w:rPr>
          <w:sz w:val="16"/>
          <w:szCs w:val="16"/>
          <w:lang w:val="it-IT"/>
        </w:rPr>
        <w:t xml:space="preserve"> </w:t>
      </w:r>
      <w:proofErr w:type="spellStart"/>
      <w:r w:rsidR="00636118" w:rsidRPr="009F2686">
        <w:rPr>
          <w:sz w:val="16"/>
          <w:szCs w:val="16"/>
          <w:lang w:val="it-IT"/>
        </w:rPr>
        <w:t>Italian</w:t>
      </w:r>
      <w:proofErr w:type="spellEnd"/>
      <w:r w:rsidR="00636118" w:rsidRPr="009F2686">
        <w:rPr>
          <w:sz w:val="16"/>
          <w:szCs w:val="16"/>
          <w:lang w:val="it-IT"/>
        </w:rPr>
        <w:t xml:space="preserve"> </w:t>
      </w:r>
      <w:proofErr w:type="spellStart"/>
      <w:r w:rsidR="00636118" w:rsidRPr="009F2686">
        <w:rPr>
          <w:sz w:val="16"/>
          <w:szCs w:val="16"/>
          <w:lang w:val="it-IT"/>
        </w:rPr>
        <w:t>Navy</w:t>
      </w:r>
      <w:proofErr w:type="spellEnd"/>
      <w:r w:rsidR="00636118" w:rsidRPr="009F2686">
        <w:rPr>
          <w:sz w:val="16"/>
          <w:szCs w:val="16"/>
          <w:lang w:val="it-IT"/>
        </w:rPr>
        <w:t xml:space="preserve">, Marina Militare Italiana, Fincantieri, </w:t>
      </w:r>
      <w:proofErr w:type="spellStart"/>
      <w:r w:rsidR="00636118" w:rsidRPr="009F2686">
        <w:rPr>
          <w:sz w:val="16"/>
          <w:szCs w:val="16"/>
          <w:lang w:val="it-IT"/>
        </w:rPr>
        <w:t>Multirole</w:t>
      </w:r>
      <w:proofErr w:type="spellEnd"/>
      <w:r w:rsidR="00636118" w:rsidRPr="009F2686">
        <w:rPr>
          <w:sz w:val="16"/>
          <w:szCs w:val="16"/>
          <w:lang w:val="it-IT"/>
        </w:rPr>
        <w:t xml:space="preserve"> </w:t>
      </w:r>
      <w:proofErr w:type="spellStart"/>
      <w:r w:rsidR="00636118" w:rsidRPr="009F2686">
        <w:rPr>
          <w:sz w:val="16"/>
          <w:szCs w:val="16"/>
          <w:lang w:val="it-IT"/>
        </w:rPr>
        <w:t>Patrol</w:t>
      </w:r>
      <w:proofErr w:type="spellEnd"/>
      <w:r w:rsidR="00636118" w:rsidRPr="009F2686">
        <w:rPr>
          <w:sz w:val="16"/>
          <w:szCs w:val="16"/>
          <w:lang w:val="it-IT"/>
        </w:rPr>
        <w:t xml:space="preserve"> Vessel, PPA, </w:t>
      </w:r>
      <w:proofErr w:type="spellStart"/>
      <w:r w:rsidR="00636118" w:rsidRPr="009F2686">
        <w:rPr>
          <w:sz w:val="16"/>
          <w:szCs w:val="16"/>
          <w:lang w:val="it-IT"/>
        </w:rPr>
        <w:t>Mission</w:t>
      </w:r>
      <w:proofErr w:type="spellEnd"/>
      <w:r w:rsidR="00636118" w:rsidRPr="009F2686">
        <w:rPr>
          <w:sz w:val="16"/>
          <w:szCs w:val="16"/>
          <w:lang w:val="it-IT"/>
        </w:rPr>
        <w:t xml:space="preserve"> </w:t>
      </w:r>
      <w:proofErr w:type="spellStart"/>
      <w:r w:rsidR="00636118" w:rsidRPr="009F2686">
        <w:rPr>
          <w:sz w:val="16"/>
          <w:szCs w:val="16"/>
          <w:lang w:val="it-IT"/>
        </w:rPr>
        <w:t>Modularity</w:t>
      </w:r>
      <w:proofErr w:type="spellEnd"/>
      <w:r w:rsidR="0004113D">
        <w:rPr>
          <w:sz w:val="16"/>
          <w:szCs w:val="16"/>
          <w:lang w:val="it-IT"/>
        </w:rPr>
        <w:t xml:space="preserve"> (MM)</w:t>
      </w:r>
      <w:r w:rsidR="00636118" w:rsidRPr="009F2686">
        <w:rPr>
          <w:sz w:val="16"/>
          <w:szCs w:val="16"/>
          <w:lang w:val="it-IT"/>
        </w:rPr>
        <w:t xml:space="preserve">, </w:t>
      </w:r>
      <w:proofErr w:type="spellStart"/>
      <w:r w:rsidR="00636118" w:rsidRPr="009F2686">
        <w:rPr>
          <w:sz w:val="16"/>
          <w:szCs w:val="16"/>
          <w:lang w:val="it-IT"/>
        </w:rPr>
        <w:t>Mission</w:t>
      </w:r>
      <w:proofErr w:type="spellEnd"/>
      <w:r w:rsidR="00636118" w:rsidRPr="009F2686">
        <w:rPr>
          <w:sz w:val="16"/>
          <w:szCs w:val="16"/>
          <w:lang w:val="it-IT"/>
        </w:rPr>
        <w:t xml:space="preserve"> </w:t>
      </w:r>
      <w:proofErr w:type="spellStart"/>
      <w:r w:rsidR="00636118" w:rsidRPr="009F2686">
        <w:rPr>
          <w:sz w:val="16"/>
          <w:szCs w:val="16"/>
          <w:lang w:val="it-IT"/>
        </w:rPr>
        <w:t>Bays</w:t>
      </w:r>
      <w:proofErr w:type="spellEnd"/>
      <w:r w:rsidR="002A47B7" w:rsidRPr="009F2686">
        <w:rPr>
          <w:sz w:val="16"/>
          <w:szCs w:val="16"/>
          <w:lang w:val="it-IT"/>
        </w:rPr>
        <w:t>.</w:t>
      </w:r>
    </w:p>
    <w:p w:rsidR="00E55B03" w:rsidRDefault="00E55B03" w:rsidP="00E55B03">
      <w:pPr>
        <w:pStyle w:val="Titolo1"/>
        <w:rPr>
          <w:lang w:val="en-GB"/>
        </w:rPr>
      </w:pPr>
      <w:r>
        <w:rPr>
          <w:lang w:val="en-GB"/>
        </w:rPr>
        <w:t>Introduction</w:t>
      </w:r>
    </w:p>
    <w:p w:rsidR="007602F2" w:rsidRDefault="00636118" w:rsidP="007602F2">
      <w:pPr>
        <w:ind w:firstLine="0"/>
        <w:rPr>
          <w:szCs w:val="16"/>
        </w:rPr>
      </w:pPr>
      <w:r w:rsidRPr="00636118">
        <w:rPr>
          <w:lang w:val="en-GB"/>
        </w:rPr>
        <w:t>Over the last years Italian Navy has put additional effort during the early design stage of the development of its new warship in order to wisely balance the need for increased operational capabilities with systems affordability</w:t>
      </w:r>
      <w:r w:rsidR="000D1F4B">
        <w:rPr>
          <w:lang w:val="en-GB"/>
        </w:rPr>
        <w:t xml:space="preserve">, as reported in </w:t>
      </w:r>
      <w:proofErr w:type="spellStart"/>
      <w:r w:rsidR="000D1F4B">
        <w:rPr>
          <w:lang w:val="en-GB"/>
        </w:rPr>
        <w:t>Grimaldi</w:t>
      </w:r>
      <w:proofErr w:type="spellEnd"/>
      <w:r w:rsidR="000D1F4B">
        <w:rPr>
          <w:lang w:val="en-GB"/>
        </w:rPr>
        <w:t xml:space="preserve"> [1]</w:t>
      </w:r>
      <w:r w:rsidRPr="00636118">
        <w:rPr>
          <w:lang w:val="en-GB"/>
        </w:rPr>
        <w:t>.</w:t>
      </w:r>
      <w:r>
        <w:rPr>
          <w:lang w:val="en-GB"/>
        </w:rPr>
        <w:t xml:space="preserve"> </w:t>
      </w:r>
      <w:r w:rsidRPr="00636118">
        <w:rPr>
          <w:lang w:val="en-GB"/>
        </w:rPr>
        <w:t xml:space="preserve">One of the central ideas for achieving the aforementioned goal has been the extensive use of maritime Mission Modularity (MM) that, according to the NATO-wise common meaning, is the process of delivering capability in a vessel through the use of standardised modules (containers, skids or other standard arrangements). Mission Modularity allows a naval operator to share and embark a capability on several vessels, to re-role vessels in a short period of time and even to share capabilities across navies. Since the full development of a Mission Modularity capable ships requires the ship designer to take into account transversal impact on overall ship size, displacement on so on, Italian Navy, leveraging the knowledge developed in the NATO Mission Modularity Specialist Team and in the NATO Total Ship System Engineering </w:t>
      </w:r>
      <w:r w:rsidRPr="00636118">
        <w:rPr>
          <w:lang w:val="en-GB"/>
        </w:rPr>
        <w:lastRenderedPageBreak/>
        <w:t>Specialist Team, decided to establish a standing working group (with both Governmental and Industry representative</w:t>
      </w:r>
      <w:r w:rsidR="00DF2077">
        <w:rPr>
          <w:lang w:val="en-GB"/>
        </w:rPr>
        <w:t>s</w:t>
      </w:r>
      <w:r w:rsidRPr="00636118">
        <w:rPr>
          <w:lang w:val="en-GB"/>
        </w:rPr>
        <w:t>) for the full development of this concept.</w:t>
      </w:r>
      <w:r>
        <w:rPr>
          <w:lang w:val="en-GB"/>
        </w:rPr>
        <w:t xml:space="preserve"> </w:t>
      </w:r>
      <w:r w:rsidRPr="00636118">
        <w:rPr>
          <w:lang w:val="en-GB"/>
        </w:rPr>
        <w:t>One of the main goal was to practically determine how to better fit all the requirements</w:t>
      </w:r>
      <w:r w:rsidR="00DF2077">
        <w:rPr>
          <w:lang w:val="en-GB"/>
        </w:rPr>
        <w:t>,</w:t>
      </w:r>
      <w:r w:rsidRPr="00636118">
        <w:rPr>
          <w:lang w:val="en-GB"/>
        </w:rPr>
        <w:t xml:space="preserve"> related to Mission Modularity</w:t>
      </w:r>
      <w:r w:rsidR="00DF2077">
        <w:rPr>
          <w:lang w:val="en-GB"/>
        </w:rPr>
        <w:t>,</w:t>
      </w:r>
      <w:r w:rsidRPr="00636118">
        <w:rPr>
          <w:lang w:val="en-GB"/>
        </w:rPr>
        <w:t xml:space="preserve"> in the procurement activities of the new Multipurpose Offshore Patrol Vessel (PPA)</w:t>
      </w:r>
      <w:r w:rsidR="001443B6">
        <w:rPr>
          <w:lang w:val="en-GB"/>
        </w:rPr>
        <w:t xml:space="preserve"> (Figure 1)</w:t>
      </w:r>
      <w:r w:rsidRPr="00636118">
        <w:rPr>
          <w:lang w:val="en-GB"/>
        </w:rPr>
        <w:t>, now under construction by Fincantieri for the Italian Navy</w:t>
      </w:r>
      <w:r>
        <w:rPr>
          <w:lang w:val="en-GB"/>
        </w:rPr>
        <w:t>.</w:t>
      </w:r>
      <w:r w:rsidR="0004113D">
        <w:rPr>
          <w:lang w:val="en-GB"/>
        </w:rPr>
        <w:t xml:space="preserve"> </w:t>
      </w:r>
      <w:r w:rsidR="00817752">
        <w:rPr>
          <w:szCs w:val="16"/>
        </w:rPr>
        <w:t xml:space="preserve">A similar approach was developed by the US navy starting from 2010 for the LCS (Littoral Combat Ship) project, which had a </w:t>
      </w:r>
      <w:r w:rsidR="00817752" w:rsidRPr="00817752">
        <w:rPr>
          <w:szCs w:val="16"/>
        </w:rPr>
        <w:t>constrained budget with fulfilling its missions in an environment of evolving threats</w:t>
      </w:r>
      <w:r w:rsidR="00817752">
        <w:rPr>
          <w:szCs w:val="16"/>
        </w:rPr>
        <w:t xml:space="preserve"> </w:t>
      </w:r>
      <w:r w:rsidR="00817752" w:rsidRPr="00817752">
        <w:rPr>
          <w:szCs w:val="16"/>
        </w:rPr>
        <w:t>and a corresponding rapidly evolving mission system technology bas</w:t>
      </w:r>
      <w:r w:rsidR="00817752">
        <w:rPr>
          <w:szCs w:val="16"/>
        </w:rPr>
        <w:t xml:space="preserve">e. This is the main reason to Modular Adaptable Ship (MAS) </w:t>
      </w:r>
      <w:r w:rsidR="00817752" w:rsidRPr="00817752">
        <w:rPr>
          <w:szCs w:val="16"/>
        </w:rPr>
        <w:t xml:space="preserve">technologies </w:t>
      </w:r>
      <w:r w:rsidR="00DF2077">
        <w:rPr>
          <w:szCs w:val="16"/>
        </w:rPr>
        <w:t>in order to enabling</w:t>
      </w:r>
      <w:r w:rsidR="00817752" w:rsidRPr="00817752">
        <w:rPr>
          <w:szCs w:val="16"/>
        </w:rPr>
        <w:t xml:space="preserve"> the affordable transformation of a ship over its service life </w:t>
      </w:r>
      <w:r w:rsidR="00DF2077">
        <w:rPr>
          <w:szCs w:val="16"/>
        </w:rPr>
        <w:t xml:space="preserve">and </w:t>
      </w:r>
      <w:r w:rsidR="00817752">
        <w:rPr>
          <w:szCs w:val="16"/>
        </w:rPr>
        <w:t>to maintain military relevance. T</w:t>
      </w:r>
      <w:r w:rsidR="006A1F7C" w:rsidRPr="006A1F7C">
        <w:rPr>
          <w:szCs w:val="16"/>
        </w:rPr>
        <w:t>he LCS is de</w:t>
      </w:r>
      <w:r w:rsidR="00DF2077">
        <w:rPr>
          <w:szCs w:val="16"/>
        </w:rPr>
        <w:t xml:space="preserve">signed to augment its core self </w:t>
      </w:r>
      <w:r w:rsidR="006A1F7C" w:rsidRPr="006A1F7C">
        <w:rPr>
          <w:szCs w:val="16"/>
        </w:rPr>
        <w:t>defense capability with modular mission packages (MPs) that provide focused warfighting capabilities</w:t>
      </w:r>
      <w:r w:rsidR="00817752">
        <w:rPr>
          <w:szCs w:val="16"/>
        </w:rPr>
        <w:t xml:space="preserve">, as indicated in </w:t>
      </w:r>
      <w:proofErr w:type="spellStart"/>
      <w:r w:rsidR="00817752">
        <w:rPr>
          <w:szCs w:val="16"/>
        </w:rPr>
        <w:t>Volkert</w:t>
      </w:r>
      <w:proofErr w:type="spellEnd"/>
      <w:r w:rsidR="00817752">
        <w:rPr>
          <w:szCs w:val="16"/>
        </w:rPr>
        <w:t xml:space="preserve"> et al. [</w:t>
      </w:r>
      <w:r w:rsidR="000D1F4B">
        <w:rPr>
          <w:szCs w:val="16"/>
        </w:rPr>
        <w:t>2</w:t>
      </w:r>
      <w:r w:rsidR="00817752">
        <w:rPr>
          <w:szCs w:val="16"/>
        </w:rPr>
        <w:t>]</w:t>
      </w:r>
      <w:r w:rsidR="00663572">
        <w:rPr>
          <w:szCs w:val="16"/>
        </w:rPr>
        <w:t xml:space="preserve"> and in </w:t>
      </w:r>
      <w:proofErr w:type="spellStart"/>
      <w:r w:rsidR="00663572">
        <w:rPr>
          <w:szCs w:val="16"/>
        </w:rPr>
        <w:t>Doerry</w:t>
      </w:r>
      <w:proofErr w:type="spellEnd"/>
      <w:r w:rsidR="00663572">
        <w:rPr>
          <w:szCs w:val="16"/>
        </w:rPr>
        <w:t xml:space="preserve"> [3].</w:t>
      </w:r>
    </w:p>
    <w:p w:rsidR="007602F2" w:rsidRPr="007602F2" w:rsidRDefault="007602F2" w:rsidP="007602F2">
      <w:pPr>
        <w:ind w:firstLine="0"/>
        <w:rPr>
          <w:sz w:val="16"/>
          <w:szCs w:val="16"/>
        </w:rPr>
      </w:pPr>
    </w:p>
    <w:p w:rsidR="007602F2" w:rsidRDefault="00636118" w:rsidP="007602F2">
      <w:pPr>
        <w:ind w:firstLine="0"/>
        <w:jc w:val="center"/>
        <w:rPr>
          <w:rFonts w:eastAsia="Times New Roman"/>
          <w:b/>
          <w:sz w:val="16"/>
          <w:szCs w:val="20"/>
        </w:rPr>
      </w:pPr>
      <w:r w:rsidRPr="006A1F7C">
        <w:rPr>
          <w:rFonts w:eastAsia="Times New Roman"/>
          <w:i/>
          <w:noProof/>
          <w:sz w:val="16"/>
          <w:szCs w:val="16"/>
          <w:lang w:val="it-IT" w:eastAsia="it-IT"/>
        </w:rPr>
        <w:drawing>
          <wp:inline distT="0" distB="0" distL="0" distR="0">
            <wp:extent cx="2658313" cy="1349662"/>
            <wp:effectExtent l="19050" t="0" r="8687" b="0"/>
            <wp:docPr id="5" name="Immagine 1" descr="C:\Users\Sala Progetti\Desktop\Paper NAV 2018\R__R__RENDERING\PPA modello al 30 ottobr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Progetti\Desktop\Paper NAV 2018\R__R__RENDERING\PPA modello al 30 ottobre.122.jpg"/>
                    <pic:cNvPicPr>
                      <a:picLocks noChangeAspect="1" noChangeArrowheads="1"/>
                    </pic:cNvPicPr>
                  </pic:nvPicPr>
                  <pic:blipFill>
                    <a:blip r:embed="rId8" cstate="print"/>
                    <a:srcRect/>
                    <a:stretch>
                      <a:fillRect/>
                    </a:stretch>
                  </pic:blipFill>
                  <pic:spPr bwMode="auto">
                    <a:xfrm>
                      <a:off x="0" y="0"/>
                      <a:ext cx="2658313" cy="1349662"/>
                    </a:xfrm>
                    <a:prstGeom prst="rect">
                      <a:avLst/>
                    </a:prstGeom>
                    <a:noFill/>
                    <a:ln w="9525">
                      <a:noFill/>
                      <a:miter lim="800000"/>
                      <a:headEnd/>
                      <a:tailEnd/>
                    </a:ln>
                  </pic:spPr>
                </pic:pic>
              </a:graphicData>
            </a:graphic>
          </wp:inline>
        </w:drawing>
      </w:r>
    </w:p>
    <w:p w:rsidR="007602F2" w:rsidRDefault="00636118" w:rsidP="007602F2">
      <w:pPr>
        <w:pStyle w:val="CaptionShort"/>
      </w:pPr>
      <w:r w:rsidRPr="00BB7268">
        <w:rPr>
          <w:b/>
        </w:rPr>
        <w:t>Figure 1</w:t>
      </w:r>
      <w:r w:rsidR="00BE6F1C" w:rsidRPr="00BB7268">
        <w:rPr>
          <w:b/>
        </w:rPr>
        <w:t>.</w:t>
      </w:r>
      <w:r w:rsidRPr="00BB7268">
        <w:t xml:space="preserve"> PPA external view in a Virtual Reality (VR) environment.</w:t>
      </w:r>
      <w:bookmarkStart w:id="0" w:name="_GoBack"/>
      <w:bookmarkEnd w:id="0"/>
    </w:p>
    <w:p w:rsidR="00636118" w:rsidRPr="00636118" w:rsidRDefault="00636118" w:rsidP="0069749C">
      <w:pPr>
        <w:pStyle w:val="Titolo1"/>
        <w:rPr>
          <w:lang w:val="en-GB"/>
        </w:rPr>
      </w:pPr>
      <w:r>
        <w:rPr>
          <w:lang w:val="en-GB"/>
        </w:rPr>
        <w:t>Time constraint i</w:t>
      </w:r>
      <w:r w:rsidRPr="00636118">
        <w:rPr>
          <w:lang w:val="en-GB"/>
        </w:rPr>
        <w:t>n devel</w:t>
      </w:r>
      <w:r>
        <w:rPr>
          <w:lang w:val="en-GB"/>
        </w:rPr>
        <w:t>oping mission modularity for PPA</w:t>
      </w:r>
    </w:p>
    <w:p w:rsidR="00636118" w:rsidRDefault="00636118" w:rsidP="00A80FD2">
      <w:pPr>
        <w:keepNext/>
        <w:spacing w:after="240"/>
        <w:ind w:firstLine="0"/>
        <w:outlineLvl w:val="0"/>
        <w:rPr>
          <w:rFonts w:eastAsia="Times New Roman"/>
          <w:szCs w:val="20"/>
          <w:lang w:val="en-GB"/>
        </w:rPr>
      </w:pPr>
      <w:r w:rsidRPr="00636118">
        <w:rPr>
          <w:rFonts w:eastAsia="Times New Roman"/>
          <w:szCs w:val="20"/>
          <w:lang w:val="en-GB"/>
        </w:rPr>
        <w:t>Italian Navy firstly expressed the need for a Mission Modularity Capable Vessel in 2013 during the early concept design phase of the new warship that make up the Naval Law.</w:t>
      </w:r>
      <w:r>
        <w:rPr>
          <w:rFonts w:eastAsia="Times New Roman"/>
          <w:szCs w:val="20"/>
          <w:lang w:val="en-GB"/>
        </w:rPr>
        <w:t xml:space="preserve"> </w:t>
      </w:r>
      <w:r w:rsidRPr="00636118">
        <w:rPr>
          <w:rFonts w:eastAsia="Times New Roman"/>
          <w:szCs w:val="20"/>
          <w:lang w:val="en-GB"/>
        </w:rPr>
        <w:t xml:space="preserve">Fincantieri received formally the PPA’s operative requirement from Italian Navy in later 2013. Usually, this milestone represents the activity kick-off for Industry in the project, starting to breakdown functions into low-level requirements, with the scope of defining systems and solutions to be implemented in the ship. At that time, Mission Bays were implemented in the Ship configuration only as volume requirement, not having defined functions and goals associated. </w:t>
      </w:r>
      <w:r w:rsidR="00DF2077">
        <w:rPr>
          <w:rFonts w:eastAsia="Times New Roman"/>
          <w:szCs w:val="20"/>
          <w:lang w:val="en-GB"/>
        </w:rPr>
        <w:t>Therefore</w:t>
      </w:r>
      <w:r w:rsidRPr="00636118">
        <w:rPr>
          <w:rFonts w:eastAsia="Times New Roman"/>
          <w:szCs w:val="20"/>
          <w:lang w:val="en-GB"/>
        </w:rPr>
        <w:t>, PPA definition started without the knowledge of Mission bay contents.</w:t>
      </w:r>
      <w:r>
        <w:rPr>
          <w:rFonts w:eastAsia="Times New Roman"/>
          <w:szCs w:val="20"/>
          <w:lang w:val="en-GB"/>
        </w:rPr>
        <w:t xml:space="preserve"> </w:t>
      </w:r>
      <w:r w:rsidRPr="00636118">
        <w:rPr>
          <w:rFonts w:eastAsia="Times New Roman"/>
          <w:szCs w:val="20"/>
          <w:lang w:val="en-GB"/>
        </w:rPr>
        <w:t xml:space="preserve">In </w:t>
      </w:r>
      <w:r w:rsidR="00DF2077">
        <w:rPr>
          <w:rFonts w:eastAsia="Times New Roman"/>
          <w:szCs w:val="20"/>
          <w:lang w:val="en-GB"/>
        </w:rPr>
        <w:t xml:space="preserve">the </w:t>
      </w:r>
      <w:r w:rsidRPr="00636118">
        <w:rPr>
          <w:rFonts w:eastAsia="Times New Roman"/>
          <w:szCs w:val="20"/>
          <w:lang w:val="en-GB"/>
        </w:rPr>
        <w:t xml:space="preserve">first quarter of 2014, Italian Navy elaborated </w:t>
      </w:r>
      <w:r w:rsidR="00651618" w:rsidRPr="00636118">
        <w:rPr>
          <w:rFonts w:eastAsia="Times New Roman"/>
          <w:szCs w:val="20"/>
          <w:lang w:val="en-GB"/>
        </w:rPr>
        <w:t>an</w:t>
      </w:r>
      <w:r w:rsidRPr="00636118">
        <w:rPr>
          <w:rFonts w:eastAsia="Times New Roman"/>
          <w:szCs w:val="20"/>
          <w:lang w:val="en-GB"/>
        </w:rPr>
        <w:t xml:space="preserve"> initial draft of PPA modularity operative requirements, sharing with Fincantieri first ideas of Bays configuration that were </w:t>
      </w:r>
      <w:r w:rsidR="00DF2077">
        <w:rPr>
          <w:rFonts w:eastAsia="Times New Roman"/>
          <w:szCs w:val="20"/>
          <w:lang w:val="en-GB"/>
        </w:rPr>
        <w:t xml:space="preserve">later on </w:t>
      </w:r>
      <w:r w:rsidRPr="00636118">
        <w:rPr>
          <w:rFonts w:eastAsia="Times New Roman"/>
          <w:szCs w:val="20"/>
          <w:lang w:val="en-GB"/>
        </w:rPr>
        <w:t xml:space="preserve">included into the 2015 contract. However, since both Government’s and Industry’s feeling was that innovative Mission Modularity requirements would have asked for more time to be fully developed, a decision was taken: only paramount requirements of Mission Bays </w:t>
      </w:r>
      <w:r w:rsidR="00DF2077">
        <w:rPr>
          <w:rFonts w:eastAsia="Times New Roman"/>
          <w:szCs w:val="20"/>
          <w:lang w:val="en-GB"/>
        </w:rPr>
        <w:t xml:space="preserve">would have been </w:t>
      </w:r>
      <w:r w:rsidRPr="00636118">
        <w:rPr>
          <w:rFonts w:eastAsia="Times New Roman"/>
          <w:szCs w:val="20"/>
          <w:lang w:val="en-GB"/>
        </w:rPr>
        <w:t xml:space="preserve">put into </w:t>
      </w:r>
      <w:r w:rsidR="00DF2077">
        <w:rPr>
          <w:rFonts w:eastAsia="Times New Roman"/>
          <w:szCs w:val="20"/>
          <w:lang w:val="en-GB"/>
        </w:rPr>
        <w:t xml:space="preserve">the </w:t>
      </w:r>
      <w:r w:rsidRPr="00636118">
        <w:rPr>
          <w:rFonts w:eastAsia="Times New Roman"/>
          <w:szCs w:val="20"/>
          <w:lang w:val="en-GB"/>
        </w:rPr>
        <w:t>Ship’s contract, agreeing each part to develop systems and solutions in contractual phase, carrying on working groups also after the contract signing.</w:t>
      </w:r>
      <w:r>
        <w:rPr>
          <w:rFonts w:eastAsia="Times New Roman"/>
          <w:szCs w:val="20"/>
          <w:lang w:val="en-GB"/>
        </w:rPr>
        <w:t xml:space="preserve"> </w:t>
      </w:r>
      <w:r w:rsidRPr="00636118">
        <w:rPr>
          <w:rFonts w:eastAsia="Times New Roman"/>
          <w:szCs w:val="20"/>
          <w:lang w:val="en-GB"/>
        </w:rPr>
        <w:t xml:space="preserve">Follow on, in the 2016 through 2017 timeframe, it was commonly decided to go deeper into requirements definitions with the help of a standing working group, </w:t>
      </w:r>
      <w:r w:rsidRPr="00636118">
        <w:rPr>
          <w:rFonts w:eastAsia="Times New Roman"/>
          <w:szCs w:val="20"/>
          <w:lang w:val="en-GB"/>
        </w:rPr>
        <w:lastRenderedPageBreak/>
        <w:t>composed by Navy and Industry subject matter experts (SMEs).</w:t>
      </w:r>
      <w:r w:rsidR="003D3DD7">
        <w:rPr>
          <w:rFonts w:eastAsia="Times New Roman"/>
          <w:szCs w:val="20"/>
          <w:lang w:val="en-GB"/>
        </w:rPr>
        <w:t xml:space="preserve"> A detailed </w:t>
      </w:r>
      <w:r w:rsidR="00DF2077">
        <w:rPr>
          <w:rFonts w:eastAsia="Times New Roman"/>
          <w:szCs w:val="20"/>
          <w:lang w:val="en-GB"/>
        </w:rPr>
        <w:t xml:space="preserve">and up to date </w:t>
      </w:r>
      <w:r w:rsidR="003D3DD7">
        <w:rPr>
          <w:rFonts w:eastAsia="Times New Roman"/>
          <w:szCs w:val="20"/>
          <w:lang w:val="en-GB"/>
        </w:rPr>
        <w:t xml:space="preserve">3D view of the PPA </w:t>
      </w:r>
      <w:r w:rsidR="00DF2077">
        <w:rPr>
          <w:rFonts w:eastAsia="Times New Roman"/>
          <w:szCs w:val="20"/>
          <w:lang w:val="en-GB"/>
        </w:rPr>
        <w:t xml:space="preserve">is </w:t>
      </w:r>
      <w:r w:rsidR="00C85BE2">
        <w:rPr>
          <w:rFonts w:eastAsia="Times New Roman"/>
          <w:szCs w:val="20"/>
          <w:lang w:val="en-GB"/>
        </w:rPr>
        <w:t>shown in Figure 2.</w:t>
      </w:r>
    </w:p>
    <w:p w:rsidR="00636118" w:rsidRPr="00941A22" w:rsidRDefault="00636118" w:rsidP="00F2513D">
      <w:pPr>
        <w:jc w:val="center"/>
        <w:rPr>
          <w:rFonts w:ascii="Arial" w:hAnsi="Arial" w:cs="Arial"/>
          <w:i/>
          <w:noProof/>
          <w:lang w:val="it-IT" w:eastAsia="it-IT"/>
        </w:rPr>
      </w:pPr>
      <w:r w:rsidRPr="00BA3783">
        <w:rPr>
          <w:rFonts w:ascii="Arial" w:hAnsi="Arial" w:cs="Arial"/>
          <w:i/>
          <w:noProof/>
          <w:lang w:val="it-IT" w:eastAsia="it-IT"/>
        </w:rPr>
        <w:drawing>
          <wp:inline distT="0" distB="0" distL="0" distR="0">
            <wp:extent cx="2981323" cy="1316736"/>
            <wp:effectExtent l="19050" t="0" r="0" b="0"/>
            <wp:docPr id="6" name="Immagine 4" descr="C:\Users\Serpagli Simon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pagli Simone\Desktop\1.jpg"/>
                    <pic:cNvPicPr>
                      <a:picLocks noChangeAspect="1" noChangeArrowheads="1"/>
                    </pic:cNvPicPr>
                  </pic:nvPicPr>
                  <pic:blipFill>
                    <a:blip r:embed="rId9" cstate="print"/>
                    <a:srcRect/>
                    <a:stretch>
                      <a:fillRect/>
                    </a:stretch>
                  </pic:blipFill>
                  <pic:spPr bwMode="auto">
                    <a:xfrm>
                      <a:off x="0" y="0"/>
                      <a:ext cx="2987626" cy="1319520"/>
                    </a:xfrm>
                    <a:prstGeom prst="rect">
                      <a:avLst/>
                    </a:prstGeom>
                    <a:noFill/>
                    <a:ln w="9525">
                      <a:noFill/>
                      <a:miter lim="800000"/>
                      <a:headEnd/>
                      <a:tailEnd/>
                    </a:ln>
                  </pic:spPr>
                </pic:pic>
              </a:graphicData>
            </a:graphic>
          </wp:inline>
        </w:drawing>
      </w:r>
    </w:p>
    <w:p w:rsidR="00636118" w:rsidRPr="00BB7268" w:rsidRDefault="00BE6F1C" w:rsidP="00F2513D">
      <w:pPr>
        <w:spacing w:before="80" w:after="80"/>
        <w:jc w:val="center"/>
        <w:rPr>
          <w:rFonts w:ascii="Arial" w:hAnsi="Arial" w:cs="Arial"/>
          <w:sz w:val="16"/>
        </w:rPr>
      </w:pPr>
      <w:r w:rsidRPr="00BB7268">
        <w:rPr>
          <w:rFonts w:eastAsia="Times New Roman"/>
          <w:b/>
          <w:sz w:val="16"/>
          <w:szCs w:val="20"/>
        </w:rPr>
        <w:t>Figure 2.</w:t>
      </w:r>
      <w:r w:rsidRPr="00BB7268">
        <w:rPr>
          <w:rFonts w:eastAsia="Times New Roman"/>
          <w:sz w:val="16"/>
          <w:szCs w:val="20"/>
        </w:rPr>
        <w:t xml:space="preserve"> </w:t>
      </w:r>
      <w:r w:rsidRPr="00BB7268">
        <w:rPr>
          <w:rFonts w:eastAsia="Times New Roman"/>
          <w:sz w:val="16"/>
          <w:szCs w:val="20"/>
          <w:lang w:val="en-GB"/>
        </w:rPr>
        <w:t>PPA full 3D model</w:t>
      </w:r>
      <w:r w:rsidR="00642F55">
        <w:rPr>
          <w:rFonts w:eastAsia="Times New Roman"/>
          <w:sz w:val="16"/>
          <w:szCs w:val="20"/>
          <w:lang w:val="en-GB"/>
        </w:rPr>
        <w:t>.</w:t>
      </w:r>
    </w:p>
    <w:p w:rsidR="00636118" w:rsidRPr="00636118" w:rsidRDefault="00636118" w:rsidP="007602F2">
      <w:pPr>
        <w:rPr>
          <w:lang w:val="en-GB"/>
        </w:rPr>
      </w:pPr>
      <w:r w:rsidRPr="00636118">
        <w:rPr>
          <w:lang w:val="en-GB"/>
        </w:rPr>
        <w:t>So far, more than twenty meetings have been held, with a total amount of more than 100 Action Items managed, to define detailed solutions. This process has led, among other results, to the submittal and following approval by the Italian Navy, of the Procurement Technical Specifications for the architecture and the inhere</w:t>
      </w:r>
      <w:r w:rsidR="00DF2077">
        <w:rPr>
          <w:lang w:val="en-GB"/>
        </w:rPr>
        <w:t>nt systems of the Mission Bays.</w:t>
      </w:r>
    </w:p>
    <w:p w:rsidR="00AC0909" w:rsidRPr="00636118" w:rsidRDefault="00460F7D" w:rsidP="0069749C">
      <w:pPr>
        <w:pStyle w:val="Titolo1"/>
        <w:rPr>
          <w:kern w:val="0"/>
          <w:lang w:val="en-GB"/>
        </w:rPr>
      </w:pPr>
      <w:r>
        <w:rPr>
          <w:lang w:val="en-GB"/>
        </w:rPr>
        <w:t>Mission bay</w:t>
      </w:r>
      <w:r w:rsidRPr="00460F7D">
        <w:rPr>
          <w:lang w:val="en-GB"/>
        </w:rPr>
        <w:t xml:space="preserve"> requirements management</w:t>
      </w:r>
    </w:p>
    <w:p w:rsidR="00460F7D" w:rsidRPr="00460F7D" w:rsidRDefault="00460F7D" w:rsidP="00460F7D">
      <w:pPr>
        <w:ind w:firstLine="0"/>
        <w:rPr>
          <w:rFonts w:asciiTheme="majorBidi" w:hAnsiTheme="majorBidi" w:cstheme="majorBidi"/>
          <w:szCs w:val="20"/>
          <w:lang w:val="en-GB"/>
        </w:rPr>
      </w:pPr>
      <w:r w:rsidRPr="00460F7D">
        <w:rPr>
          <w:rFonts w:asciiTheme="majorBidi" w:hAnsiTheme="majorBidi" w:cstheme="majorBidi"/>
          <w:szCs w:val="20"/>
          <w:lang w:val="en-GB"/>
        </w:rPr>
        <w:t>Mainly, two different Mission Bays are foreseen in PPA: a ship internal one, located in the last two aft compartment under the Fly Deck, and an external one, located amidships on the Weather Deck.</w:t>
      </w:r>
      <w:r w:rsidR="0004113D">
        <w:rPr>
          <w:rFonts w:asciiTheme="majorBidi" w:hAnsiTheme="majorBidi" w:cstheme="majorBidi"/>
          <w:szCs w:val="20"/>
          <w:lang w:val="en-GB"/>
        </w:rPr>
        <w:t xml:space="preserve"> </w:t>
      </w:r>
      <w:r w:rsidRPr="00460F7D">
        <w:rPr>
          <w:rFonts w:asciiTheme="majorBidi" w:hAnsiTheme="majorBidi" w:cstheme="majorBidi"/>
          <w:szCs w:val="20"/>
          <w:lang w:val="en-GB"/>
        </w:rPr>
        <w:t>Main drivers of both are: reconfiguration of ship’s capability depending on the assigned mission, cargo capability optimization, independence of operation from the quay.</w:t>
      </w:r>
      <w:r w:rsidR="0004113D">
        <w:rPr>
          <w:rFonts w:asciiTheme="majorBidi" w:hAnsiTheme="majorBidi" w:cstheme="majorBidi"/>
          <w:szCs w:val="20"/>
          <w:lang w:val="en-GB"/>
        </w:rPr>
        <w:t xml:space="preserve"> </w:t>
      </w:r>
      <w:r w:rsidRPr="00460F7D">
        <w:rPr>
          <w:rFonts w:asciiTheme="majorBidi" w:hAnsiTheme="majorBidi" w:cstheme="majorBidi"/>
          <w:szCs w:val="20"/>
          <w:lang w:val="en-GB"/>
        </w:rPr>
        <w:t>The integration of Mission Bays has implied several technical constraints for ship project:</w:t>
      </w:r>
    </w:p>
    <w:p w:rsidR="00982936" w:rsidRPr="00982936" w:rsidRDefault="00460F7D" w:rsidP="006B42AB">
      <w:pPr>
        <w:pStyle w:val="Paragrafoelenco"/>
        <w:numPr>
          <w:ilvl w:val="0"/>
          <w:numId w:val="22"/>
        </w:numPr>
        <w:spacing w:before="120"/>
        <w:ind w:left="284" w:hanging="284"/>
        <w:contextualSpacing w:val="0"/>
        <w:rPr>
          <w:rFonts w:asciiTheme="majorBidi" w:hAnsiTheme="majorBidi" w:cstheme="majorBidi"/>
          <w:szCs w:val="20"/>
          <w:lang w:val="en-GB"/>
        </w:rPr>
      </w:pPr>
      <w:r w:rsidRPr="00BB7268">
        <w:rPr>
          <w:rFonts w:asciiTheme="majorBidi" w:hAnsiTheme="majorBidi" w:cstheme="majorBidi"/>
          <w:szCs w:val="20"/>
          <w:lang w:val="en-GB"/>
        </w:rPr>
        <w:t>Volume allocation. Space designated for Mission Bays can’t be easily shared for other Ship functions. This had to be addressed for PPA considering modular zones like impenetrable area</w:t>
      </w:r>
      <w:r w:rsidR="00754E63">
        <w:rPr>
          <w:rFonts w:asciiTheme="majorBidi" w:hAnsiTheme="majorBidi" w:cstheme="majorBidi"/>
          <w:szCs w:val="20"/>
          <w:lang w:val="en-GB"/>
        </w:rPr>
        <w:t>s</w:t>
      </w:r>
      <w:r w:rsidRPr="00BB7268">
        <w:rPr>
          <w:rFonts w:asciiTheme="majorBidi" w:hAnsiTheme="majorBidi" w:cstheme="majorBidi"/>
          <w:szCs w:val="20"/>
          <w:lang w:val="en-GB"/>
        </w:rPr>
        <w:t>.</w:t>
      </w:r>
    </w:p>
    <w:p w:rsidR="00460F7D" w:rsidRPr="00BB7268" w:rsidRDefault="00460F7D" w:rsidP="006B42AB">
      <w:pPr>
        <w:pStyle w:val="Paragrafoelenco"/>
        <w:numPr>
          <w:ilvl w:val="0"/>
          <w:numId w:val="22"/>
        </w:numPr>
        <w:ind w:left="284" w:hanging="284"/>
        <w:contextualSpacing w:val="0"/>
        <w:rPr>
          <w:rFonts w:asciiTheme="majorBidi" w:hAnsiTheme="majorBidi" w:cstheme="majorBidi"/>
          <w:szCs w:val="20"/>
          <w:lang w:val="en-GB"/>
        </w:rPr>
      </w:pPr>
      <w:r w:rsidRPr="00BB7268">
        <w:rPr>
          <w:rFonts w:asciiTheme="majorBidi" w:hAnsiTheme="majorBidi" w:cstheme="majorBidi"/>
          <w:szCs w:val="20"/>
          <w:lang w:val="en-GB"/>
        </w:rPr>
        <w:t>Structure definition. Especially for the Aft Modular Area, hull definition must respect rigid drivers (no pillars under</w:t>
      </w:r>
      <w:r w:rsidR="00754E63">
        <w:rPr>
          <w:rFonts w:asciiTheme="majorBidi" w:hAnsiTheme="majorBidi" w:cstheme="majorBidi"/>
          <w:szCs w:val="20"/>
          <w:lang w:val="en-GB"/>
        </w:rPr>
        <w:t xml:space="preserve"> the</w:t>
      </w:r>
      <w:r w:rsidRPr="00BB7268">
        <w:rPr>
          <w:rFonts w:asciiTheme="majorBidi" w:hAnsiTheme="majorBidi" w:cstheme="majorBidi"/>
          <w:szCs w:val="20"/>
          <w:lang w:val="en-GB"/>
        </w:rPr>
        <w:t xml:space="preserve"> Fly Deck, large openings in the hull, watertight bulkhead penetration for ship’s systems).</w:t>
      </w:r>
    </w:p>
    <w:p w:rsidR="00460F7D" w:rsidRPr="00BB7268" w:rsidRDefault="00460F7D" w:rsidP="006B42AB">
      <w:pPr>
        <w:pStyle w:val="Paragrafoelenco"/>
        <w:numPr>
          <w:ilvl w:val="0"/>
          <w:numId w:val="22"/>
        </w:numPr>
        <w:ind w:left="284" w:hanging="284"/>
        <w:contextualSpacing w:val="0"/>
        <w:rPr>
          <w:rFonts w:asciiTheme="majorBidi" w:hAnsiTheme="majorBidi" w:cstheme="majorBidi"/>
          <w:szCs w:val="20"/>
          <w:lang w:val="en-GB"/>
        </w:rPr>
      </w:pPr>
      <w:r w:rsidRPr="00BB7268">
        <w:rPr>
          <w:rFonts w:asciiTheme="majorBidi" w:hAnsiTheme="majorBidi" w:cstheme="majorBidi"/>
          <w:szCs w:val="20"/>
          <w:lang w:val="en-GB"/>
        </w:rPr>
        <w:t>Topside layout. Mainly for the Central Modular Area, the topside definition has led to innovative solution</w:t>
      </w:r>
      <w:r w:rsidR="00754E63">
        <w:rPr>
          <w:rFonts w:asciiTheme="majorBidi" w:hAnsiTheme="majorBidi" w:cstheme="majorBidi"/>
          <w:szCs w:val="20"/>
          <w:lang w:val="en-GB"/>
        </w:rPr>
        <w:t xml:space="preserve">s compared to past design choices taken </w:t>
      </w:r>
      <w:r w:rsidRPr="00BB7268">
        <w:rPr>
          <w:rFonts w:asciiTheme="majorBidi" w:hAnsiTheme="majorBidi" w:cstheme="majorBidi"/>
          <w:szCs w:val="20"/>
          <w:lang w:val="en-GB"/>
        </w:rPr>
        <w:t>by It Navy and Fincantieri (</w:t>
      </w:r>
      <w:r w:rsidRPr="00BB7268">
        <w:rPr>
          <w:rFonts w:asciiTheme="majorBidi" w:hAnsiTheme="majorBidi" w:cstheme="majorBidi"/>
          <w:i/>
          <w:szCs w:val="20"/>
          <w:lang w:val="en-GB"/>
        </w:rPr>
        <w:t>i.e.</w:t>
      </w:r>
      <w:r w:rsidRPr="00BB7268">
        <w:rPr>
          <w:rFonts w:asciiTheme="majorBidi" w:hAnsiTheme="majorBidi" w:cstheme="majorBidi"/>
          <w:szCs w:val="20"/>
          <w:lang w:val="en-GB"/>
        </w:rPr>
        <w:t xml:space="preserve"> SSM missiles moved to forecastle).</w:t>
      </w:r>
    </w:p>
    <w:p w:rsidR="00460F7D" w:rsidRPr="00BB7268" w:rsidRDefault="00460F7D" w:rsidP="006B42AB">
      <w:pPr>
        <w:pStyle w:val="Paragrafoelenco"/>
        <w:numPr>
          <w:ilvl w:val="0"/>
          <w:numId w:val="22"/>
        </w:numPr>
        <w:spacing w:after="120"/>
        <w:ind w:left="284" w:hanging="284"/>
        <w:contextualSpacing w:val="0"/>
        <w:rPr>
          <w:rFonts w:asciiTheme="majorBidi" w:hAnsiTheme="majorBidi" w:cstheme="majorBidi"/>
          <w:szCs w:val="20"/>
          <w:lang w:val="en-GB"/>
        </w:rPr>
      </w:pPr>
      <w:r w:rsidRPr="00BB7268">
        <w:rPr>
          <w:rFonts w:asciiTheme="majorBidi" w:hAnsiTheme="majorBidi" w:cstheme="majorBidi"/>
          <w:szCs w:val="20"/>
          <w:lang w:val="en-GB"/>
        </w:rPr>
        <w:t xml:space="preserve">Weight balance. Mission Bay integration had also impact on the distribution of masses that had to be considered particularly from </w:t>
      </w:r>
      <w:proofErr w:type="gramStart"/>
      <w:r w:rsidRPr="00BB7268">
        <w:rPr>
          <w:rFonts w:asciiTheme="majorBidi" w:hAnsiTheme="majorBidi" w:cstheme="majorBidi"/>
          <w:szCs w:val="20"/>
          <w:lang w:val="en-GB"/>
        </w:rPr>
        <w:t>a</w:t>
      </w:r>
      <w:r w:rsidR="00754E63">
        <w:rPr>
          <w:rFonts w:asciiTheme="majorBidi" w:hAnsiTheme="majorBidi" w:cstheme="majorBidi"/>
          <w:szCs w:val="20"/>
          <w:lang w:val="en-GB"/>
        </w:rPr>
        <w:t>n</w:t>
      </w:r>
      <w:proofErr w:type="gramEnd"/>
      <w:r w:rsidRPr="00BB7268">
        <w:rPr>
          <w:rFonts w:asciiTheme="majorBidi" w:hAnsiTheme="majorBidi" w:cstheme="majorBidi"/>
          <w:szCs w:val="20"/>
          <w:lang w:val="en-GB"/>
        </w:rPr>
        <w:t xml:space="preserve"> hydrostatic point of view. In fact, most of the weights are to be computed on the extreme aft (critical for floatability) and above weather deck (critical for stability).</w:t>
      </w:r>
    </w:p>
    <w:p w:rsidR="00460F7D" w:rsidRPr="00460F7D" w:rsidRDefault="00460F7D" w:rsidP="007602F2">
      <w:pPr>
        <w:rPr>
          <w:lang w:val="en-GB"/>
        </w:rPr>
      </w:pPr>
      <w:r w:rsidRPr="00460F7D">
        <w:rPr>
          <w:lang w:val="en-GB"/>
        </w:rPr>
        <w:t>The inclusion of such constraints in the PPA Project led to huge impact in the basic design principles, driving choices regarding watertight subdivision, overall performance and hull definition. Moreover, the presence of Mission Bays introduced the need for additional design validation: as an example, dedicated tank tests were performed to measure ship motions in the modular zones, water pulse at operational speeds and verification of interference wake/transom when aft boat operations occurs.</w:t>
      </w:r>
    </w:p>
    <w:p w:rsidR="004D4FCD" w:rsidRPr="00A80FD2" w:rsidRDefault="00460F7D" w:rsidP="007602F2">
      <w:pPr>
        <w:rPr>
          <w:lang w:val="en-GB"/>
        </w:rPr>
      </w:pPr>
      <w:r w:rsidRPr="00460F7D">
        <w:rPr>
          <w:lang w:val="en-GB"/>
        </w:rPr>
        <w:lastRenderedPageBreak/>
        <w:t>In addition to what defined in standard platform development, some trade-off in the classic whole warship transversal requirements had to be accepted. From a susceptibility point of view, impact on both the RCS and Infra-red signature had to be considered by t</w:t>
      </w:r>
      <w:r w:rsidR="00754E63">
        <w:rPr>
          <w:lang w:val="en-GB"/>
        </w:rPr>
        <w:t>he integration of Mission Bays.</w:t>
      </w:r>
      <w:r w:rsidR="0004113D">
        <w:rPr>
          <w:lang w:val="en-GB"/>
        </w:rPr>
        <w:t xml:space="preserve"> </w:t>
      </w:r>
      <w:r w:rsidRPr="00460F7D">
        <w:rPr>
          <w:lang w:val="en-GB"/>
        </w:rPr>
        <w:t xml:space="preserve">As a practical example the fore engine room exhaust gas ducts design had to be extended outside the funnel, although not recommended in literature as an optimal solution form an Infra-red signature point of view, with the aim to lower the risk of high temperature and particulate drop in the Central modular area, with beneficial effect </w:t>
      </w:r>
      <w:r w:rsidR="00F0085E">
        <w:rPr>
          <w:lang w:val="en-GB"/>
        </w:rPr>
        <w:t xml:space="preserve">on the Mission Bay operability. </w:t>
      </w:r>
      <w:r w:rsidRPr="00460F7D">
        <w:rPr>
          <w:lang w:val="en-GB"/>
        </w:rPr>
        <w:t>To these respect, Mission Bays features are not only to be considered as design constraints but mostly as drivers in the project development.</w:t>
      </w:r>
    </w:p>
    <w:p w:rsidR="00BB7268" w:rsidRPr="00BB7268" w:rsidRDefault="00BB7268" w:rsidP="0069749C">
      <w:pPr>
        <w:pStyle w:val="Titolo1"/>
        <w:rPr>
          <w:lang w:val="en-GB"/>
        </w:rPr>
      </w:pPr>
      <w:r w:rsidRPr="00BB7268">
        <w:rPr>
          <w:lang w:val="en-GB"/>
        </w:rPr>
        <w:t>Mission bay systems overview</w:t>
      </w:r>
    </w:p>
    <w:p w:rsidR="00BB7268" w:rsidRPr="0069749C" w:rsidRDefault="00A80FD2" w:rsidP="00A80FD2">
      <w:pPr>
        <w:pStyle w:val="Titolo3"/>
      </w:pPr>
      <w:r>
        <w:t xml:space="preserve"> </w:t>
      </w:r>
      <w:r w:rsidR="00BB7268" w:rsidRPr="0069749C">
        <w:t>Boat Launching and Recovery System</w:t>
      </w:r>
    </w:p>
    <w:p w:rsidR="00BB7268" w:rsidRDefault="003D3DD7" w:rsidP="0004113D">
      <w:pPr>
        <w:spacing w:after="240"/>
        <w:ind w:firstLine="0"/>
        <w:rPr>
          <w:rFonts w:eastAsia="Times New Roman"/>
          <w:kern w:val="32"/>
          <w:szCs w:val="20"/>
          <w:lang w:val="en-GB"/>
        </w:rPr>
      </w:pPr>
      <w:r>
        <w:rPr>
          <w:rFonts w:eastAsia="Times New Roman"/>
          <w:kern w:val="32"/>
          <w:szCs w:val="20"/>
          <w:lang w:val="en-GB"/>
        </w:rPr>
        <w:t>As shown in Figure 3, i</w:t>
      </w:r>
      <w:r w:rsidR="00BB7268" w:rsidRPr="00BB7268">
        <w:rPr>
          <w:rFonts w:eastAsia="Times New Roman"/>
          <w:kern w:val="32"/>
          <w:szCs w:val="20"/>
          <w:lang w:val="en-GB"/>
        </w:rPr>
        <w:t>n the aft compartment of the ship, a Launch and Recovery System</w:t>
      </w:r>
      <w:r w:rsidR="00BB7268">
        <w:rPr>
          <w:rFonts w:eastAsia="Times New Roman"/>
          <w:kern w:val="32"/>
          <w:szCs w:val="20"/>
          <w:lang w:val="en-GB"/>
        </w:rPr>
        <w:t xml:space="preserve"> (LARS)</w:t>
      </w:r>
      <w:r w:rsidR="00BB7268" w:rsidRPr="00BB7268">
        <w:rPr>
          <w:rFonts w:eastAsia="Times New Roman"/>
          <w:kern w:val="32"/>
          <w:szCs w:val="20"/>
          <w:lang w:val="en-GB"/>
        </w:rPr>
        <w:t xml:space="preserve"> useful for PPA organic </w:t>
      </w:r>
      <w:r w:rsidR="00642F55">
        <w:rPr>
          <w:rFonts w:eastAsia="Times New Roman"/>
          <w:iCs/>
          <w:lang w:val="en-GB"/>
        </w:rPr>
        <w:t>Rigid Hull Inflatable Boats (</w:t>
      </w:r>
      <w:proofErr w:type="spellStart"/>
      <w:r w:rsidR="00BB7268" w:rsidRPr="00BB7268">
        <w:rPr>
          <w:rFonts w:eastAsia="Times New Roman"/>
          <w:kern w:val="32"/>
          <w:szCs w:val="20"/>
          <w:lang w:val="en-GB"/>
        </w:rPr>
        <w:t>Rhibs</w:t>
      </w:r>
      <w:proofErr w:type="spellEnd"/>
      <w:r w:rsidR="00642F55">
        <w:rPr>
          <w:rFonts w:eastAsia="Times New Roman"/>
          <w:kern w:val="32"/>
          <w:szCs w:val="20"/>
          <w:lang w:val="en-GB"/>
        </w:rPr>
        <w:t>)</w:t>
      </w:r>
      <w:r w:rsidR="009500D3">
        <w:rPr>
          <w:rFonts w:eastAsia="Times New Roman"/>
          <w:kern w:val="32"/>
          <w:szCs w:val="20"/>
          <w:lang w:val="en-GB"/>
        </w:rPr>
        <w:t xml:space="preserve"> will be implemented. This new system will have completely </w:t>
      </w:r>
      <w:r w:rsidR="00BB7268" w:rsidRPr="00BB7268">
        <w:rPr>
          <w:rFonts w:eastAsia="Times New Roman"/>
          <w:kern w:val="32"/>
          <w:szCs w:val="20"/>
          <w:lang w:val="en-GB"/>
        </w:rPr>
        <w:t xml:space="preserve">different features respect to what has been requested by the Navy and installed by Fincantieri in recent class Frigate. In the PPA configuration </w:t>
      </w:r>
      <w:r w:rsidR="009500D3">
        <w:rPr>
          <w:rFonts w:eastAsia="Times New Roman"/>
          <w:kern w:val="32"/>
          <w:szCs w:val="20"/>
          <w:lang w:val="en-GB"/>
        </w:rPr>
        <w:t xml:space="preserve">astern LARS </w:t>
      </w:r>
      <w:r w:rsidR="00BB7268" w:rsidRPr="00BB7268">
        <w:rPr>
          <w:rFonts w:eastAsia="Times New Roman"/>
          <w:kern w:val="32"/>
          <w:szCs w:val="20"/>
          <w:lang w:val="en-GB"/>
        </w:rPr>
        <w:t>is basically based on an aft ship structural slipway, with no moving saddles on the bottom, but provided with a single transversal rope connected to two side trolleys; these latter moving synchronously along the lateral structure of the slip.</w:t>
      </w:r>
      <w:r w:rsidR="0004113D">
        <w:rPr>
          <w:rFonts w:eastAsia="Times New Roman"/>
          <w:kern w:val="32"/>
          <w:szCs w:val="20"/>
          <w:lang w:val="en-GB"/>
        </w:rPr>
        <w:t xml:space="preserve"> </w:t>
      </w:r>
      <w:r w:rsidR="00BB7268" w:rsidRPr="00BB7268">
        <w:rPr>
          <w:rFonts w:eastAsia="Times New Roman"/>
          <w:kern w:val="32"/>
          <w:szCs w:val="20"/>
          <w:lang w:val="en-GB"/>
        </w:rPr>
        <w:t>System results simpler respect to the previous ones</w:t>
      </w:r>
      <w:r w:rsidR="009500D3">
        <w:rPr>
          <w:rFonts w:eastAsia="Times New Roman"/>
          <w:kern w:val="32"/>
          <w:szCs w:val="20"/>
          <w:lang w:val="en-GB"/>
        </w:rPr>
        <w:t xml:space="preserve"> although it is paramount </w:t>
      </w:r>
      <w:r w:rsidR="00BB7268" w:rsidRPr="00BB7268">
        <w:rPr>
          <w:rFonts w:eastAsia="Times New Roman"/>
          <w:kern w:val="32"/>
          <w:szCs w:val="20"/>
          <w:lang w:val="en-GB"/>
        </w:rPr>
        <w:t xml:space="preserve">to </w:t>
      </w:r>
      <w:r w:rsidR="009500D3">
        <w:rPr>
          <w:rFonts w:eastAsia="Times New Roman"/>
          <w:kern w:val="32"/>
          <w:szCs w:val="20"/>
          <w:lang w:val="en-GB"/>
        </w:rPr>
        <w:t xml:space="preserve">conceive </w:t>
      </w:r>
      <w:r w:rsidR="00BB7268" w:rsidRPr="00BB7268">
        <w:rPr>
          <w:rFonts w:eastAsia="Times New Roman"/>
          <w:kern w:val="32"/>
          <w:szCs w:val="20"/>
          <w:lang w:val="en-GB"/>
        </w:rPr>
        <w:t xml:space="preserve">in </w:t>
      </w:r>
      <w:r w:rsidR="009500D3">
        <w:rPr>
          <w:rFonts w:eastAsia="Times New Roman"/>
          <w:kern w:val="32"/>
          <w:szCs w:val="20"/>
          <w:lang w:val="en-GB"/>
        </w:rPr>
        <w:t xml:space="preserve">a </w:t>
      </w:r>
      <w:r w:rsidR="00BB7268" w:rsidRPr="00BB7268">
        <w:rPr>
          <w:rFonts w:eastAsia="Times New Roman"/>
          <w:kern w:val="32"/>
          <w:szCs w:val="20"/>
          <w:lang w:val="en-GB"/>
        </w:rPr>
        <w:t xml:space="preserve">proper way the integration with the ship, with some requirements to be integrated also in the </w:t>
      </w:r>
      <w:proofErr w:type="spellStart"/>
      <w:r w:rsidR="00BB7268" w:rsidRPr="00BB7268">
        <w:rPr>
          <w:rFonts w:eastAsia="Times New Roman"/>
          <w:kern w:val="32"/>
          <w:szCs w:val="20"/>
          <w:lang w:val="en-GB"/>
        </w:rPr>
        <w:t>Rhib</w:t>
      </w:r>
      <w:proofErr w:type="spellEnd"/>
      <w:r w:rsidR="00BB7268" w:rsidRPr="00BB7268">
        <w:rPr>
          <w:rFonts w:eastAsia="Times New Roman"/>
          <w:kern w:val="32"/>
          <w:szCs w:val="20"/>
          <w:lang w:val="en-GB"/>
        </w:rPr>
        <w:t xml:space="preserve"> project (mainly the fore capture hook).</w:t>
      </w:r>
    </w:p>
    <w:p w:rsidR="00BB7268" w:rsidRPr="00BB7268" w:rsidRDefault="00BB7268" w:rsidP="00951F9C">
      <w:pPr>
        <w:ind w:firstLine="0"/>
        <w:jc w:val="center"/>
        <w:rPr>
          <w:rFonts w:eastAsia="Times New Roman"/>
          <w:kern w:val="32"/>
          <w:szCs w:val="20"/>
          <w:lang w:val="en-GB"/>
        </w:rPr>
      </w:pPr>
      <w:r>
        <w:rPr>
          <w:rFonts w:eastAsia="Times New Roman"/>
          <w:noProof/>
          <w:kern w:val="32"/>
          <w:szCs w:val="20"/>
          <w:lang w:val="it-IT" w:eastAsia="it-IT"/>
        </w:rPr>
        <w:drawing>
          <wp:inline distT="0" distB="0" distL="0" distR="0">
            <wp:extent cx="2116988" cy="1375257"/>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071" cy="1376610"/>
                    </a:xfrm>
                    <a:prstGeom prst="rect">
                      <a:avLst/>
                    </a:prstGeom>
                    <a:noFill/>
                  </pic:spPr>
                </pic:pic>
              </a:graphicData>
            </a:graphic>
          </wp:inline>
        </w:drawing>
      </w:r>
    </w:p>
    <w:p w:rsidR="00C36BA6" w:rsidRPr="00BB7268" w:rsidRDefault="00BB7268" w:rsidP="00F2513D">
      <w:pPr>
        <w:spacing w:before="80" w:after="80"/>
        <w:ind w:firstLine="0"/>
        <w:jc w:val="center"/>
        <w:rPr>
          <w:rFonts w:eastAsia="Times New Roman"/>
          <w:kern w:val="32"/>
          <w:sz w:val="16"/>
          <w:szCs w:val="20"/>
          <w:lang w:val="en-GB"/>
        </w:rPr>
      </w:pPr>
      <w:r w:rsidRPr="00BB7268">
        <w:rPr>
          <w:rFonts w:eastAsia="Times New Roman"/>
          <w:b/>
          <w:kern w:val="32"/>
          <w:sz w:val="16"/>
          <w:szCs w:val="20"/>
          <w:lang w:val="en-GB"/>
        </w:rPr>
        <w:t xml:space="preserve">Figure </w:t>
      </w:r>
      <w:r w:rsidR="003D3DD7">
        <w:rPr>
          <w:rFonts w:eastAsia="Times New Roman"/>
          <w:b/>
          <w:kern w:val="32"/>
          <w:sz w:val="16"/>
          <w:szCs w:val="20"/>
          <w:lang w:val="en-GB"/>
        </w:rPr>
        <w:t>3</w:t>
      </w:r>
      <w:r w:rsidRPr="00BB7268">
        <w:rPr>
          <w:rFonts w:eastAsia="Times New Roman"/>
          <w:kern w:val="32"/>
          <w:sz w:val="16"/>
          <w:szCs w:val="20"/>
          <w:lang w:val="en-GB"/>
        </w:rPr>
        <w:t xml:space="preserve">. LARS concept for astern </w:t>
      </w:r>
      <w:proofErr w:type="spellStart"/>
      <w:r w:rsidRPr="00BB7268">
        <w:rPr>
          <w:rFonts w:eastAsia="Times New Roman"/>
          <w:kern w:val="32"/>
          <w:sz w:val="16"/>
          <w:szCs w:val="20"/>
          <w:lang w:val="en-GB"/>
        </w:rPr>
        <w:t>Rhibs</w:t>
      </w:r>
      <w:proofErr w:type="spellEnd"/>
      <w:r w:rsidRPr="00BB7268">
        <w:rPr>
          <w:rFonts w:eastAsia="Times New Roman"/>
          <w:kern w:val="32"/>
          <w:sz w:val="16"/>
          <w:szCs w:val="20"/>
          <w:lang w:val="en-GB"/>
        </w:rPr>
        <w:t>.</w:t>
      </w:r>
    </w:p>
    <w:p w:rsidR="00212AD7" w:rsidRPr="00212AD7" w:rsidRDefault="00A80FD2" w:rsidP="0069749C">
      <w:pPr>
        <w:pStyle w:val="Titolo3"/>
        <w:rPr>
          <w:lang w:val="en-GB"/>
        </w:rPr>
      </w:pPr>
      <w:r>
        <w:rPr>
          <w:lang w:val="en-GB"/>
        </w:rPr>
        <w:t xml:space="preserve"> </w:t>
      </w:r>
      <w:r w:rsidR="00BB7268" w:rsidRPr="00BB7268">
        <w:rPr>
          <w:lang w:val="en-GB"/>
        </w:rPr>
        <w:t>Aft handling systems</w:t>
      </w:r>
    </w:p>
    <w:p w:rsidR="00BB7268" w:rsidRPr="0004113D" w:rsidRDefault="00BB7268" w:rsidP="0004113D">
      <w:pPr>
        <w:spacing w:after="240"/>
        <w:ind w:firstLine="0"/>
        <w:rPr>
          <w:rFonts w:asciiTheme="majorBidi" w:hAnsiTheme="majorBidi" w:cstheme="majorBidi"/>
          <w:szCs w:val="20"/>
        </w:rPr>
      </w:pPr>
      <w:r w:rsidRPr="00BB7268">
        <w:rPr>
          <w:rFonts w:asciiTheme="majorBidi" w:hAnsiTheme="majorBidi" w:cstheme="majorBidi"/>
          <w:szCs w:val="20"/>
          <w:lang w:val="en-GB"/>
        </w:rPr>
        <w:t>To achieve maximum operational flexibility across the two aft watertight compartments of PPA, a complex handling system has been integrated, made of three main sub-systems</w:t>
      </w:r>
      <w:r w:rsidR="009500D3">
        <w:rPr>
          <w:rFonts w:asciiTheme="majorBidi" w:hAnsiTheme="majorBidi" w:cstheme="majorBidi"/>
          <w:szCs w:val="20"/>
          <w:lang w:val="en-GB"/>
        </w:rPr>
        <w:t xml:space="preserve"> (as shown in the following F</w:t>
      </w:r>
      <w:r w:rsidR="003D3DD7">
        <w:rPr>
          <w:rFonts w:asciiTheme="majorBidi" w:hAnsiTheme="majorBidi" w:cstheme="majorBidi"/>
          <w:szCs w:val="20"/>
          <w:lang w:val="en-GB"/>
        </w:rPr>
        <w:t>igure</w:t>
      </w:r>
      <w:r w:rsidR="009500D3">
        <w:rPr>
          <w:rFonts w:asciiTheme="majorBidi" w:hAnsiTheme="majorBidi" w:cstheme="majorBidi"/>
          <w:szCs w:val="20"/>
          <w:lang w:val="en-GB"/>
        </w:rPr>
        <w:t xml:space="preserve"> 4</w:t>
      </w:r>
      <w:r w:rsidR="003D3DD7">
        <w:rPr>
          <w:rFonts w:asciiTheme="majorBidi" w:hAnsiTheme="majorBidi" w:cstheme="majorBidi"/>
          <w:szCs w:val="20"/>
          <w:lang w:val="en-GB"/>
        </w:rPr>
        <w:t>)</w:t>
      </w:r>
      <w:r w:rsidR="0004113D">
        <w:rPr>
          <w:rFonts w:asciiTheme="majorBidi" w:hAnsiTheme="majorBidi" w:cstheme="majorBidi"/>
          <w:szCs w:val="20"/>
          <w:lang w:val="en-GB"/>
        </w:rPr>
        <w:t xml:space="preserve">. These being: </w:t>
      </w:r>
      <w:r w:rsidR="0004113D">
        <w:rPr>
          <w:rFonts w:asciiTheme="majorBidi" w:hAnsiTheme="majorBidi" w:cstheme="majorBidi"/>
          <w:szCs w:val="20"/>
        </w:rPr>
        <w:t>A</w:t>
      </w:r>
      <w:r w:rsidRPr="00BB7268">
        <w:rPr>
          <w:rFonts w:asciiTheme="majorBidi" w:hAnsiTheme="majorBidi" w:cstheme="majorBidi"/>
          <w:szCs w:val="20"/>
        </w:rPr>
        <w:t>n Overhead Transversal Crane (OTC), located in the fore compartment, capable</w:t>
      </w:r>
      <w:r>
        <w:rPr>
          <w:rFonts w:asciiTheme="majorBidi" w:hAnsiTheme="majorBidi" w:cstheme="majorBidi"/>
          <w:szCs w:val="20"/>
        </w:rPr>
        <w:t xml:space="preserve"> of </w:t>
      </w:r>
      <w:r w:rsidRPr="00BB7268">
        <w:rPr>
          <w:rFonts w:asciiTheme="majorBidi" w:hAnsiTheme="majorBidi" w:cstheme="majorBidi"/>
          <w:szCs w:val="20"/>
        </w:rPr>
        <w:t>moving, within the space, alternatively either 20</w:t>
      </w:r>
      <w:r w:rsidR="00E9619B">
        <w:rPr>
          <w:rFonts w:asciiTheme="majorBidi" w:hAnsiTheme="majorBidi" w:cstheme="majorBidi"/>
          <w:szCs w:val="20"/>
        </w:rPr>
        <w:t>,0</w:t>
      </w:r>
      <w:r w:rsidRPr="00BB7268">
        <w:rPr>
          <w:rFonts w:asciiTheme="majorBidi" w:hAnsiTheme="majorBidi" w:cstheme="majorBidi"/>
          <w:szCs w:val="20"/>
        </w:rPr>
        <w:t xml:space="preserve"> feet containers or </w:t>
      </w:r>
      <w:proofErr w:type="spellStart"/>
      <w:r w:rsidRPr="00BB7268">
        <w:rPr>
          <w:rFonts w:asciiTheme="majorBidi" w:hAnsiTheme="majorBidi" w:cstheme="majorBidi"/>
          <w:szCs w:val="20"/>
        </w:rPr>
        <w:t>Rhibs</w:t>
      </w:r>
      <w:proofErr w:type="spellEnd"/>
      <w:r w:rsidRPr="00BB7268">
        <w:rPr>
          <w:rFonts w:asciiTheme="majorBidi" w:hAnsiTheme="majorBidi" w:cstheme="majorBidi"/>
          <w:szCs w:val="20"/>
        </w:rPr>
        <w:t xml:space="preserve"> up to a length of 9,39 m or general cargo up to a weight of 10</w:t>
      </w:r>
      <w:r w:rsidR="00E9619B">
        <w:rPr>
          <w:rFonts w:asciiTheme="majorBidi" w:hAnsiTheme="majorBidi" w:cstheme="majorBidi"/>
          <w:szCs w:val="20"/>
        </w:rPr>
        <w:t>,0</w:t>
      </w:r>
      <w:r w:rsidR="0004113D">
        <w:rPr>
          <w:rFonts w:asciiTheme="majorBidi" w:hAnsiTheme="majorBidi" w:cstheme="majorBidi"/>
          <w:szCs w:val="20"/>
        </w:rPr>
        <w:t xml:space="preserve"> tons; </w:t>
      </w:r>
      <w:r w:rsidRPr="00BB7268">
        <w:rPr>
          <w:rFonts w:asciiTheme="majorBidi" w:hAnsiTheme="majorBidi" w:cstheme="majorBidi"/>
          <w:szCs w:val="20"/>
        </w:rPr>
        <w:t>A Longitudinal Handling System (LHS</w:t>
      </w:r>
      <w:r w:rsidRPr="00BB7268">
        <w:rPr>
          <w:rFonts w:asciiTheme="majorBidi" w:hAnsiTheme="majorBidi" w:cstheme="majorBidi"/>
          <w:szCs w:val="20"/>
          <w:u w:val="single"/>
        </w:rPr>
        <w:t>)</w:t>
      </w:r>
      <w:r w:rsidRPr="00BB7268">
        <w:rPr>
          <w:rFonts w:asciiTheme="majorBidi" w:hAnsiTheme="majorBidi" w:cstheme="majorBidi"/>
          <w:szCs w:val="20"/>
        </w:rPr>
        <w:t xml:space="preserve">, capable of moving, between the two aft compartments, abovementioned </w:t>
      </w:r>
      <w:proofErr w:type="spellStart"/>
      <w:r w:rsidRPr="00BB7268">
        <w:rPr>
          <w:rFonts w:asciiTheme="majorBidi" w:hAnsiTheme="majorBidi" w:cstheme="majorBidi"/>
          <w:szCs w:val="20"/>
        </w:rPr>
        <w:t>Rhibs</w:t>
      </w:r>
      <w:proofErr w:type="spellEnd"/>
      <w:r w:rsidRPr="00BB7268">
        <w:rPr>
          <w:rFonts w:asciiTheme="majorBidi" w:hAnsiTheme="majorBidi" w:cstheme="majorBidi"/>
          <w:szCs w:val="20"/>
        </w:rPr>
        <w:t xml:space="preserve"> or cargo across a sliding wate</w:t>
      </w:r>
      <w:r w:rsidR="0004113D">
        <w:rPr>
          <w:rFonts w:asciiTheme="majorBidi" w:hAnsiTheme="majorBidi" w:cstheme="majorBidi"/>
          <w:szCs w:val="20"/>
        </w:rPr>
        <w:t xml:space="preserve">rtight door about 4 meters wide; </w:t>
      </w:r>
      <w:r w:rsidRPr="00BB7268">
        <w:rPr>
          <w:rFonts w:asciiTheme="majorBidi" w:hAnsiTheme="majorBidi" w:cstheme="majorBidi"/>
          <w:szCs w:val="20"/>
        </w:rPr>
        <w:t xml:space="preserve">A Transversal Handling System (THS), located in the aft compartment, composed by two synchronous winches running </w:t>
      </w:r>
      <w:r w:rsidRPr="00BB7268">
        <w:rPr>
          <w:rFonts w:asciiTheme="majorBidi" w:hAnsiTheme="majorBidi" w:cstheme="majorBidi"/>
          <w:szCs w:val="20"/>
        </w:rPr>
        <w:lastRenderedPageBreak/>
        <w:t>on transversal beams, sweeping the compartment side to side for various purposes.</w:t>
      </w:r>
      <w:r w:rsidR="0004113D">
        <w:rPr>
          <w:rFonts w:asciiTheme="majorBidi" w:hAnsiTheme="majorBidi" w:cstheme="majorBidi"/>
          <w:szCs w:val="20"/>
        </w:rPr>
        <w:t xml:space="preserve"> </w:t>
      </w:r>
      <w:r w:rsidRPr="00BB7268">
        <w:rPr>
          <w:rFonts w:asciiTheme="majorBidi" w:hAnsiTheme="majorBidi" w:cstheme="majorBidi"/>
          <w:szCs w:val="20"/>
          <w:lang w:val="en-GB"/>
        </w:rPr>
        <w:t xml:space="preserve">The capabilities of aft handling system are mainly the shifting of complex cargo like </w:t>
      </w:r>
      <w:proofErr w:type="spellStart"/>
      <w:r w:rsidRPr="00BB7268">
        <w:rPr>
          <w:rFonts w:asciiTheme="majorBidi" w:hAnsiTheme="majorBidi" w:cstheme="majorBidi"/>
          <w:szCs w:val="20"/>
          <w:lang w:val="en-GB"/>
        </w:rPr>
        <w:t>Rhibs</w:t>
      </w:r>
      <w:proofErr w:type="spellEnd"/>
      <w:r w:rsidRPr="00BB7268">
        <w:rPr>
          <w:rFonts w:asciiTheme="majorBidi" w:hAnsiTheme="majorBidi" w:cstheme="majorBidi"/>
          <w:szCs w:val="20"/>
          <w:lang w:val="en-GB"/>
        </w:rPr>
        <w:t xml:space="preserve"> and containers in and between the Aft modular zones, reconfiguring the ship asset depending </w:t>
      </w:r>
      <w:r w:rsidR="009500D3">
        <w:rPr>
          <w:rFonts w:asciiTheme="majorBidi" w:hAnsiTheme="majorBidi" w:cstheme="majorBidi"/>
          <w:szCs w:val="20"/>
          <w:lang w:val="en-GB"/>
        </w:rPr>
        <w:t xml:space="preserve">on </w:t>
      </w:r>
      <w:r w:rsidRPr="00BB7268">
        <w:rPr>
          <w:rFonts w:asciiTheme="majorBidi" w:hAnsiTheme="majorBidi" w:cstheme="majorBidi"/>
          <w:szCs w:val="20"/>
          <w:lang w:val="en-GB"/>
        </w:rPr>
        <w:t xml:space="preserve">the </w:t>
      </w:r>
      <w:r w:rsidR="009500D3">
        <w:rPr>
          <w:rFonts w:asciiTheme="majorBidi" w:hAnsiTheme="majorBidi" w:cstheme="majorBidi"/>
          <w:szCs w:val="20"/>
          <w:lang w:val="en-GB"/>
        </w:rPr>
        <w:t xml:space="preserve">assigned </w:t>
      </w:r>
      <w:r w:rsidRPr="00BB7268">
        <w:rPr>
          <w:rFonts w:asciiTheme="majorBidi" w:hAnsiTheme="majorBidi" w:cstheme="majorBidi"/>
          <w:szCs w:val="20"/>
          <w:lang w:val="en-GB"/>
        </w:rPr>
        <w:t>mission.</w:t>
      </w:r>
    </w:p>
    <w:tbl>
      <w:tblPr>
        <w:tblW w:w="0" w:type="auto"/>
        <w:tblLook w:val="04A0" w:firstRow="1" w:lastRow="0" w:firstColumn="1" w:lastColumn="0" w:noHBand="0" w:noVBand="1"/>
      </w:tblPr>
      <w:tblGrid>
        <w:gridCol w:w="7115"/>
      </w:tblGrid>
      <w:tr w:rsidR="004D4FCD" w:rsidTr="00951F9C">
        <w:trPr>
          <w:trHeight w:val="1565"/>
        </w:trPr>
        <w:tc>
          <w:tcPr>
            <w:tcW w:w="7115" w:type="dxa"/>
          </w:tcPr>
          <w:p w:rsidR="00170385" w:rsidRDefault="00BB7268" w:rsidP="00F2513D">
            <w:pPr>
              <w:keepNext/>
              <w:spacing w:line="360" w:lineRule="auto"/>
              <w:jc w:val="center"/>
            </w:pPr>
            <w:r w:rsidRPr="00D42F7F">
              <w:rPr>
                <w:rFonts w:ascii="Arial" w:hAnsi="Arial" w:cs="Arial"/>
                <w:i/>
                <w:noProof/>
                <w:lang w:val="it-IT" w:eastAsia="it-IT"/>
              </w:rPr>
              <w:drawing>
                <wp:inline distT="0" distB="0" distL="0" distR="0">
                  <wp:extent cx="2706624" cy="1330271"/>
                  <wp:effectExtent l="19050" t="0" r="0" b="0"/>
                  <wp:docPr id="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2744" cy="1333279"/>
                          </a:xfrm>
                          <a:prstGeom prst="rect">
                            <a:avLst/>
                          </a:prstGeom>
                          <a:noFill/>
                          <a:ln>
                            <a:noFill/>
                          </a:ln>
                          <a:extLst/>
                        </pic:spPr>
                      </pic:pic>
                    </a:graphicData>
                  </a:graphic>
                </wp:inline>
              </w:drawing>
            </w:r>
          </w:p>
          <w:p w:rsidR="004D4FCD" w:rsidRPr="004D4FCD" w:rsidRDefault="00170385" w:rsidP="003D3DD7">
            <w:pPr>
              <w:pStyle w:val="Didascalia"/>
              <w:jc w:val="center"/>
              <w:rPr>
                <w:rFonts w:eastAsia="Times New Roman"/>
                <w:sz w:val="24"/>
                <w:lang w:val="en-GB"/>
              </w:rPr>
            </w:pPr>
            <w:r w:rsidRPr="009C2CC8">
              <w:rPr>
                <w:b/>
              </w:rPr>
              <w:t xml:space="preserve">Figure </w:t>
            </w:r>
            <w:r w:rsidR="003D3DD7">
              <w:rPr>
                <w:b/>
              </w:rPr>
              <w:t>4</w:t>
            </w:r>
            <w:r w:rsidRPr="009C2CC8">
              <w:rPr>
                <w:b/>
              </w:rPr>
              <w:t>.</w:t>
            </w:r>
            <w:r w:rsidRPr="00295107">
              <w:t xml:space="preserve"> </w:t>
            </w:r>
            <w:r w:rsidR="00BB7268" w:rsidRPr="00BB7268">
              <w:t>Aft Mission Bays Handling Systems concept.</w:t>
            </w:r>
          </w:p>
        </w:tc>
      </w:tr>
    </w:tbl>
    <w:p w:rsidR="00871B25" w:rsidRPr="00212AD7" w:rsidRDefault="00BB7268" w:rsidP="007602F2">
      <w:pPr>
        <w:rPr>
          <w:lang w:val="en-GB"/>
        </w:rPr>
      </w:pPr>
      <w:r w:rsidRPr="00BB7268">
        <w:rPr>
          <w:lang w:val="en-GB"/>
        </w:rPr>
        <w:t>Moreover the combined action of LHD and THS gives the additional capability of embarking and disembarking a tailored modularised version of either ATAS</w:t>
      </w:r>
      <w:r w:rsidRPr="00BB7268">
        <w:rPr>
          <w:vertAlign w:val="superscript"/>
          <w:lang w:val="en-GB"/>
        </w:rPr>
        <w:footnoteReference w:id="2"/>
      </w:r>
      <w:r w:rsidRPr="00BB7268">
        <w:rPr>
          <w:lang w:val="en-GB"/>
        </w:rPr>
        <w:t xml:space="preserve"> or TDS</w:t>
      </w:r>
      <w:r w:rsidRPr="00BB7268">
        <w:rPr>
          <w:vertAlign w:val="superscript"/>
          <w:lang w:val="en-GB"/>
        </w:rPr>
        <w:footnoteReference w:id="3"/>
      </w:r>
      <w:r w:rsidRPr="00BB7268">
        <w:rPr>
          <w:lang w:val="en-GB"/>
        </w:rPr>
        <w:t>, according to the ship’s version</w:t>
      </w:r>
      <w:r w:rsidRPr="00BB7268">
        <w:rPr>
          <w:vertAlign w:val="superscript"/>
          <w:lang w:val="en-GB"/>
        </w:rPr>
        <w:footnoteReference w:id="4"/>
      </w:r>
      <w:r w:rsidR="00B9251D">
        <w:rPr>
          <w:lang w:val="en-GB"/>
        </w:rPr>
        <w:t xml:space="preserve"> that can be </w:t>
      </w:r>
      <w:r w:rsidR="00B9251D" w:rsidRPr="00BB7268">
        <w:rPr>
          <w:lang w:val="en-GB"/>
        </w:rPr>
        <w:t>launch</w:t>
      </w:r>
      <w:r w:rsidR="00B9251D">
        <w:rPr>
          <w:lang w:val="en-GB"/>
        </w:rPr>
        <w:t>ed and recovered</w:t>
      </w:r>
      <w:r w:rsidR="00B9251D" w:rsidRPr="00BB7268">
        <w:rPr>
          <w:lang w:val="en-GB"/>
        </w:rPr>
        <w:t xml:space="preserve"> </w:t>
      </w:r>
      <w:r w:rsidR="00B9251D">
        <w:rPr>
          <w:lang w:val="en-GB"/>
        </w:rPr>
        <w:t xml:space="preserve">via one </w:t>
      </w:r>
      <w:r w:rsidRPr="00BB7268">
        <w:rPr>
          <w:lang w:val="en-GB"/>
        </w:rPr>
        <w:t xml:space="preserve">dedicated stern opening for </w:t>
      </w:r>
      <w:r w:rsidR="00B9251D">
        <w:rPr>
          <w:lang w:val="en-GB"/>
        </w:rPr>
        <w:t xml:space="preserve">said </w:t>
      </w:r>
      <w:r w:rsidRPr="00BB7268">
        <w:rPr>
          <w:lang w:val="en-GB"/>
        </w:rPr>
        <w:t>towed underwater systems</w:t>
      </w:r>
      <w:r w:rsidR="00562A35">
        <w:rPr>
          <w:lang w:val="en-GB"/>
        </w:rPr>
        <w:t xml:space="preserve">, as </w:t>
      </w:r>
      <w:r w:rsidR="00B9251D">
        <w:rPr>
          <w:lang w:val="en-GB"/>
        </w:rPr>
        <w:t>shown in</w:t>
      </w:r>
      <w:r w:rsidR="00562A35">
        <w:rPr>
          <w:lang w:val="en-GB"/>
        </w:rPr>
        <w:t xml:space="preserve"> Figure 5.</w:t>
      </w:r>
    </w:p>
    <w:p w:rsidR="0069749C" w:rsidRDefault="0069749C" w:rsidP="00F2513D">
      <w:pPr>
        <w:pStyle w:val="Didascalia"/>
        <w:spacing w:before="0" w:after="0"/>
        <w:jc w:val="center"/>
        <w:rPr>
          <w:b/>
        </w:rPr>
      </w:pPr>
      <w:bookmarkStart w:id="1" w:name="OLE_LINK27"/>
      <w:r w:rsidRPr="005E4FF6">
        <w:rPr>
          <w:rFonts w:ascii="Arial" w:hAnsi="Arial" w:cs="Arial"/>
          <w:noProof/>
          <w:lang w:val="it-IT" w:eastAsia="it-IT"/>
        </w:rPr>
        <w:drawing>
          <wp:inline distT="0" distB="0" distL="0" distR="0">
            <wp:extent cx="2581325" cy="1323547"/>
            <wp:effectExtent l="19050" t="0" r="9475" b="0"/>
            <wp:docPr id="13" name="Immagin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721" cy="1328877"/>
                    </a:xfrm>
                    <a:prstGeom prst="rect">
                      <a:avLst/>
                    </a:prstGeom>
                    <a:noFill/>
                    <a:ln>
                      <a:noFill/>
                    </a:ln>
                    <a:extLst/>
                  </pic:spPr>
                </pic:pic>
              </a:graphicData>
            </a:graphic>
          </wp:inline>
        </w:drawing>
      </w:r>
    </w:p>
    <w:p w:rsidR="004D4FCD" w:rsidRDefault="00170385" w:rsidP="00170385">
      <w:pPr>
        <w:pStyle w:val="Didascalia"/>
        <w:jc w:val="center"/>
      </w:pPr>
      <w:r w:rsidRPr="00F40C7D">
        <w:rPr>
          <w:b/>
        </w:rPr>
        <w:t xml:space="preserve">Figure </w:t>
      </w:r>
      <w:r w:rsidR="003D3DD7">
        <w:rPr>
          <w:b/>
        </w:rPr>
        <w:t>5</w:t>
      </w:r>
      <w:r w:rsidR="00F40C7D">
        <w:rPr>
          <w:b/>
          <w:noProof/>
        </w:rPr>
        <w:t>.</w:t>
      </w:r>
      <w:r w:rsidRPr="00170385">
        <w:t xml:space="preserve"> </w:t>
      </w:r>
      <w:r w:rsidR="0069749C" w:rsidRPr="0069749C">
        <w:t>Aft Mission Bays Handling Systems concept</w:t>
      </w:r>
      <w:r w:rsidR="00642F55">
        <w:t>.</w:t>
      </w:r>
    </w:p>
    <w:bookmarkEnd w:id="1"/>
    <w:p w:rsidR="0069749C" w:rsidRPr="0069749C" w:rsidRDefault="00A80FD2" w:rsidP="0069749C">
      <w:pPr>
        <w:pStyle w:val="Titolo3"/>
        <w:rPr>
          <w:lang w:val="en-GB"/>
        </w:rPr>
      </w:pPr>
      <w:r>
        <w:rPr>
          <w:lang w:val="en-GB"/>
        </w:rPr>
        <w:t xml:space="preserve"> </w:t>
      </w:r>
      <w:r w:rsidR="0069749C" w:rsidRPr="0069749C">
        <w:rPr>
          <w:lang w:val="en-GB"/>
        </w:rPr>
        <w:t>Aft Removable Platform</w:t>
      </w:r>
    </w:p>
    <w:p w:rsidR="0069749C" w:rsidRPr="0069749C" w:rsidRDefault="0069749C" w:rsidP="00982936">
      <w:pPr>
        <w:spacing w:after="120"/>
        <w:ind w:firstLine="0"/>
        <w:rPr>
          <w:rFonts w:eastAsia="Times New Roman"/>
          <w:iCs/>
          <w:lang w:val="en-GB"/>
        </w:rPr>
      </w:pPr>
      <w:r w:rsidRPr="0069749C">
        <w:rPr>
          <w:rFonts w:eastAsia="Times New Roman"/>
          <w:iCs/>
          <w:lang w:val="en-GB"/>
        </w:rPr>
        <w:t>Another feature integrated in the Aft Mission Bay is the possibility to install, temporarily onto the slipway, a steel platform</w:t>
      </w:r>
      <w:r w:rsidR="00562A35">
        <w:rPr>
          <w:rFonts w:eastAsia="Times New Roman"/>
          <w:iCs/>
          <w:lang w:val="en-GB"/>
        </w:rPr>
        <w:t xml:space="preserve"> (Figure 6, right-side and left-side)</w:t>
      </w:r>
      <w:r w:rsidRPr="0069749C">
        <w:rPr>
          <w:rFonts w:eastAsia="Times New Roman"/>
          <w:iCs/>
          <w:lang w:val="en-GB"/>
        </w:rPr>
        <w:t>. This gives the possibility to restore a flush horizontal deck in the central area in ZMPP2, useful for the following functions:</w:t>
      </w:r>
    </w:p>
    <w:p w:rsidR="00982936" w:rsidRDefault="0069749C" w:rsidP="006B42AB">
      <w:pPr>
        <w:pStyle w:val="Paragrafoelenco"/>
        <w:numPr>
          <w:ilvl w:val="0"/>
          <w:numId w:val="23"/>
        </w:numPr>
        <w:spacing w:after="120"/>
        <w:ind w:left="284" w:hanging="284"/>
        <w:rPr>
          <w:rFonts w:eastAsia="Times New Roman"/>
          <w:iCs/>
          <w:lang w:val="en-GB"/>
        </w:rPr>
      </w:pPr>
      <w:r w:rsidRPr="00982936">
        <w:rPr>
          <w:rFonts w:eastAsia="Times New Roman"/>
          <w:iCs/>
          <w:lang w:val="en-GB"/>
        </w:rPr>
        <w:t>Loading/unloading operations. Through the LHS previously described, the Ship will have the possibility to pick up systems/cargo from the aft, laying them on the platform for following movement. In detail, this could be used, in addition to the embark/disembark of sonar systems located on the right side of the aft part of the Mission Bay (also called ZMPP2), for handling cargo from outside to either the left part of ZMPP2 or to the fore part of the Mission Bay</w:t>
      </w:r>
      <w:r w:rsidR="003D3DD7" w:rsidRPr="00982936">
        <w:rPr>
          <w:rFonts w:eastAsia="Times New Roman"/>
          <w:iCs/>
          <w:lang w:val="en-GB"/>
        </w:rPr>
        <w:t>s</w:t>
      </w:r>
      <w:r w:rsidRPr="00982936">
        <w:rPr>
          <w:rFonts w:eastAsia="Times New Roman"/>
          <w:iCs/>
          <w:lang w:val="en-GB"/>
        </w:rPr>
        <w:t xml:space="preserve"> (also called ZMPP1).</w:t>
      </w:r>
    </w:p>
    <w:p w:rsidR="0069749C" w:rsidRPr="00982936" w:rsidRDefault="0069749C" w:rsidP="006B42AB">
      <w:pPr>
        <w:pStyle w:val="Paragrafoelenco"/>
        <w:numPr>
          <w:ilvl w:val="0"/>
          <w:numId w:val="23"/>
        </w:numPr>
        <w:spacing w:after="120"/>
        <w:ind w:left="284" w:hanging="284"/>
        <w:rPr>
          <w:rFonts w:eastAsia="Times New Roman"/>
          <w:iCs/>
          <w:lang w:val="en-GB"/>
        </w:rPr>
      </w:pPr>
      <w:r w:rsidRPr="00982936">
        <w:rPr>
          <w:rFonts w:eastAsia="Times New Roman"/>
          <w:iCs/>
          <w:lang w:val="en-GB"/>
        </w:rPr>
        <w:lastRenderedPageBreak/>
        <w:t>Employment of a Mission Module from the ZMPP2. The removable platform gives the possibility, when underway, to launch and recovery with the Astern Door open, Italian Navy owned assets, deployable throughout a 20 feet container.</w:t>
      </w:r>
    </w:p>
    <w:p w:rsidR="004D4FCD" w:rsidRDefault="0069749C" w:rsidP="007602F2">
      <w:pPr>
        <w:rPr>
          <w:lang w:val="en-GB"/>
        </w:rPr>
      </w:pPr>
      <w:r w:rsidRPr="0069749C">
        <w:rPr>
          <w:lang w:val="en-GB"/>
        </w:rPr>
        <w:t>The ship to Mission Module interfaces in both compartments of the aft Mission Bays (</w:t>
      </w:r>
      <w:r w:rsidRPr="0069749C">
        <w:rPr>
          <w:i/>
          <w:lang w:val="en-GB"/>
        </w:rPr>
        <w:t>i.e.</w:t>
      </w:r>
      <w:r w:rsidRPr="0069749C">
        <w:rPr>
          <w:lang w:val="en-GB"/>
        </w:rPr>
        <w:t xml:space="preserve"> ZMPP 1 and 2) are being designing taking into account the work done within NATO working groups and partially published into the relevant </w:t>
      </w:r>
      <w:r w:rsidR="00B9251D">
        <w:rPr>
          <w:lang w:val="en-GB"/>
        </w:rPr>
        <w:t xml:space="preserve">ANEP </w:t>
      </w:r>
      <w:r w:rsidR="003D3DD7">
        <w:rPr>
          <w:lang w:val="en-GB"/>
        </w:rPr>
        <w:t>[</w:t>
      </w:r>
      <w:r w:rsidR="00663572">
        <w:rPr>
          <w:lang w:val="en-GB"/>
        </w:rPr>
        <w:t>4</w:t>
      </w:r>
      <w:r w:rsidR="003D3DD7">
        <w:rPr>
          <w:lang w:val="en-GB"/>
        </w:rPr>
        <w:t>]</w:t>
      </w:r>
      <w:r w:rsidRPr="0069749C">
        <w:rPr>
          <w:lang w:val="en-GB"/>
        </w:rPr>
        <w:t>.</w:t>
      </w:r>
    </w:p>
    <w:tbl>
      <w:tblPr>
        <w:tblStyle w:val="Grigliatabella"/>
        <w:tblW w:w="7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724"/>
      </w:tblGrid>
      <w:tr w:rsidR="005953C9" w:rsidTr="006B42AB">
        <w:trPr>
          <w:trHeight w:val="1533"/>
        </w:trPr>
        <w:tc>
          <w:tcPr>
            <w:tcW w:w="3723" w:type="dxa"/>
          </w:tcPr>
          <w:p w:rsidR="005953C9" w:rsidRDefault="005953C9" w:rsidP="00951F9C">
            <w:pPr>
              <w:ind w:left="993" w:firstLine="0"/>
              <w:rPr>
                <w:rFonts w:eastAsia="Times New Roman"/>
                <w:iCs/>
                <w:lang w:val="en-GB"/>
              </w:rPr>
            </w:pPr>
            <w:bookmarkStart w:id="2" w:name="OLE_LINK14"/>
            <w:bookmarkStart w:id="3" w:name="OLE_LINK21"/>
            <w:r>
              <w:rPr>
                <w:rFonts w:ascii="Arial" w:hAnsi="Arial" w:cs="Arial"/>
                <w:noProof/>
                <w:lang w:eastAsia="it-IT"/>
              </w:rPr>
              <w:drawing>
                <wp:inline distT="0" distB="0" distL="0" distR="0">
                  <wp:extent cx="1400098" cy="1199693"/>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17526" cy="1214626"/>
                          </a:xfrm>
                          <a:prstGeom prst="rect">
                            <a:avLst/>
                          </a:prstGeom>
                          <a:noFill/>
                          <a:ln w="9525">
                            <a:noFill/>
                            <a:miter lim="800000"/>
                            <a:headEnd/>
                            <a:tailEnd/>
                          </a:ln>
                        </pic:spPr>
                      </pic:pic>
                    </a:graphicData>
                  </a:graphic>
                </wp:inline>
              </w:drawing>
            </w:r>
          </w:p>
        </w:tc>
        <w:tc>
          <w:tcPr>
            <w:tcW w:w="3724" w:type="dxa"/>
          </w:tcPr>
          <w:p w:rsidR="005953C9" w:rsidRDefault="005953C9" w:rsidP="00F2513D">
            <w:pPr>
              <w:ind w:firstLine="0"/>
              <w:rPr>
                <w:rFonts w:eastAsia="Times New Roman"/>
                <w:iCs/>
                <w:lang w:val="en-GB"/>
              </w:rPr>
            </w:pPr>
            <w:r w:rsidRPr="005E4FF6">
              <w:rPr>
                <w:rFonts w:ascii="Arial" w:hAnsi="Arial" w:cs="Arial"/>
                <w:noProof/>
                <w:lang w:eastAsia="it-IT"/>
              </w:rPr>
              <w:drawing>
                <wp:inline distT="0" distB="0" distL="0" distR="0">
                  <wp:extent cx="1597609" cy="1199693"/>
                  <wp:effectExtent l="19050" t="0" r="2591"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606887" cy="1206660"/>
                          </a:xfrm>
                          <a:prstGeom prst="rect">
                            <a:avLst/>
                          </a:prstGeom>
                          <a:noFill/>
                          <a:ln w="9525">
                            <a:noFill/>
                            <a:miter lim="800000"/>
                            <a:headEnd/>
                            <a:tailEnd/>
                          </a:ln>
                        </pic:spPr>
                      </pic:pic>
                    </a:graphicData>
                  </a:graphic>
                </wp:inline>
              </w:drawing>
            </w:r>
          </w:p>
        </w:tc>
      </w:tr>
    </w:tbl>
    <w:p w:rsidR="00CC2FE9" w:rsidRPr="005953C9" w:rsidRDefault="005953C9" w:rsidP="00F2513D">
      <w:pPr>
        <w:spacing w:before="80" w:after="80"/>
        <w:ind w:firstLine="284"/>
        <w:jc w:val="center"/>
        <w:rPr>
          <w:rFonts w:eastAsia="Times New Roman"/>
          <w:iCs/>
          <w:sz w:val="16"/>
          <w:lang w:val="en-GB"/>
        </w:rPr>
      </w:pPr>
      <w:r w:rsidRPr="005953C9">
        <w:rPr>
          <w:rFonts w:eastAsia="Times New Roman"/>
          <w:b/>
          <w:iCs/>
          <w:sz w:val="16"/>
          <w:lang w:val="en-GB"/>
        </w:rPr>
        <w:t>Figure 6.</w:t>
      </w:r>
      <w:r w:rsidRPr="005953C9">
        <w:rPr>
          <w:rFonts w:eastAsia="Times New Roman"/>
          <w:iCs/>
          <w:sz w:val="16"/>
          <w:lang w:val="en-GB"/>
        </w:rPr>
        <w:t xml:space="preserve"> Aft Removable Platform </w:t>
      </w:r>
      <w:r w:rsidR="006B42AB">
        <w:rPr>
          <w:rFonts w:eastAsia="Times New Roman"/>
          <w:iCs/>
          <w:sz w:val="16"/>
          <w:lang w:val="en-GB"/>
        </w:rPr>
        <w:t xml:space="preserve">(left) </w:t>
      </w:r>
      <w:r w:rsidRPr="005953C9">
        <w:rPr>
          <w:rFonts w:eastAsia="Times New Roman"/>
          <w:iCs/>
          <w:sz w:val="16"/>
          <w:lang w:val="en-GB"/>
        </w:rPr>
        <w:t>with ISO 1C Mission Module</w:t>
      </w:r>
      <w:r w:rsidR="006B42AB">
        <w:rPr>
          <w:rFonts w:eastAsia="Times New Roman"/>
          <w:iCs/>
          <w:sz w:val="16"/>
          <w:lang w:val="en-GB"/>
        </w:rPr>
        <w:t xml:space="preserve"> (right)</w:t>
      </w:r>
      <w:r w:rsidRPr="005953C9">
        <w:rPr>
          <w:rFonts w:eastAsia="Times New Roman"/>
          <w:iCs/>
          <w:sz w:val="16"/>
          <w:lang w:val="en-GB"/>
        </w:rPr>
        <w:t>.</w:t>
      </w:r>
    </w:p>
    <w:bookmarkEnd w:id="2"/>
    <w:bookmarkEnd w:id="3"/>
    <w:p w:rsidR="004D4FCD" w:rsidRDefault="00A80FD2" w:rsidP="00EF5587">
      <w:pPr>
        <w:pStyle w:val="Titolo3"/>
        <w:rPr>
          <w:lang w:val="en-GB"/>
        </w:rPr>
      </w:pPr>
      <w:r>
        <w:rPr>
          <w:lang w:val="en-GB"/>
        </w:rPr>
        <w:t xml:space="preserve"> </w:t>
      </w:r>
      <w:r w:rsidR="00EF5587" w:rsidRPr="00EF5587">
        <w:rPr>
          <w:lang w:val="en-GB"/>
        </w:rPr>
        <w:t>Aft shell doors</w:t>
      </w:r>
    </w:p>
    <w:p w:rsidR="005548B0" w:rsidRPr="0004113D" w:rsidRDefault="00EF5587" w:rsidP="0004113D">
      <w:pPr>
        <w:spacing w:before="120" w:after="240"/>
        <w:ind w:firstLine="0"/>
        <w:rPr>
          <w:rFonts w:eastAsia="Times New Roman"/>
          <w:szCs w:val="20"/>
          <w:lang w:val="en-GB"/>
        </w:rPr>
      </w:pPr>
      <w:r w:rsidRPr="00EF5587">
        <w:rPr>
          <w:rFonts w:eastAsia="Times New Roman"/>
          <w:szCs w:val="20"/>
          <w:lang w:val="en-GB"/>
        </w:rPr>
        <w:t>To further extend the flexibility of the fore compartment of Aft Mission bay (</w:t>
      </w:r>
      <w:r w:rsidRPr="00EF5587">
        <w:rPr>
          <w:rFonts w:eastAsia="Times New Roman"/>
          <w:i/>
          <w:szCs w:val="20"/>
          <w:lang w:val="en-GB"/>
        </w:rPr>
        <w:t>i.e.</w:t>
      </w:r>
      <w:r w:rsidRPr="00EF5587">
        <w:rPr>
          <w:rFonts w:eastAsia="Times New Roman"/>
          <w:szCs w:val="20"/>
          <w:lang w:val="en-GB"/>
        </w:rPr>
        <w:t xml:space="preserve"> ZMPP</w:t>
      </w:r>
      <w:r w:rsidR="00562A35">
        <w:rPr>
          <w:rFonts w:eastAsia="Times New Roman"/>
          <w:szCs w:val="20"/>
          <w:lang w:val="en-GB"/>
        </w:rPr>
        <w:t> </w:t>
      </w:r>
      <w:r w:rsidRPr="00EF5587">
        <w:rPr>
          <w:rFonts w:eastAsia="Times New Roman"/>
          <w:szCs w:val="20"/>
          <w:lang w:val="en-GB"/>
        </w:rPr>
        <w:t>1), two side shell doors have been integrated</w:t>
      </w:r>
      <w:r w:rsidR="0031552E">
        <w:rPr>
          <w:rFonts w:eastAsia="Times New Roman"/>
          <w:szCs w:val="20"/>
          <w:lang w:val="en-GB"/>
        </w:rPr>
        <w:t xml:space="preserve"> (Figure 7)</w:t>
      </w:r>
      <w:r w:rsidRPr="00EF5587">
        <w:rPr>
          <w:rFonts w:eastAsia="Times New Roman"/>
          <w:szCs w:val="20"/>
          <w:lang w:val="en-GB"/>
        </w:rPr>
        <w:t>. The main scope is the capability to use the aft modular area also for load/unload cargo at sea, through the employment of OTC.</w:t>
      </w:r>
      <w:r w:rsidR="0004113D">
        <w:rPr>
          <w:rFonts w:eastAsia="Times New Roman"/>
          <w:szCs w:val="20"/>
          <w:lang w:val="en-GB"/>
        </w:rPr>
        <w:t xml:space="preserve"> </w:t>
      </w:r>
      <w:r w:rsidRPr="00EF5587">
        <w:rPr>
          <w:rFonts w:eastAsia="Times New Roman"/>
          <w:szCs w:val="20"/>
          <w:lang w:val="en-GB"/>
        </w:rPr>
        <w:t>The main feature of such items is the possibility to open the door in two position</w:t>
      </w:r>
      <w:r w:rsidR="00642F55">
        <w:rPr>
          <w:rFonts w:eastAsia="Times New Roman"/>
          <w:szCs w:val="20"/>
          <w:lang w:val="en-GB"/>
        </w:rPr>
        <w:t>s</w:t>
      </w:r>
      <w:r w:rsidRPr="00EF5587">
        <w:rPr>
          <w:rFonts w:eastAsia="Times New Roman"/>
          <w:szCs w:val="20"/>
          <w:lang w:val="en-GB"/>
        </w:rPr>
        <w:t xml:space="preserve">, folding the panels at rotating of 180° or 105°, depending by the operational situation (either launch and recovery operation with </w:t>
      </w:r>
      <w:proofErr w:type="spellStart"/>
      <w:r w:rsidRPr="00EF5587">
        <w:rPr>
          <w:rFonts w:eastAsia="Times New Roman"/>
          <w:szCs w:val="20"/>
          <w:lang w:val="en-GB"/>
        </w:rPr>
        <w:t>Rhibs</w:t>
      </w:r>
      <w:proofErr w:type="spellEnd"/>
      <w:r w:rsidRPr="00EF5587">
        <w:rPr>
          <w:rFonts w:eastAsia="Times New Roman"/>
          <w:szCs w:val="20"/>
          <w:lang w:val="en-GB"/>
        </w:rPr>
        <w:t xml:space="preserve"> or flight operations with Aircrafts/</w:t>
      </w:r>
      <w:proofErr w:type="spellStart"/>
      <w:r w:rsidRPr="00EF5587">
        <w:rPr>
          <w:rFonts w:eastAsia="Times New Roman"/>
          <w:szCs w:val="20"/>
          <w:lang w:val="en-GB"/>
        </w:rPr>
        <w:t>Helos</w:t>
      </w:r>
      <w:proofErr w:type="spellEnd"/>
      <w:r w:rsidRPr="00EF5587">
        <w:rPr>
          <w:rFonts w:eastAsia="Times New Roman"/>
          <w:szCs w:val="20"/>
          <w:lang w:val="en-GB"/>
        </w:rPr>
        <w:t>).</w:t>
      </w:r>
      <w:r w:rsidR="0004113D">
        <w:rPr>
          <w:rFonts w:eastAsia="Times New Roman"/>
          <w:szCs w:val="20"/>
          <w:lang w:val="en-GB"/>
        </w:rPr>
        <w:t xml:space="preserve"> </w:t>
      </w:r>
      <w:r w:rsidR="005548B0" w:rsidRPr="005548B0">
        <w:rPr>
          <w:rFonts w:eastAsia="Times New Roman"/>
          <w:szCs w:val="20"/>
          <w:lang w:val="en-GB"/>
        </w:rPr>
        <w:t>A similar shell door is located aft in the ship transom,</w:t>
      </w:r>
      <w:r w:rsidR="00642F55">
        <w:rPr>
          <w:rFonts w:eastAsia="Times New Roman"/>
          <w:szCs w:val="20"/>
          <w:lang w:val="en-GB"/>
        </w:rPr>
        <w:t xml:space="preserve"> designed </w:t>
      </w:r>
      <w:r w:rsidR="005548B0" w:rsidRPr="005548B0">
        <w:rPr>
          <w:rFonts w:eastAsia="Times New Roman"/>
          <w:szCs w:val="20"/>
          <w:lang w:val="en-GB"/>
        </w:rPr>
        <w:t xml:space="preserve">to be opened for </w:t>
      </w:r>
      <w:proofErr w:type="spellStart"/>
      <w:r w:rsidR="005548B0" w:rsidRPr="005548B0">
        <w:rPr>
          <w:rFonts w:eastAsia="Times New Roman"/>
          <w:szCs w:val="20"/>
          <w:lang w:val="en-GB"/>
        </w:rPr>
        <w:t>Rhibs</w:t>
      </w:r>
      <w:proofErr w:type="spellEnd"/>
      <w:r w:rsidR="005548B0" w:rsidRPr="005548B0">
        <w:rPr>
          <w:rFonts w:eastAsia="Times New Roman"/>
          <w:szCs w:val="20"/>
          <w:lang w:val="en-GB"/>
        </w:rPr>
        <w:t xml:space="preserve"> launch and recovery</w:t>
      </w:r>
      <w:r w:rsidR="00642F55">
        <w:rPr>
          <w:rFonts w:eastAsia="Times New Roman"/>
          <w:szCs w:val="20"/>
          <w:lang w:val="en-GB"/>
        </w:rPr>
        <w:t xml:space="preserve"> operations</w:t>
      </w:r>
      <w:r w:rsidR="005548B0" w:rsidRPr="005548B0">
        <w:rPr>
          <w:rFonts w:eastAsia="Times New Roman"/>
          <w:szCs w:val="20"/>
          <w:lang w:val="en-GB"/>
        </w:rPr>
        <w:t>.</w:t>
      </w:r>
    </w:p>
    <w:tbl>
      <w:tblPr>
        <w:tblStyle w:val="Grigliatabella"/>
        <w:tblW w:w="7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3877"/>
      </w:tblGrid>
      <w:tr w:rsidR="00EF5587" w:rsidTr="0004113D">
        <w:trPr>
          <w:trHeight w:val="1794"/>
        </w:trPr>
        <w:tc>
          <w:tcPr>
            <w:tcW w:w="3832" w:type="dxa"/>
          </w:tcPr>
          <w:p w:rsidR="00EF5587" w:rsidRDefault="005548B0" w:rsidP="00F2513D">
            <w:pPr>
              <w:ind w:firstLine="0"/>
              <w:jc w:val="center"/>
              <w:rPr>
                <w:rFonts w:eastAsia="Times New Roman"/>
                <w:szCs w:val="20"/>
                <w:lang w:val="en-GB"/>
              </w:rPr>
            </w:pPr>
            <w:r w:rsidRPr="00EF5587">
              <w:rPr>
                <w:rFonts w:eastAsia="Times New Roman"/>
                <w:i/>
                <w:noProof/>
                <w:szCs w:val="20"/>
                <w:lang w:eastAsia="it-IT"/>
              </w:rPr>
              <w:drawing>
                <wp:inline distT="0" distB="0" distL="0" distR="0">
                  <wp:extent cx="749046" cy="1155802"/>
                  <wp:effectExtent l="19050" t="0" r="0"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52352" cy="1160903"/>
                          </a:xfrm>
                          <a:prstGeom prst="rect">
                            <a:avLst/>
                          </a:prstGeom>
                          <a:noFill/>
                          <a:ln>
                            <a:noFill/>
                          </a:ln>
                          <a:extLst/>
                        </pic:spPr>
                      </pic:pic>
                    </a:graphicData>
                  </a:graphic>
                </wp:inline>
              </w:drawing>
            </w:r>
          </w:p>
        </w:tc>
        <w:tc>
          <w:tcPr>
            <w:tcW w:w="3877" w:type="dxa"/>
          </w:tcPr>
          <w:p w:rsidR="00EF5587" w:rsidRDefault="005548B0" w:rsidP="00D86B56">
            <w:pPr>
              <w:tabs>
                <w:tab w:val="left" w:pos="991"/>
                <w:tab w:val="center" w:pos="1699"/>
              </w:tabs>
              <w:ind w:firstLine="0"/>
              <w:jc w:val="left"/>
              <w:rPr>
                <w:rFonts w:eastAsia="Times New Roman"/>
                <w:szCs w:val="20"/>
                <w:lang w:val="en-GB"/>
              </w:rPr>
            </w:pPr>
            <w:r w:rsidRPr="00EF5587">
              <w:rPr>
                <w:rFonts w:eastAsia="Times New Roman"/>
                <w:i/>
                <w:noProof/>
                <w:szCs w:val="20"/>
                <w:lang w:eastAsia="it-IT"/>
              </w:rPr>
              <w:drawing>
                <wp:inline distT="0" distB="0" distL="0" distR="0">
                  <wp:extent cx="749046" cy="1155802"/>
                  <wp:effectExtent l="19050" t="0" r="0" b="0"/>
                  <wp:docPr id="2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50508" cy="1158058"/>
                          </a:xfrm>
                          <a:prstGeom prst="rect">
                            <a:avLst/>
                          </a:prstGeom>
                          <a:noFill/>
                          <a:ln>
                            <a:noFill/>
                          </a:ln>
                          <a:extLst/>
                        </pic:spPr>
                      </pic:pic>
                    </a:graphicData>
                  </a:graphic>
                </wp:inline>
              </w:drawing>
            </w:r>
          </w:p>
        </w:tc>
      </w:tr>
    </w:tbl>
    <w:p w:rsidR="00EF5587" w:rsidRPr="00EF5587" w:rsidRDefault="005548B0" w:rsidP="00F2513D">
      <w:pPr>
        <w:spacing w:before="80" w:after="80"/>
        <w:ind w:firstLine="0"/>
        <w:jc w:val="center"/>
        <w:rPr>
          <w:rFonts w:eastAsia="Times New Roman"/>
          <w:szCs w:val="20"/>
        </w:rPr>
      </w:pPr>
      <w:r w:rsidRPr="005953C9">
        <w:rPr>
          <w:rFonts w:eastAsia="Times New Roman"/>
          <w:b/>
          <w:iCs/>
          <w:sz w:val="16"/>
          <w:lang w:val="en-GB"/>
        </w:rPr>
        <w:t xml:space="preserve">Figure </w:t>
      </w:r>
      <w:r>
        <w:rPr>
          <w:rFonts w:eastAsia="Times New Roman"/>
          <w:b/>
          <w:iCs/>
          <w:sz w:val="16"/>
          <w:lang w:val="en-GB"/>
        </w:rPr>
        <w:t>7</w:t>
      </w:r>
      <w:r w:rsidRPr="005953C9">
        <w:rPr>
          <w:rFonts w:eastAsia="Times New Roman"/>
          <w:b/>
          <w:iCs/>
          <w:sz w:val="16"/>
          <w:lang w:val="en-GB"/>
        </w:rPr>
        <w:t>.</w:t>
      </w:r>
      <w:r w:rsidRPr="005953C9">
        <w:rPr>
          <w:rFonts w:eastAsia="Times New Roman"/>
          <w:iCs/>
          <w:sz w:val="16"/>
          <w:lang w:val="en-GB"/>
        </w:rPr>
        <w:t xml:space="preserve"> </w:t>
      </w:r>
      <w:r w:rsidR="00EF5587" w:rsidRPr="005548B0">
        <w:rPr>
          <w:rFonts w:eastAsia="Times New Roman"/>
          <w:sz w:val="16"/>
          <w:szCs w:val="20"/>
        </w:rPr>
        <w:t>Side shell doors concept</w:t>
      </w:r>
      <w:r w:rsidR="00642F55">
        <w:rPr>
          <w:rFonts w:eastAsia="Times New Roman"/>
          <w:sz w:val="16"/>
          <w:szCs w:val="20"/>
        </w:rPr>
        <w:t>.</w:t>
      </w:r>
    </w:p>
    <w:p w:rsidR="005548B0" w:rsidRPr="005548B0" w:rsidRDefault="00B9251D" w:rsidP="005548B0">
      <w:pPr>
        <w:pStyle w:val="Titolo3"/>
        <w:rPr>
          <w:lang w:val="en-GB"/>
        </w:rPr>
      </w:pPr>
      <w:r>
        <w:rPr>
          <w:lang w:val="en-GB"/>
        </w:rPr>
        <w:t>Central Mission Bay systems</w:t>
      </w:r>
    </w:p>
    <w:p w:rsidR="005548B0" w:rsidRPr="005548B0" w:rsidRDefault="005548B0" w:rsidP="005548B0">
      <w:pPr>
        <w:spacing w:after="240"/>
        <w:ind w:firstLine="0"/>
        <w:rPr>
          <w:rFonts w:eastAsia="Times New Roman"/>
          <w:iCs/>
          <w:lang w:val="en-GB"/>
        </w:rPr>
      </w:pPr>
      <w:r w:rsidRPr="005548B0">
        <w:rPr>
          <w:rFonts w:eastAsia="Times New Roman"/>
          <w:iCs/>
          <w:lang w:val="en-GB"/>
        </w:rPr>
        <w:t xml:space="preserve">In the Central Mission Bay amidships, with a basement insisting on the </w:t>
      </w:r>
      <w:r w:rsidR="003D3DD7">
        <w:rPr>
          <w:rFonts w:eastAsia="Times New Roman"/>
          <w:iCs/>
          <w:lang w:val="en-GB"/>
        </w:rPr>
        <w:t>w</w:t>
      </w:r>
      <w:r w:rsidRPr="005548B0">
        <w:rPr>
          <w:rFonts w:eastAsia="Times New Roman"/>
          <w:iCs/>
          <w:lang w:val="en-GB"/>
        </w:rPr>
        <w:t>eather deck, it has been located the Ship main cargo crane</w:t>
      </w:r>
      <w:r w:rsidR="003D3DD7">
        <w:rPr>
          <w:rFonts w:eastAsia="Times New Roman"/>
          <w:iCs/>
          <w:lang w:val="en-GB"/>
        </w:rPr>
        <w:t xml:space="preserve"> (Figure 8</w:t>
      </w:r>
      <w:r w:rsidR="00B9251D">
        <w:rPr>
          <w:rFonts w:eastAsia="Times New Roman"/>
          <w:iCs/>
          <w:lang w:val="en-GB"/>
        </w:rPr>
        <w:t>, left</w:t>
      </w:r>
      <w:r w:rsidR="003D3DD7">
        <w:rPr>
          <w:rFonts w:eastAsia="Times New Roman"/>
          <w:iCs/>
          <w:lang w:val="en-GB"/>
        </w:rPr>
        <w:t>)</w:t>
      </w:r>
      <w:r w:rsidRPr="005548B0">
        <w:rPr>
          <w:rFonts w:eastAsia="Times New Roman"/>
          <w:iCs/>
          <w:lang w:val="en-GB"/>
        </w:rPr>
        <w:t>, knuckle boom type, with a cargo capability of 20</w:t>
      </w:r>
      <w:r w:rsidR="00E9619B">
        <w:rPr>
          <w:rFonts w:eastAsia="Times New Roman"/>
          <w:iCs/>
          <w:lang w:val="en-GB"/>
        </w:rPr>
        <w:t>,0</w:t>
      </w:r>
      <w:r w:rsidRPr="005548B0">
        <w:rPr>
          <w:rFonts w:eastAsia="Times New Roman"/>
          <w:iCs/>
          <w:lang w:val="en-GB"/>
        </w:rPr>
        <w:t xml:space="preserve"> tons at 14</w:t>
      </w:r>
      <w:r w:rsidR="00E9619B">
        <w:rPr>
          <w:rFonts w:eastAsia="Times New Roman"/>
          <w:iCs/>
          <w:lang w:val="en-GB"/>
        </w:rPr>
        <w:t>,0</w:t>
      </w:r>
      <w:r w:rsidRPr="005548B0">
        <w:rPr>
          <w:rFonts w:eastAsia="Times New Roman"/>
          <w:iCs/>
          <w:lang w:val="en-GB"/>
        </w:rPr>
        <w:t xml:space="preserve"> meter. The crane gives the ship the load/unload capability of various cargo (mainly either 20 or 40 feet ISO containers) independently of the facilities available in port/harbour. This requirement is considered of high importance for ship mission</w:t>
      </w:r>
      <w:r w:rsidR="008D1394">
        <w:rPr>
          <w:rFonts w:eastAsia="Times New Roman"/>
          <w:iCs/>
          <w:lang w:val="en-GB"/>
        </w:rPr>
        <w:t>s</w:t>
      </w:r>
      <w:r w:rsidRPr="005548B0">
        <w:rPr>
          <w:rFonts w:eastAsia="Times New Roman"/>
          <w:iCs/>
          <w:lang w:val="en-GB"/>
        </w:rPr>
        <w:t xml:space="preserve"> abroad, either when the ship is moored in a not equipped quay or, most importantly, in a Mission Relief type of mission.</w:t>
      </w:r>
    </w:p>
    <w:p w:rsidR="00B9251D" w:rsidRPr="006B42AB" w:rsidRDefault="00B9251D" w:rsidP="00B9251D">
      <w:pPr>
        <w:tabs>
          <w:tab w:val="left" w:pos="4395"/>
        </w:tabs>
        <w:ind w:left="-709" w:firstLine="0"/>
        <w:jc w:val="center"/>
        <w:rPr>
          <w:rFonts w:ascii="Arial" w:hAnsi="Arial" w:cs="Arial"/>
          <w:noProof/>
          <w:lang w:eastAsia="it-IT"/>
        </w:rPr>
        <w:sectPr w:rsidR="00B9251D" w:rsidRPr="006B42AB" w:rsidSect="00FF268C">
          <w:pgSz w:w="11906" w:h="16838"/>
          <w:pgMar w:top="3119" w:right="2438" w:bottom="2381" w:left="2438" w:header="709" w:footer="709" w:gutter="0"/>
          <w:cols w:space="708"/>
          <w:docGrid w:linePitch="360"/>
        </w:sectPr>
      </w:pPr>
    </w:p>
    <w:p w:rsidR="005548B0" w:rsidRPr="005548B0" w:rsidRDefault="005548B0" w:rsidP="006B42AB">
      <w:pPr>
        <w:tabs>
          <w:tab w:val="left" w:pos="4395"/>
        </w:tabs>
        <w:ind w:left="426" w:firstLine="0"/>
        <w:jc w:val="center"/>
        <w:rPr>
          <w:rFonts w:eastAsia="Times New Roman"/>
          <w:i/>
          <w:iCs/>
          <w:lang w:val="it-IT"/>
        </w:rPr>
      </w:pPr>
      <w:r w:rsidRPr="005548B0">
        <w:rPr>
          <w:rFonts w:eastAsia="Times New Roman"/>
          <w:i/>
          <w:iCs/>
          <w:noProof/>
          <w:lang w:val="it-IT" w:eastAsia="it-IT"/>
        </w:rPr>
        <w:lastRenderedPageBreak/>
        <w:drawing>
          <wp:inline distT="0" distB="0" distL="0" distR="0">
            <wp:extent cx="1735458" cy="1148487"/>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7" cstate="print"/>
                    <a:srcRect/>
                    <a:stretch>
                      <a:fillRect/>
                    </a:stretch>
                  </pic:blipFill>
                  <pic:spPr bwMode="auto">
                    <a:xfrm>
                      <a:off x="0" y="0"/>
                      <a:ext cx="1741774" cy="1152667"/>
                    </a:xfrm>
                    <a:prstGeom prst="rect">
                      <a:avLst/>
                    </a:prstGeom>
                    <a:noFill/>
                    <a:ln w="9525">
                      <a:noFill/>
                      <a:miter lim="800000"/>
                      <a:headEnd/>
                      <a:tailEnd/>
                    </a:ln>
                  </pic:spPr>
                </pic:pic>
              </a:graphicData>
            </a:graphic>
          </wp:inline>
        </w:drawing>
      </w:r>
      <w:r w:rsidR="00B9251D" w:rsidRPr="00B9251D">
        <w:rPr>
          <w:rFonts w:eastAsia="Times New Roman"/>
          <w:i/>
          <w:iCs/>
          <w:noProof/>
          <w:lang w:val="it-IT" w:eastAsia="it-IT"/>
        </w:rPr>
        <w:lastRenderedPageBreak/>
        <w:drawing>
          <wp:inline distT="0" distB="0" distL="0" distR="0">
            <wp:extent cx="1514156" cy="1272845"/>
            <wp:effectExtent l="1905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514521" cy="1273152"/>
                    </a:xfrm>
                    <a:prstGeom prst="rect">
                      <a:avLst/>
                    </a:prstGeom>
                    <a:noFill/>
                    <a:ln w="9525">
                      <a:noFill/>
                      <a:miter lim="800000"/>
                      <a:headEnd/>
                      <a:tailEnd/>
                    </a:ln>
                  </pic:spPr>
                </pic:pic>
              </a:graphicData>
            </a:graphic>
          </wp:inline>
        </w:drawing>
      </w:r>
    </w:p>
    <w:p w:rsidR="00B9251D" w:rsidRDefault="00B9251D" w:rsidP="00F2513D">
      <w:pPr>
        <w:spacing w:before="80" w:after="80"/>
        <w:ind w:firstLine="0"/>
        <w:jc w:val="center"/>
        <w:rPr>
          <w:rFonts w:eastAsia="Times New Roman"/>
          <w:b/>
          <w:iCs/>
          <w:sz w:val="16"/>
          <w:lang w:val="en-GB"/>
        </w:rPr>
        <w:sectPr w:rsidR="00B9251D" w:rsidSect="00B9251D">
          <w:type w:val="continuous"/>
          <w:pgSz w:w="11906" w:h="16838"/>
          <w:pgMar w:top="3119" w:right="2438" w:bottom="2381" w:left="2438" w:header="709" w:footer="709" w:gutter="0"/>
          <w:cols w:num="2" w:space="282"/>
          <w:docGrid w:linePitch="360"/>
        </w:sectPr>
      </w:pPr>
    </w:p>
    <w:p w:rsidR="005548B0" w:rsidRDefault="005548B0" w:rsidP="00F2513D">
      <w:pPr>
        <w:spacing w:before="80" w:after="80"/>
        <w:ind w:firstLine="0"/>
        <w:jc w:val="center"/>
        <w:rPr>
          <w:rFonts w:eastAsia="Times New Roman"/>
          <w:iCs/>
          <w:sz w:val="16"/>
          <w:lang w:val="en-GB"/>
        </w:rPr>
      </w:pPr>
      <w:r w:rsidRPr="005548B0">
        <w:rPr>
          <w:rFonts w:eastAsia="Times New Roman"/>
          <w:b/>
          <w:iCs/>
          <w:sz w:val="16"/>
          <w:lang w:val="en-GB"/>
        </w:rPr>
        <w:lastRenderedPageBreak/>
        <w:t>Figure 8</w:t>
      </w:r>
      <w:r>
        <w:rPr>
          <w:rFonts w:eastAsia="Times New Roman"/>
          <w:b/>
          <w:iCs/>
          <w:sz w:val="16"/>
          <w:lang w:val="en-GB"/>
        </w:rPr>
        <w:t xml:space="preserve">. </w:t>
      </w:r>
      <w:r w:rsidRPr="005548B0">
        <w:rPr>
          <w:rFonts w:eastAsia="Times New Roman"/>
          <w:iCs/>
          <w:sz w:val="16"/>
          <w:lang w:val="en-GB"/>
        </w:rPr>
        <w:t xml:space="preserve">Main cargo crane </w:t>
      </w:r>
      <w:r w:rsidR="00B9251D">
        <w:rPr>
          <w:rFonts w:eastAsia="Times New Roman"/>
          <w:iCs/>
          <w:sz w:val="16"/>
          <w:lang w:val="en-GB"/>
        </w:rPr>
        <w:t xml:space="preserve">(left) and </w:t>
      </w:r>
      <w:r w:rsidR="00B9251D">
        <w:rPr>
          <w:sz w:val="16"/>
        </w:rPr>
        <w:t>d</w:t>
      </w:r>
      <w:r w:rsidR="00B9251D" w:rsidRPr="00905EA3">
        <w:rPr>
          <w:sz w:val="16"/>
        </w:rPr>
        <w:t xml:space="preserve">avits cranes for RHIBs launch </w:t>
      </w:r>
      <w:r w:rsidR="00B9251D">
        <w:rPr>
          <w:sz w:val="16"/>
        </w:rPr>
        <w:t xml:space="preserve">(right), </w:t>
      </w:r>
      <w:r w:rsidRPr="005548B0">
        <w:rPr>
          <w:rFonts w:eastAsia="Times New Roman"/>
          <w:iCs/>
          <w:sz w:val="16"/>
          <w:lang w:val="en-GB"/>
        </w:rPr>
        <w:t>in central modular area.</w:t>
      </w:r>
    </w:p>
    <w:p w:rsidR="005548B0" w:rsidRPr="005548B0" w:rsidRDefault="00B9251D" w:rsidP="007602F2">
      <w:pPr>
        <w:rPr>
          <w:lang w:val="en-GB"/>
        </w:rPr>
      </w:pPr>
      <w:r>
        <w:rPr>
          <w:lang w:val="en-GB"/>
        </w:rPr>
        <w:t xml:space="preserve">Also, on </w:t>
      </w:r>
      <w:r w:rsidR="005548B0" w:rsidRPr="005548B0">
        <w:rPr>
          <w:lang w:val="en-GB"/>
        </w:rPr>
        <w:t>both sides</w:t>
      </w:r>
      <w:r>
        <w:rPr>
          <w:lang w:val="en-GB"/>
        </w:rPr>
        <w:t xml:space="preserve"> of the area</w:t>
      </w:r>
      <w:r w:rsidR="005548B0" w:rsidRPr="005548B0">
        <w:rPr>
          <w:lang w:val="en-GB"/>
        </w:rPr>
        <w:t>, two davits</w:t>
      </w:r>
      <w:r>
        <w:rPr>
          <w:lang w:val="en-GB"/>
        </w:rPr>
        <w:t xml:space="preserve"> </w:t>
      </w:r>
      <w:r w:rsidRPr="005548B0">
        <w:rPr>
          <w:lang w:val="en-GB"/>
        </w:rPr>
        <w:t>are located</w:t>
      </w:r>
      <w:r>
        <w:rPr>
          <w:lang w:val="en-GB"/>
        </w:rPr>
        <w:t xml:space="preserve"> (Figure 8 right)</w:t>
      </w:r>
      <w:r w:rsidR="0031552E">
        <w:rPr>
          <w:lang w:val="en-GB"/>
        </w:rPr>
        <w:t>,</w:t>
      </w:r>
      <w:r w:rsidR="005548B0" w:rsidRPr="005548B0">
        <w:rPr>
          <w:lang w:val="en-GB"/>
        </w:rPr>
        <w:t xml:space="preserve"> useful for the launch and recover of </w:t>
      </w:r>
      <w:proofErr w:type="spellStart"/>
      <w:r w:rsidR="005548B0" w:rsidRPr="005548B0">
        <w:rPr>
          <w:lang w:val="en-GB"/>
        </w:rPr>
        <w:t>Rhibs</w:t>
      </w:r>
      <w:proofErr w:type="spellEnd"/>
      <w:r w:rsidR="005548B0" w:rsidRPr="005548B0">
        <w:rPr>
          <w:lang w:val="en-GB"/>
        </w:rPr>
        <w:t xml:space="preserve"> amidships. The systems are designed based on the possibility to move, for interoperability need</w:t>
      </w:r>
      <w:r w:rsidR="008D1394">
        <w:rPr>
          <w:lang w:val="en-GB"/>
        </w:rPr>
        <w:t>s</w:t>
      </w:r>
      <w:r w:rsidR="005548B0" w:rsidRPr="005548B0">
        <w:rPr>
          <w:lang w:val="en-GB"/>
        </w:rPr>
        <w:t>, boat</w:t>
      </w:r>
      <w:r w:rsidR="0004113D">
        <w:rPr>
          <w:lang w:val="en-GB"/>
        </w:rPr>
        <w:t>s</w:t>
      </w:r>
      <w:r w:rsidR="005548B0" w:rsidRPr="005548B0">
        <w:rPr>
          <w:lang w:val="en-GB"/>
        </w:rPr>
        <w:t xml:space="preserve"> already in use by Italian Navy</w:t>
      </w:r>
      <w:r w:rsidR="0004113D">
        <w:rPr>
          <w:lang w:val="en-GB"/>
        </w:rPr>
        <w:t xml:space="preserve"> up to a </w:t>
      </w:r>
      <w:r w:rsidR="005548B0" w:rsidRPr="005548B0">
        <w:rPr>
          <w:lang w:val="en-GB"/>
        </w:rPr>
        <w:t xml:space="preserve">Maximum size </w:t>
      </w:r>
      <w:r w:rsidR="005548B0">
        <w:rPr>
          <w:lang w:val="en-GB"/>
        </w:rPr>
        <w:t>of 14</w:t>
      </w:r>
      <w:r w:rsidR="00E9619B">
        <w:rPr>
          <w:lang w:val="en-GB"/>
        </w:rPr>
        <w:t xml:space="preserve">,0 </w:t>
      </w:r>
      <w:r w:rsidR="008D1394">
        <w:rPr>
          <w:lang w:val="en-GB"/>
        </w:rPr>
        <w:t>meters in</w:t>
      </w:r>
      <w:r w:rsidR="005548B0" w:rsidRPr="005548B0">
        <w:rPr>
          <w:lang w:val="en-GB"/>
        </w:rPr>
        <w:t xml:space="preserve"> length.</w:t>
      </w:r>
      <w:r w:rsidR="0004113D">
        <w:rPr>
          <w:lang w:val="en-GB"/>
        </w:rPr>
        <w:t xml:space="preserve"> </w:t>
      </w:r>
      <w:r w:rsidR="005548B0" w:rsidRPr="005548B0">
        <w:rPr>
          <w:lang w:val="en-GB"/>
        </w:rPr>
        <w:t xml:space="preserve">The most important features of such item is its </w:t>
      </w:r>
      <w:proofErr w:type="spellStart"/>
      <w:r w:rsidR="005548B0" w:rsidRPr="005548B0">
        <w:rPr>
          <w:lang w:val="en-GB"/>
        </w:rPr>
        <w:t>deployability</w:t>
      </w:r>
      <w:proofErr w:type="spellEnd"/>
      <w:r w:rsidR="005548B0" w:rsidRPr="005548B0">
        <w:rPr>
          <w:lang w:val="en-GB"/>
        </w:rPr>
        <w:t>, hence the capability to be removed, restoring the flush deck for other cargo purpose, and to be installed on other PPA.</w:t>
      </w:r>
    </w:p>
    <w:p w:rsidR="008D1394" w:rsidRPr="008D1394" w:rsidRDefault="008D1394" w:rsidP="008D1394">
      <w:pPr>
        <w:pStyle w:val="Titolo1"/>
        <w:rPr>
          <w:lang w:val="en-GB"/>
        </w:rPr>
      </w:pPr>
      <w:r>
        <w:rPr>
          <w:lang w:val="en-GB"/>
        </w:rPr>
        <w:t>C</w:t>
      </w:r>
      <w:r w:rsidRPr="008D1394">
        <w:rPr>
          <w:lang w:val="en-GB"/>
        </w:rPr>
        <w:t>urrent and future activities</w:t>
      </w:r>
    </w:p>
    <w:p w:rsidR="00905EA3" w:rsidRPr="00905EA3" w:rsidRDefault="00905EA3" w:rsidP="00951F9C">
      <w:pPr>
        <w:spacing w:after="120"/>
        <w:ind w:firstLine="0"/>
      </w:pPr>
      <w:r w:rsidRPr="00905EA3">
        <w:t>The effort is being focused on the qualification of Mission Bay equipments that have already successfully overcome the design review process. To this</w:t>
      </w:r>
      <w:r w:rsidR="008D1394">
        <w:t xml:space="preserve"> regard,</w:t>
      </w:r>
      <w:r w:rsidRPr="00905EA3">
        <w:t xml:space="preserve"> major care is being directed towards the management of specific technical details, like the following:</w:t>
      </w:r>
    </w:p>
    <w:p w:rsidR="00905EA3" w:rsidRPr="00905EA3" w:rsidRDefault="00905EA3" w:rsidP="006B42AB">
      <w:pPr>
        <w:pStyle w:val="Paragrafoelenco"/>
        <w:numPr>
          <w:ilvl w:val="0"/>
          <w:numId w:val="24"/>
        </w:numPr>
        <w:suppressAutoHyphens/>
        <w:ind w:left="284" w:hanging="284"/>
        <w:contextualSpacing w:val="0"/>
      </w:pPr>
      <w:r w:rsidRPr="00905EA3">
        <w:t xml:space="preserve">Laws and Regulation applicability. A deep analysis has been performed at the beginning of </w:t>
      </w:r>
      <w:r w:rsidR="00D739A8">
        <w:t xml:space="preserve">the </w:t>
      </w:r>
      <w:r w:rsidRPr="00905EA3">
        <w:t>project, detecting and agreein</w:t>
      </w:r>
      <w:r w:rsidR="00D739A8">
        <w:t>g between Industry and the Navy</w:t>
      </w:r>
      <w:r w:rsidRPr="00905EA3">
        <w:t xml:space="preserve"> the reference</w:t>
      </w:r>
      <w:r w:rsidR="00D739A8">
        <w:t xml:space="preserve">s, </w:t>
      </w:r>
      <w:r w:rsidRPr="00905EA3">
        <w:t xml:space="preserve">being sometimes Military </w:t>
      </w:r>
      <w:r w:rsidR="00D739A8">
        <w:t>and other times Statutory Rules,</w:t>
      </w:r>
      <w:r w:rsidRPr="00905EA3">
        <w:t xml:space="preserve"> to </w:t>
      </w:r>
      <w:r w:rsidR="00D739A8">
        <w:t xml:space="preserve">be </w:t>
      </w:r>
      <w:r w:rsidRPr="00905EA3">
        <w:t>adopt</w:t>
      </w:r>
      <w:r w:rsidR="00D739A8">
        <w:t>ed</w:t>
      </w:r>
      <w:r w:rsidRPr="00905EA3">
        <w:t xml:space="preserve"> in the design process.</w:t>
      </w:r>
    </w:p>
    <w:p w:rsidR="00905EA3" w:rsidRPr="00905EA3" w:rsidRDefault="00905EA3" w:rsidP="006B42AB">
      <w:pPr>
        <w:pStyle w:val="Paragrafoelenco"/>
        <w:numPr>
          <w:ilvl w:val="0"/>
          <w:numId w:val="24"/>
        </w:numPr>
        <w:suppressAutoHyphens/>
        <w:ind w:left="284" w:hanging="284"/>
        <w:contextualSpacing w:val="0"/>
      </w:pPr>
      <w:r w:rsidRPr="00905EA3">
        <w:t>Requirements traceability. The integration of Mission Bays in the Ship is so strong that, for this innovative project, is not possible to separate specific requirements allocation from the Ship’s one. Consequently, Mission Bays requirement management is being considered, by all stakeholders</w:t>
      </w:r>
      <w:r w:rsidRPr="00905EA3">
        <w:rPr>
          <w:rStyle w:val="Rimandonotaapidipagina"/>
        </w:rPr>
        <w:footnoteReference w:id="5"/>
      </w:r>
      <w:r w:rsidRPr="00905EA3">
        <w:t>, at the same level of whole warship requirements.</w:t>
      </w:r>
    </w:p>
    <w:p w:rsidR="00905EA3" w:rsidRPr="00905EA3" w:rsidRDefault="00905EA3" w:rsidP="006B42AB">
      <w:pPr>
        <w:pStyle w:val="Paragrafoelenco"/>
        <w:numPr>
          <w:ilvl w:val="0"/>
          <w:numId w:val="24"/>
        </w:numPr>
        <w:suppressAutoHyphens/>
        <w:spacing w:after="120"/>
        <w:ind w:left="284" w:hanging="284"/>
        <w:contextualSpacing w:val="0"/>
      </w:pPr>
      <w:r w:rsidRPr="00905EA3">
        <w:t>Functions definition. The capabilities of systems adopted in Mission Bays are so wide, that is necessary to develop dedicated functionality studies to enlist all the functional possibilities of modular areas. Most of all, it is necessary to set operational mode to the PPA limits (Ship motions, load</w:t>
      </w:r>
      <w:r w:rsidR="00D86B56">
        <w:t>ing</w:t>
      </w:r>
      <w:r w:rsidRPr="00905EA3">
        <w:t xml:space="preserve"> capacity, safety, etc.</w:t>
      </w:r>
      <w:r w:rsidR="00D86B56">
        <w:t>.</w:t>
      </w:r>
      <w:r w:rsidRPr="00905EA3">
        <w:t>).</w:t>
      </w:r>
    </w:p>
    <w:p w:rsidR="00905EA3" w:rsidRPr="00905EA3" w:rsidRDefault="00905EA3" w:rsidP="007602F2">
      <w:r w:rsidRPr="00905EA3">
        <w:t>Among that, detailed procurement specifications have been defined and sent to sub-suppliers including standard interfaces and detailed layouts as a result of virtual 3-D simulation undertaken during the development phase. Also, for all systems described in previous chapter, Factory Qualification and Acceptance Test are foreseen in order to verify their compliance with the required design features.</w:t>
      </w:r>
      <w:r w:rsidR="0004113D">
        <w:t xml:space="preserve"> </w:t>
      </w:r>
      <w:r w:rsidRPr="00905EA3">
        <w:t>The first system that needed to be developed qui</w:t>
      </w:r>
      <w:r w:rsidR="00D739A8">
        <w:t xml:space="preserve">ckly was the LARS for astern </w:t>
      </w:r>
      <w:proofErr w:type="spellStart"/>
      <w:r w:rsidR="00D739A8">
        <w:t>Rhibs</w:t>
      </w:r>
      <w:proofErr w:type="spellEnd"/>
      <w:r w:rsidR="00D739A8">
        <w:t>;</w:t>
      </w:r>
      <w:r w:rsidRPr="00905EA3">
        <w:t xml:space="preserve"> </w:t>
      </w:r>
      <w:r w:rsidR="00D739A8">
        <w:t xml:space="preserve">since </w:t>
      </w:r>
      <w:r w:rsidRPr="00905EA3">
        <w:t>its integration onboard implies the definition of the Ship’s hull aft structural details. To validate the engineering design solution, a full-scale mock-up of the ship slipway has been reproduced on a barge in Fincantieri Shipyard,</w:t>
      </w:r>
      <w:r w:rsidR="00B9251D">
        <w:t xml:space="preserve"> as reported in Figure 9</w:t>
      </w:r>
      <w:r w:rsidR="0031552E">
        <w:t>,</w:t>
      </w:r>
      <w:r w:rsidRPr="00905EA3">
        <w:t xml:space="preserve"> and the </w:t>
      </w:r>
      <w:r w:rsidRPr="00905EA3">
        <w:lastRenderedPageBreak/>
        <w:t xml:space="preserve">prototype of LARS has been here on installed. Testing, scheduled for </w:t>
      </w:r>
      <w:r w:rsidR="00D739A8">
        <w:t xml:space="preserve">a </w:t>
      </w:r>
      <w:r w:rsidRPr="00905EA3">
        <w:t>week</w:t>
      </w:r>
      <w:r w:rsidR="00D739A8">
        <w:t xml:space="preserve"> long duration</w:t>
      </w:r>
      <w:r w:rsidRPr="00905EA3">
        <w:t xml:space="preserve">, has started as early as December 2017 in order to verify all possible loading conditions of barge (simulating PPA operational drafts) and </w:t>
      </w:r>
      <w:proofErr w:type="spellStart"/>
      <w:r w:rsidRPr="00905EA3">
        <w:t>Rhibs</w:t>
      </w:r>
      <w:proofErr w:type="spellEnd"/>
      <w:r w:rsidRPr="00905EA3">
        <w:t xml:space="preserve"> approaching </w:t>
      </w:r>
      <w:r w:rsidR="00E9619B" w:rsidRPr="00905EA3">
        <w:t>maneuvering</w:t>
      </w:r>
      <w:r w:rsidRPr="00905EA3">
        <w:t>. Need for some minor modifications arose during the first week of the trials so that a further test in January 2018 has been performed in order to close all pending remarks.</w:t>
      </w:r>
    </w:p>
    <w:p w:rsidR="00905EA3" w:rsidRPr="00905EA3" w:rsidRDefault="00905EA3" w:rsidP="00F2513D">
      <w:pPr>
        <w:jc w:val="center"/>
        <w:rPr>
          <w:noProof/>
          <w:lang w:val="it-IT" w:eastAsia="it-IT"/>
        </w:rPr>
      </w:pPr>
      <w:r w:rsidRPr="00905EA3">
        <w:rPr>
          <w:noProof/>
          <w:lang w:val="it-IT" w:eastAsia="it-IT"/>
        </w:rPr>
        <w:drawing>
          <wp:inline distT="0" distB="0" distL="0" distR="0">
            <wp:extent cx="2116989" cy="1396119"/>
            <wp:effectExtent l="19050" t="0" r="0" b="0"/>
            <wp:docPr id="2" name="Immagine 1" descr="C:\Users\Serpagli Simone\Desktop\20171120_11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pagli Simone\Desktop\20171120_114306.jpg"/>
                    <pic:cNvPicPr>
                      <a:picLocks noChangeAspect="1" noChangeArrowheads="1"/>
                    </pic:cNvPicPr>
                  </pic:nvPicPr>
                  <pic:blipFill>
                    <a:blip r:embed="rId19" cstate="print"/>
                    <a:srcRect/>
                    <a:stretch>
                      <a:fillRect/>
                    </a:stretch>
                  </pic:blipFill>
                  <pic:spPr bwMode="auto">
                    <a:xfrm>
                      <a:off x="0" y="0"/>
                      <a:ext cx="2118244" cy="1396947"/>
                    </a:xfrm>
                    <a:prstGeom prst="rect">
                      <a:avLst/>
                    </a:prstGeom>
                    <a:noFill/>
                    <a:ln w="9525">
                      <a:noFill/>
                      <a:miter lim="800000"/>
                      <a:headEnd/>
                      <a:tailEnd/>
                    </a:ln>
                  </pic:spPr>
                </pic:pic>
              </a:graphicData>
            </a:graphic>
          </wp:inline>
        </w:drawing>
      </w:r>
    </w:p>
    <w:p w:rsidR="00905EA3" w:rsidRPr="00D739A8" w:rsidRDefault="00B9251D" w:rsidP="00F2513D">
      <w:pPr>
        <w:spacing w:before="80" w:after="80"/>
        <w:jc w:val="center"/>
        <w:rPr>
          <w:sz w:val="16"/>
        </w:rPr>
      </w:pPr>
      <w:r>
        <w:rPr>
          <w:b/>
          <w:sz w:val="16"/>
        </w:rPr>
        <w:t>Figure 9</w:t>
      </w:r>
      <w:r w:rsidR="00905EA3" w:rsidRPr="00FF6454">
        <w:rPr>
          <w:b/>
          <w:sz w:val="16"/>
        </w:rPr>
        <w:t>.</w:t>
      </w:r>
      <w:r w:rsidR="00905EA3" w:rsidRPr="00D739A8">
        <w:rPr>
          <w:b/>
          <w:sz w:val="16"/>
        </w:rPr>
        <w:t xml:space="preserve"> </w:t>
      </w:r>
      <w:r w:rsidR="00905EA3" w:rsidRPr="00D739A8">
        <w:rPr>
          <w:sz w:val="16"/>
        </w:rPr>
        <w:t>Astern LARS test bed</w:t>
      </w:r>
      <w:r w:rsidR="00E9619B" w:rsidRPr="00D739A8">
        <w:rPr>
          <w:sz w:val="16"/>
        </w:rPr>
        <w:t xml:space="preserve"> located</w:t>
      </w:r>
      <w:r w:rsidR="00905EA3" w:rsidRPr="00D739A8">
        <w:rPr>
          <w:sz w:val="16"/>
        </w:rPr>
        <w:t xml:space="preserve"> in Muggiano Shipyard</w:t>
      </w:r>
      <w:r w:rsidR="00D739A8" w:rsidRPr="00D739A8">
        <w:rPr>
          <w:sz w:val="16"/>
        </w:rPr>
        <w:t>.</w:t>
      </w:r>
    </w:p>
    <w:p w:rsidR="00905EA3" w:rsidRPr="00905EA3" w:rsidRDefault="00905EA3" w:rsidP="007602F2">
      <w:r w:rsidRPr="00905EA3">
        <w:t xml:space="preserve">For </w:t>
      </w:r>
      <w:r w:rsidR="00B25597">
        <w:t xml:space="preserve">all </w:t>
      </w:r>
      <w:r w:rsidRPr="00905EA3">
        <w:t>other items</w:t>
      </w:r>
      <w:r w:rsidR="00B25597">
        <w:t xml:space="preserve"> </w:t>
      </w:r>
      <w:r w:rsidRPr="00905EA3">
        <w:t xml:space="preserve">FAT are scheduled </w:t>
      </w:r>
      <w:r w:rsidR="00B25597">
        <w:t xml:space="preserve">in </w:t>
      </w:r>
      <w:r w:rsidRPr="00905EA3">
        <w:t>Supplier</w:t>
      </w:r>
      <w:r w:rsidR="00B25597">
        <w:t>’s</w:t>
      </w:r>
      <w:r w:rsidRPr="00905EA3">
        <w:t xml:space="preserve"> premises in the few next months, </w:t>
      </w:r>
      <w:r w:rsidR="00B25597">
        <w:t xml:space="preserve">since </w:t>
      </w:r>
      <w:r w:rsidRPr="00905EA3">
        <w:t xml:space="preserve">their integration could occur with the ship in an </w:t>
      </w:r>
      <w:r w:rsidR="00F2513D">
        <w:t>advanced state of construction.</w:t>
      </w:r>
    </w:p>
    <w:p w:rsidR="00176601" w:rsidRDefault="00D01028" w:rsidP="00303A73">
      <w:pPr>
        <w:keepNext/>
        <w:spacing w:before="480" w:after="240" w:line="360" w:lineRule="auto"/>
        <w:ind w:firstLine="0"/>
        <w:outlineLvl w:val="0"/>
        <w:rPr>
          <w:rFonts w:eastAsia="Times New Roman"/>
          <w:b/>
          <w:bCs/>
          <w:kern w:val="32"/>
          <w:szCs w:val="20"/>
          <w:lang w:val="en-GB"/>
        </w:rPr>
      </w:pPr>
      <w:r>
        <w:rPr>
          <w:rFonts w:eastAsia="Times New Roman"/>
          <w:b/>
          <w:bCs/>
          <w:kern w:val="32"/>
          <w:szCs w:val="20"/>
          <w:lang w:val="en-GB"/>
        </w:rPr>
        <w:t>6</w:t>
      </w:r>
      <w:r w:rsidR="00C6676B" w:rsidRPr="00C6676B">
        <w:rPr>
          <w:rFonts w:eastAsia="Times New Roman"/>
          <w:b/>
          <w:bCs/>
          <w:kern w:val="32"/>
          <w:szCs w:val="20"/>
          <w:lang w:val="en-GB"/>
        </w:rPr>
        <w:t xml:space="preserve">. </w:t>
      </w:r>
      <w:r w:rsidR="00642F55">
        <w:rPr>
          <w:rFonts w:eastAsia="Times New Roman"/>
          <w:b/>
          <w:bCs/>
          <w:kern w:val="32"/>
          <w:szCs w:val="20"/>
          <w:lang w:val="en-GB"/>
        </w:rPr>
        <w:t>Conclusions</w:t>
      </w:r>
    </w:p>
    <w:p w:rsidR="00381980" w:rsidRPr="00176601" w:rsidRDefault="00905EA3" w:rsidP="0004113D">
      <w:pPr>
        <w:pStyle w:val="References"/>
        <w:tabs>
          <w:tab w:val="left" w:pos="0"/>
        </w:tabs>
        <w:spacing w:after="120"/>
        <w:ind w:left="0" w:firstLine="0"/>
        <w:rPr>
          <w:rFonts w:eastAsia="Times New Roman"/>
          <w:iCs/>
          <w:sz w:val="20"/>
          <w:lang w:val="en-GB"/>
        </w:rPr>
      </w:pPr>
      <w:r w:rsidRPr="00905EA3">
        <w:rPr>
          <w:rFonts w:eastAsia="Times New Roman"/>
          <w:iCs/>
          <w:sz w:val="20"/>
          <w:lang w:val="en-GB"/>
        </w:rPr>
        <w:t>To wrap up the main results the IT Navy and Industr</w:t>
      </w:r>
      <w:r>
        <w:rPr>
          <w:rFonts w:eastAsia="Times New Roman"/>
          <w:iCs/>
          <w:sz w:val="20"/>
          <w:lang w:val="en-GB"/>
        </w:rPr>
        <w:t xml:space="preserve">y has attained so far, from all </w:t>
      </w:r>
      <w:r w:rsidRPr="00905EA3">
        <w:rPr>
          <w:rFonts w:eastAsia="Times New Roman"/>
          <w:iCs/>
          <w:sz w:val="20"/>
          <w:lang w:val="en-GB"/>
        </w:rPr>
        <w:t>design phases of Mission Bays and related systems of the PPA devel</w:t>
      </w:r>
      <w:r w:rsidR="0004113D">
        <w:rPr>
          <w:rFonts w:eastAsia="Times New Roman"/>
          <w:iCs/>
          <w:sz w:val="20"/>
          <w:lang w:val="en-GB"/>
        </w:rPr>
        <w:t>opment process, we can consider</w:t>
      </w:r>
      <w:r w:rsidR="00B25597">
        <w:rPr>
          <w:rFonts w:eastAsia="Times New Roman"/>
          <w:iCs/>
          <w:sz w:val="20"/>
          <w:lang w:val="en-GB"/>
        </w:rPr>
        <w:t>:</w:t>
      </w:r>
      <w:r w:rsidR="0004113D">
        <w:rPr>
          <w:rFonts w:eastAsia="Times New Roman"/>
          <w:iCs/>
          <w:sz w:val="20"/>
          <w:lang w:val="en-GB"/>
        </w:rPr>
        <w:t xml:space="preserve"> Firstly</w:t>
      </w:r>
      <w:r w:rsidR="00B25597">
        <w:rPr>
          <w:rFonts w:eastAsia="Times New Roman"/>
          <w:iCs/>
          <w:sz w:val="20"/>
          <w:lang w:val="en-GB"/>
        </w:rPr>
        <w:t>,</w:t>
      </w:r>
      <w:r w:rsidR="0004113D">
        <w:rPr>
          <w:rFonts w:eastAsia="Times New Roman"/>
          <w:iCs/>
          <w:sz w:val="20"/>
          <w:lang w:val="en-GB"/>
        </w:rPr>
        <w:t xml:space="preserve"> that </w:t>
      </w:r>
      <w:r w:rsidR="0040442C">
        <w:rPr>
          <w:rFonts w:eastAsia="Times New Roman"/>
          <w:iCs/>
          <w:sz w:val="20"/>
          <w:lang w:val="en-GB"/>
        </w:rPr>
        <w:t xml:space="preserve">MM </w:t>
      </w:r>
      <w:r w:rsidRPr="00905EA3">
        <w:rPr>
          <w:rFonts w:eastAsia="Times New Roman"/>
          <w:iCs/>
          <w:sz w:val="20"/>
          <w:lang w:val="en-GB"/>
        </w:rPr>
        <w:t xml:space="preserve">and Mission Bays offer an efficient way to balance flexibility in operational capabilities with affordability </w:t>
      </w:r>
      <w:r w:rsidR="0004113D">
        <w:rPr>
          <w:rFonts w:eastAsia="Times New Roman"/>
          <w:iCs/>
          <w:sz w:val="20"/>
          <w:lang w:val="en-GB"/>
        </w:rPr>
        <w:t>in ship</w:t>
      </w:r>
      <w:r w:rsidR="00B25597">
        <w:rPr>
          <w:rFonts w:eastAsia="Times New Roman"/>
          <w:iCs/>
          <w:sz w:val="20"/>
          <w:lang w:val="en-GB"/>
        </w:rPr>
        <w:t xml:space="preserve"> procurement</w:t>
      </w:r>
      <w:r w:rsidR="0004113D">
        <w:rPr>
          <w:rFonts w:eastAsia="Times New Roman"/>
          <w:iCs/>
          <w:sz w:val="20"/>
          <w:lang w:val="en-GB"/>
        </w:rPr>
        <w:t>; Secondly</w:t>
      </w:r>
      <w:r w:rsidR="00B25597">
        <w:rPr>
          <w:rFonts w:eastAsia="Times New Roman"/>
          <w:iCs/>
          <w:sz w:val="20"/>
          <w:lang w:val="en-GB"/>
        </w:rPr>
        <w:t>,</w:t>
      </w:r>
      <w:r w:rsidR="0004113D">
        <w:rPr>
          <w:rFonts w:eastAsia="Times New Roman"/>
          <w:iCs/>
          <w:sz w:val="20"/>
          <w:lang w:val="en-GB"/>
        </w:rPr>
        <w:t xml:space="preserve"> that </w:t>
      </w:r>
      <w:r w:rsidRPr="00905EA3">
        <w:rPr>
          <w:rFonts w:eastAsia="Times New Roman"/>
          <w:iCs/>
          <w:sz w:val="20"/>
          <w:lang w:val="en-GB"/>
        </w:rPr>
        <w:t>Modularity and flexibility are a robust ship design approach that leverages, and is allowed by, knowledge developments and technical advances (such as design of compact and reliable systems of autonomous handling of modular assets), developed, from the initial Ship’s general operational requirements, within a</w:t>
      </w:r>
      <w:r w:rsidR="0004113D">
        <w:rPr>
          <w:rFonts w:eastAsia="Times New Roman"/>
          <w:iCs/>
          <w:sz w:val="20"/>
          <w:lang w:val="en-GB"/>
        </w:rPr>
        <w:t>d-hoc transversal working group; Eventually</w:t>
      </w:r>
      <w:r w:rsidR="00B25597">
        <w:rPr>
          <w:rFonts w:eastAsia="Times New Roman"/>
          <w:iCs/>
          <w:sz w:val="20"/>
          <w:lang w:val="en-GB"/>
        </w:rPr>
        <w:t>,</w:t>
      </w:r>
      <w:r w:rsidR="0004113D">
        <w:rPr>
          <w:rFonts w:eastAsia="Times New Roman"/>
          <w:iCs/>
          <w:sz w:val="20"/>
          <w:lang w:val="en-GB"/>
        </w:rPr>
        <w:t xml:space="preserve"> that t</w:t>
      </w:r>
      <w:r w:rsidRPr="00905EA3">
        <w:rPr>
          <w:rFonts w:eastAsia="Times New Roman"/>
          <w:iCs/>
          <w:sz w:val="20"/>
          <w:lang w:val="en-GB"/>
        </w:rPr>
        <w:t xml:space="preserve">he design approach followed gives program managers wider visibility and controllability of the procurement process of the new systems related to </w:t>
      </w:r>
      <w:r w:rsidR="0040442C">
        <w:rPr>
          <w:rFonts w:eastAsia="Times New Roman"/>
          <w:iCs/>
          <w:sz w:val="20"/>
          <w:lang w:val="en-GB"/>
        </w:rPr>
        <w:t>MM</w:t>
      </w:r>
      <w:r w:rsidRPr="00905EA3">
        <w:rPr>
          <w:rFonts w:eastAsia="Times New Roman"/>
          <w:iCs/>
          <w:sz w:val="20"/>
          <w:lang w:val="en-GB"/>
        </w:rPr>
        <w:t>.</w:t>
      </w:r>
      <w:r w:rsidR="0004113D">
        <w:rPr>
          <w:rFonts w:eastAsia="Times New Roman"/>
          <w:iCs/>
          <w:sz w:val="20"/>
          <w:lang w:val="en-GB"/>
        </w:rPr>
        <w:t xml:space="preserve"> Also, </w:t>
      </w:r>
      <w:r w:rsidRPr="00905EA3">
        <w:rPr>
          <w:rFonts w:eastAsia="Times New Roman"/>
          <w:iCs/>
          <w:sz w:val="20"/>
          <w:lang w:val="en-GB"/>
        </w:rPr>
        <w:t>Modularity provides opportunities for sharing the know-how achieved within the international community and for leveraging, within the Alliance, the existence of Mission Bays capable o</w:t>
      </w:r>
      <w:r>
        <w:rPr>
          <w:rFonts w:eastAsia="Times New Roman"/>
          <w:iCs/>
          <w:sz w:val="20"/>
          <w:lang w:val="en-GB"/>
        </w:rPr>
        <w:t xml:space="preserve">f hosting </w:t>
      </w:r>
      <w:r w:rsidR="00B25597">
        <w:rPr>
          <w:rFonts w:eastAsia="Times New Roman"/>
          <w:iCs/>
          <w:sz w:val="20"/>
          <w:lang w:val="en-GB"/>
        </w:rPr>
        <w:t xml:space="preserve">interoperable </w:t>
      </w:r>
      <w:r>
        <w:rPr>
          <w:rFonts w:eastAsia="Times New Roman"/>
          <w:iCs/>
          <w:sz w:val="20"/>
          <w:lang w:val="en-GB"/>
        </w:rPr>
        <w:t>Mission Module</w:t>
      </w:r>
      <w:r w:rsidR="00B25597">
        <w:rPr>
          <w:rFonts w:eastAsia="Times New Roman"/>
          <w:iCs/>
          <w:sz w:val="20"/>
          <w:lang w:val="en-GB"/>
        </w:rPr>
        <w:t>s</w:t>
      </w:r>
      <w:r w:rsidR="00381980">
        <w:rPr>
          <w:rFonts w:eastAsia="Times New Roman"/>
          <w:iCs/>
          <w:sz w:val="20"/>
          <w:lang w:val="en-GB"/>
        </w:rPr>
        <w:t>.</w:t>
      </w:r>
    </w:p>
    <w:p w:rsidR="004D4FCD" w:rsidRPr="000334DC" w:rsidRDefault="004D4FCD" w:rsidP="001B0875">
      <w:pPr>
        <w:keepNext/>
        <w:spacing w:before="480" w:line="360" w:lineRule="auto"/>
        <w:ind w:firstLine="0"/>
        <w:outlineLvl w:val="0"/>
        <w:rPr>
          <w:rFonts w:eastAsia="Times New Roman"/>
          <w:b/>
          <w:bCs/>
          <w:kern w:val="32"/>
          <w:szCs w:val="20"/>
          <w:lang w:val="en-GB"/>
        </w:rPr>
      </w:pPr>
      <w:r w:rsidRPr="000334DC">
        <w:rPr>
          <w:rFonts w:eastAsia="Times New Roman"/>
          <w:b/>
          <w:bCs/>
          <w:kern w:val="32"/>
          <w:szCs w:val="20"/>
          <w:lang w:val="en-GB"/>
        </w:rPr>
        <w:t>References</w:t>
      </w:r>
    </w:p>
    <w:p w:rsidR="00C943DF" w:rsidRDefault="00C943DF" w:rsidP="00C943DF">
      <w:pPr>
        <w:pStyle w:val="References"/>
        <w:tabs>
          <w:tab w:val="num" w:pos="255"/>
        </w:tabs>
        <w:rPr>
          <w:rFonts w:asciiTheme="majorBidi" w:hAnsiTheme="majorBidi" w:cstheme="majorBidi"/>
          <w:szCs w:val="16"/>
        </w:rPr>
      </w:pPr>
      <w:r>
        <w:rPr>
          <w:rFonts w:asciiTheme="majorBidi" w:hAnsiTheme="majorBidi" w:cstheme="majorBidi"/>
          <w:szCs w:val="16"/>
        </w:rPr>
        <w:t>[1</w:t>
      </w:r>
      <w:r w:rsidRPr="00905EA3">
        <w:rPr>
          <w:rFonts w:asciiTheme="majorBidi" w:hAnsiTheme="majorBidi" w:cstheme="majorBidi"/>
          <w:szCs w:val="16"/>
        </w:rPr>
        <w:t>]</w:t>
      </w:r>
      <w:r>
        <w:rPr>
          <w:rFonts w:asciiTheme="majorBidi" w:hAnsiTheme="majorBidi" w:cstheme="majorBidi"/>
          <w:szCs w:val="16"/>
        </w:rPr>
        <w:t xml:space="preserve"> </w:t>
      </w:r>
      <w:proofErr w:type="spellStart"/>
      <w:r w:rsidRPr="00905EA3">
        <w:rPr>
          <w:rFonts w:asciiTheme="majorBidi" w:hAnsiTheme="majorBidi" w:cstheme="majorBidi"/>
          <w:szCs w:val="16"/>
        </w:rPr>
        <w:t>Grimaldi</w:t>
      </w:r>
      <w:proofErr w:type="spellEnd"/>
      <w:r>
        <w:rPr>
          <w:rFonts w:asciiTheme="majorBidi" w:hAnsiTheme="majorBidi" w:cstheme="majorBidi"/>
          <w:szCs w:val="16"/>
        </w:rPr>
        <w:t>, A.,</w:t>
      </w:r>
      <w:r w:rsidRPr="00905EA3">
        <w:rPr>
          <w:rFonts w:asciiTheme="majorBidi" w:hAnsiTheme="majorBidi" w:cstheme="majorBidi"/>
          <w:szCs w:val="16"/>
        </w:rPr>
        <w:t xml:space="preserve"> </w:t>
      </w:r>
      <w:r>
        <w:rPr>
          <w:rFonts w:asciiTheme="majorBidi" w:hAnsiTheme="majorBidi" w:cstheme="majorBidi"/>
          <w:szCs w:val="16"/>
        </w:rPr>
        <w:t>“</w:t>
      </w:r>
      <w:r w:rsidRPr="00905EA3">
        <w:rPr>
          <w:rFonts w:asciiTheme="majorBidi" w:hAnsiTheme="majorBidi" w:cstheme="majorBidi"/>
          <w:szCs w:val="16"/>
        </w:rPr>
        <w:t>Designing of a Modular Mission Bay for a Multirole Patrol Vessel</w:t>
      </w:r>
      <w:r>
        <w:rPr>
          <w:rFonts w:asciiTheme="majorBidi" w:hAnsiTheme="majorBidi" w:cstheme="majorBidi"/>
          <w:szCs w:val="16"/>
        </w:rPr>
        <w:t xml:space="preserve">”, </w:t>
      </w:r>
      <w:r w:rsidRPr="00905EA3">
        <w:rPr>
          <w:rFonts w:asciiTheme="majorBidi" w:hAnsiTheme="majorBidi" w:cstheme="majorBidi"/>
          <w:szCs w:val="16"/>
        </w:rPr>
        <w:t>18</w:t>
      </w:r>
      <w:r w:rsidRPr="00905EA3">
        <w:rPr>
          <w:rFonts w:asciiTheme="majorBidi" w:hAnsiTheme="majorBidi" w:cstheme="majorBidi"/>
          <w:szCs w:val="16"/>
          <w:vertAlign w:val="superscript"/>
        </w:rPr>
        <w:t>th</w:t>
      </w:r>
      <w:r w:rsidRPr="00905EA3">
        <w:rPr>
          <w:rFonts w:asciiTheme="majorBidi" w:hAnsiTheme="majorBidi" w:cstheme="majorBidi"/>
          <w:szCs w:val="16"/>
        </w:rPr>
        <w:t xml:space="preserve"> International Conference on Ships and Shipping Research NAV 2015</w:t>
      </w:r>
      <w:r>
        <w:rPr>
          <w:rFonts w:asciiTheme="majorBidi" w:hAnsiTheme="majorBidi" w:cstheme="majorBidi"/>
          <w:szCs w:val="16"/>
        </w:rPr>
        <w:t>, 24-26 June, Lecco, Italy</w:t>
      </w:r>
      <w:r w:rsidRPr="00905EA3">
        <w:rPr>
          <w:rFonts w:asciiTheme="majorBidi" w:hAnsiTheme="majorBidi" w:cstheme="majorBidi"/>
          <w:szCs w:val="16"/>
        </w:rPr>
        <w:t>.</w:t>
      </w:r>
    </w:p>
    <w:p w:rsidR="00905EA3" w:rsidRDefault="00905EA3" w:rsidP="006A1F7C">
      <w:pPr>
        <w:pStyle w:val="References"/>
        <w:tabs>
          <w:tab w:val="num" w:pos="255"/>
        </w:tabs>
        <w:rPr>
          <w:rFonts w:asciiTheme="majorBidi" w:hAnsiTheme="majorBidi" w:cstheme="majorBidi"/>
          <w:szCs w:val="16"/>
        </w:rPr>
      </w:pPr>
      <w:r w:rsidRPr="00905EA3">
        <w:rPr>
          <w:rFonts w:asciiTheme="majorBidi" w:hAnsiTheme="majorBidi" w:cstheme="majorBidi"/>
          <w:szCs w:val="16"/>
        </w:rPr>
        <w:t>[</w:t>
      </w:r>
      <w:r w:rsidR="00C943DF">
        <w:rPr>
          <w:rFonts w:asciiTheme="majorBidi" w:hAnsiTheme="majorBidi" w:cstheme="majorBidi"/>
          <w:szCs w:val="16"/>
        </w:rPr>
        <w:t>2</w:t>
      </w:r>
      <w:r w:rsidRPr="00905EA3">
        <w:rPr>
          <w:rFonts w:asciiTheme="majorBidi" w:hAnsiTheme="majorBidi" w:cstheme="majorBidi"/>
          <w:szCs w:val="16"/>
        </w:rPr>
        <w:t>]</w:t>
      </w:r>
      <w:r w:rsidR="002A47B7">
        <w:rPr>
          <w:rFonts w:asciiTheme="majorBidi" w:hAnsiTheme="majorBidi" w:cstheme="majorBidi"/>
          <w:szCs w:val="16"/>
        </w:rPr>
        <w:t xml:space="preserve"> </w:t>
      </w:r>
      <w:proofErr w:type="spellStart"/>
      <w:r w:rsidR="006A1F7C" w:rsidRPr="006A1F7C">
        <w:rPr>
          <w:rFonts w:asciiTheme="majorBidi" w:hAnsiTheme="majorBidi" w:cstheme="majorBidi"/>
          <w:szCs w:val="16"/>
        </w:rPr>
        <w:t>Volkert</w:t>
      </w:r>
      <w:proofErr w:type="spellEnd"/>
      <w:r w:rsidR="006A1F7C" w:rsidRPr="006A1F7C">
        <w:rPr>
          <w:rFonts w:asciiTheme="majorBidi" w:hAnsiTheme="majorBidi" w:cstheme="majorBidi"/>
          <w:szCs w:val="16"/>
        </w:rPr>
        <w:t>, R.</w:t>
      </w:r>
      <w:r w:rsidR="006A1F7C">
        <w:rPr>
          <w:rFonts w:asciiTheme="majorBidi" w:hAnsiTheme="majorBidi" w:cstheme="majorBidi"/>
          <w:szCs w:val="16"/>
        </w:rPr>
        <w:t>,</w:t>
      </w:r>
      <w:r w:rsidR="006A1F7C" w:rsidRPr="006A1F7C">
        <w:rPr>
          <w:rFonts w:asciiTheme="majorBidi" w:hAnsiTheme="majorBidi" w:cstheme="majorBidi"/>
          <w:szCs w:val="16"/>
        </w:rPr>
        <w:t xml:space="preserve"> Jackson, C. and W</w:t>
      </w:r>
      <w:r w:rsidR="006A1F7C" w:rsidRPr="006A1F7C">
        <w:rPr>
          <w:rFonts w:asciiTheme="majorBidi" w:hAnsiTheme="majorBidi" w:cstheme="majorBidi"/>
          <w:sz w:val="14"/>
          <w:szCs w:val="16"/>
        </w:rPr>
        <w:t>hitfield</w:t>
      </w:r>
      <w:r w:rsidR="006A1F7C">
        <w:rPr>
          <w:rFonts w:asciiTheme="majorBidi" w:hAnsiTheme="majorBidi" w:cstheme="majorBidi"/>
          <w:szCs w:val="16"/>
        </w:rPr>
        <w:t>, C.</w:t>
      </w:r>
      <w:r w:rsidR="006A1F7C" w:rsidRPr="006A1F7C">
        <w:rPr>
          <w:rFonts w:asciiTheme="majorBidi" w:hAnsiTheme="majorBidi" w:cstheme="majorBidi"/>
          <w:szCs w:val="16"/>
        </w:rPr>
        <w:t xml:space="preserve">, </w:t>
      </w:r>
      <w:r w:rsidR="006A1F7C">
        <w:rPr>
          <w:rFonts w:asciiTheme="majorBidi" w:hAnsiTheme="majorBidi" w:cstheme="majorBidi"/>
          <w:szCs w:val="16"/>
        </w:rPr>
        <w:t>“</w:t>
      </w:r>
      <w:r w:rsidR="006A1F7C" w:rsidRPr="006A1F7C">
        <w:rPr>
          <w:rFonts w:asciiTheme="majorBidi" w:hAnsiTheme="majorBidi" w:cstheme="majorBidi"/>
          <w:szCs w:val="16"/>
        </w:rPr>
        <w:t>Development of Modular Mission Packages Providing Focused Warfighting Capability for the Littoral Combat Ship</w:t>
      </w:r>
      <w:r w:rsidR="006A1F7C">
        <w:rPr>
          <w:rFonts w:asciiTheme="majorBidi" w:hAnsiTheme="majorBidi" w:cstheme="majorBidi"/>
          <w:szCs w:val="16"/>
        </w:rPr>
        <w:t>”, 2010,</w:t>
      </w:r>
      <w:r w:rsidR="006A1F7C" w:rsidRPr="006A1F7C">
        <w:rPr>
          <w:rFonts w:asciiTheme="majorBidi" w:hAnsiTheme="majorBidi" w:cstheme="majorBidi"/>
          <w:szCs w:val="16"/>
        </w:rPr>
        <w:t xml:space="preserve"> Naval Engineers Journal, 122: 75-92. </w:t>
      </w:r>
      <w:hyperlink r:id="rId20" w:history="1">
        <w:r w:rsidR="006A1F7C" w:rsidRPr="006A1F7C">
          <w:rPr>
            <w:rStyle w:val="Collegamentoipertestuale"/>
            <w:rFonts w:asciiTheme="majorBidi" w:hAnsiTheme="majorBidi" w:cstheme="majorBidi"/>
            <w:szCs w:val="16"/>
          </w:rPr>
          <w:t>doi:10.1111/j.1559-3584.2010.00281.x</w:t>
        </w:r>
      </w:hyperlink>
      <w:r w:rsidR="001B0875">
        <w:t>.</w:t>
      </w:r>
    </w:p>
    <w:p w:rsidR="00663572" w:rsidRPr="00905EA3" w:rsidRDefault="00663572" w:rsidP="006A1F7C">
      <w:pPr>
        <w:pStyle w:val="References"/>
        <w:tabs>
          <w:tab w:val="num" w:pos="255"/>
        </w:tabs>
        <w:rPr>
          <w:rFonts w:asciiTheme="majorBidi" w:hAnsiTheme="majorBidi" w:cstheme="majorBidi"/>
          <w:szCs w:val="16"/>
        </w:rPr>
      </w:pPr>
      <w:r>
        <w:rPr>
          <w:rFonts w:asciiTheme="majorBidi" w:hAnsiTheme="majorBidi" w:cstheme="majorBidi"/>
          <w:szCs w:val="16"/>
        </w:rPr>
        <w:t xml:space="preserve">[3] </w:t>
      </w:r>
      <w:proofErr w:type="spellStart"/>
      <w:r>
        <w:rPr>
          <w:rFonts w:asciiTheme="majorBidi" w:hAnsiTheme="majorBidi" w:cstheme="majorBidi"/>
          <w:szCs w:val="16"/>
        </w:rPr>
        <w:t>Doerry</w:t>
      </w:r>
      <w:proofErr w:type="spellEnd"/>
      <w:r>
        <w:rPr>
          <w:rFonts w:asciiTheme="majorBidi" w:hAnsiTheme="majorBidi" w:cstheme="majorBidi"/>
          <w:szCs w:val="16"/>
        </w:rPr>
        <w:t>, N., H., “</w:t>
      </w:r>
      <w:r w:rsidRPr="00663572">
        <w:rPr>
          <w:rFonts w:asciiTheme="majorBidi" w:hAnsiTheme="majorBidi" w:cstheme="majorBidi"/>
          <w:szCs w:val="16"/>
        </w:rPr>
        <w:t>Institutionalizing Modular Adaptable Ship Technologies</w:t>
      </w:r>
      <w:r>
        <w:rPr>
          <w:rFonts w:asciiTheme="majorBidi" w:hAnsiTheme="majorBidi" w:cstheme="majorBidi"/>
          <w:szCs w:val="16"/>
        </w:rPr>
        <w:t xml:space="preserve">”, 2012, </w:t>
      </w:r>
      <w:r w:rsidRPr="00663572">
        <w:rPr>
          <w:rFonts w:asciiTheme="majorBidi" w:hAnsiTheme="majorBidi" w:cstheme="majorBidi"/>
          <w:szCs w:val="16"/>
        </w:rPr>
        <w:t>Journal of Ship Production and Design</w:t>
      </w:r>
      <w:r>
        <w:rPr>
          <w:rFonts w:asciiTheme="majorBidi" w:hAnsiTheme="majorBidi" w:cstheme="majorBidi"/>
          <w:szCs w:val="16"/>
        </w:rPr>
        <w:t xml:space="preserve">, Vol 30, Issue 3, </w:t>
      </w:r>
      <w:hyperlink r:id="rId21" w:history="1">
        <w:r w:rsidRPr="00663572">
          <w:rPr>
            <w:rStyle w:val="Collegamentoipertestuale"/>
            <w:rFonts w:asciiTheme="majorBidi" w:hAnsiTheme="majorBidi" w:cstheme="majorBidi"/>
            <w:szCs w:val="16"/>
          </w:rPr>
          <w:t>DOI: 10.5957/JSPD.30.3.130038</w:t>
        </w:r>
      </w:hyperlink>
      <w:r w:rsidR="001B0875">
        <w:rPr>
          <w:rFonts w:asciiTheme="majorBidi" w:hAnsiTheme="majorBidi" w:cstheme="majorBidi"/>
          <w:szCs w:val="16"/>
        </w:rPr>
        <w:t>.</w:t>
      </w:r>
    </w:p>
    <w:p w:rsidR="006A1F7C" w:rsidRDefault="00663572" w:rsidP="006A1F7C">
      <w:pPr>
        <w:pStyle w:val="References"/>
        <w:tabs>
          <w:tab w:val="num" w:pos="255"/>
        </w:tabs>
        <w:rPr>
          <w:rFonts w:asciiTheme="majorBidi" w:hAnsiTheme="majorBidi" w:cstheme="majorBidi"/>
          <w:szCs w:val="16"/>
        </w:rPr>
      </w:pPr>
      <w:r>
        <w:rPr>
          <w:rFonts w:asciiTheme="majorBidi" w:hAnsiTheme="majorBidi" w:cstheme="majorBidi"/>
          <w:szCs w:val="16"/>
        </w:rPr>
        <w:t>[4</w:t>
      </w:r>
      <w:r w:rsidR="006A1F7C" w:rsidRPr="00905EA3">
        <w:rPr>
          <w:rFonts w:asciiTheme="majorBidi" w:hAnsiTheme="majorBidi" w:cstheme="majorBidi"/>
          <w:szCs w:val="16"/>
        </w:rPr>
        <w:t xml:space="preserve">] NATO STANDARD – ANEP 91 – Standard Interfaces </w:t>
      </w:r>
      <w:r w:rsidR="006A1F7C">
        <w:rPr>
          <w:rFonts w:asciiTheme="majorBidi" w:hAnsiTheme="majorBidi" w:cstheme="majorBidi"/>
          <w:szCs w:val="16"/>
        </w:rPr>
        <w:t>f</w:t>
      </w:r>
      <w:r w:rsidR="006A1F7C" w:rsidRPr="00905EA3">
        <w:rPr>
          <w:rFonts w:asciiTheme="majorBidi" w:hAnsiTheme="majorBidi" w:cstheme="majorBidi"/>
          <w:szCs w:val="16"/>
        </w:rPr>
        <w:t>or Mission Modules – Edition A Version 1</w:t>
      </w:r>
      <w:r w:rsidR="001B0875">
        <w:rPr>
          <w:rFonts w:asciiTheme="majorBidi" w:hAnsiTheme="majorBidi" w:cstheme="majorBidi"/>
          <w:szCs w:val="16"/>
        </w:rPr>
        <w:t>.</w:t>
      </w:r>
    </w:p>
    <w:p w:rsidR="006A1F7C" w:rsidRPr="00905EA3" w:rsidRDefault="006A1F7C" w:rsidP="006A1F7C">
      <w:pPr>
        <w:pStyle w:val="References"/>
        <w:tabs>
          <w:tab w:val="num" w:pos="255"/>
        </w:tabs>
        <w:rPr>
          <w:rFonts w:asciiTheme="majorBidi" w:hAnsiTheme="majorBidi" w:cstheme="majorBidi"/>
          <w:szCs w:val="16"/>
        </w:rPr>
      </w:pPr>
      <w:r w:rsidRPr="00905EA3">
        <w:rPr>
          <w:rFonts w:asciiTheme="majorBidi" w:hAnsiTheme="majorBidi" w:cstheme="majorBidi"/>
          <w:szCs w:val="16"/>
        </w:rPr>
        <w:t>[</w:t>
      </w:r>
      <w:r w:rsidR="00663572">
        <w:rPr>
          <w:rFonts w:asciiTheme="majorBidi" w:hAnsiTheme="majorBidi" w:cstheme="majorBidi"/>
          <w:szCs w:val="16"/>
        </w:rPr>
        <w:t>5</w:t>
      </w:r>
      <w:r w:rsidRPr="00905EA3">
        <w:rPr>
          <w:rFonts w:asciiTheme="majorBidi" w:hAnsiTheme="majorBidi" w:cstheme="majorBidi"/>
          <w:szCs w:val="16"/>
        </w:rPr>
        <w:t>]</w:t>
      </w:r>
      <w:r>
        <w:rPr>
          <w:rFonts w:asciiTheme="majorBidi" w:hAnsiTheme="majorBidi" w:cstheme="majorBidi"/>
          <w:szCs w:val="16"/>
        </w:rPr>
        <w:t xml:space="preserve"> </w:t>
      </w:r>
      <w:r w:rsidRPr="00905EA3">
        <w:rPr>
          <w:rFonts w:asciiTheme="majorBidi" w:hAnsiTheme="majorBidi" w:cstheme="majorBidi"/>
          <w:szCs w:val="16"/>
        </w:rPr>
        <w:t>OCCAR, PPA Contract No.PPA.14.</w:t>
      </w:r>
      <w:r>
        <w:rPr>
          <w:rFonts w:asciiTheme="majorBidi" w:hAnsiTheme="majorBidi" w:cstheme="majorBidi"/>
          <w:szCs w:val="16"/>
        </w:rPr>
        <w:t xml:space="preserve"> </w:t>
      </w:r>
      <w:r w:rsidRPr="00905EA3">
        <w:rPr>
          <w:rFonts w:asciiTheme="majorBidi" w:hAnsiTheme="majorBidi" w:cstheme="majorBidi"/>
          <w:szCs w:val="16"/>
        </w:rPr>
        <w:t>PROD.001 For the Design, Development, Production, and In-Service Support of 6 Multipurpose Patrol Ship (PPA) for the Italian Republic (and Amendment No.1).</w:t>
      </w:r>
    </w:p>
    <w:sectPr w:rsidR="006A1F7C" w:rsidRPr="00905EA3" w:rsidSect="00B9251D">
      <w:type w:val="continuous"/>
      <w:pgSz w:w="11906" w:h="16838"/>
      <w:pgMar w:top="3119" w:right="2438" w:bottom="2381" w:left="24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287" w:rsidRDefault="00D15287" w:rsidP="005B3965">
      <w:r>
        <w:separator/>
      </w:r>
    </w:p>
  </w:endnote>
  <w:endnote w:type="continuationSeparator" w:id="0">
    <w:p w:rsidR="00D15287" w:rsidRDefault="00D15287" w:rsidP="005B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287" w:rsidRDefault="00D15287" w:rsidP="005B3965">
      <w:r>
        <w:separator/>
      </w:r>
    </w:p>
  </w:footnote>
  <w:footnote w:type="continuationSeparator" w:id="0">
    <w:p w:rsidR="00D15287" w:rsidRDefault="00D15287" w:rsidP="005B3965">
      <w:r>
        <w:continuationSeparator/>
      </w:r>
    </w:p>
  </w:footnote>
  <w:footnote w:id="1">
    <w:p w:rsidR="00FF6454" w:rsidRDefault="00FF6454" w:rsidP="00FF6454">
      <w:pPr>
        <w:pStyle w:val="Testonotaapidipagina"/>
        <w:rPr>
          <w:sz w:val="16"/>
        </w:rPr>
      </w:pPr>
      <w:r>
        <w:rPr>
          <w:rStyle w:val="Rimandonotaapidipagina"/>
        </w:rPr>
        <w:footnoteRef/>
      </w:r>
      <w:r w:rsidRPr="009F2686">
        <w:rPr>
          <w:sz w:val="16"/>
        </w:rPr>
        <w:t xml:space="preserve">Corresponding author: </w:t>
      </w:r>
      <w:hyperlink r:id="rId1" w:history="1">
        <w:r w:rsidR="009F2686" w:rsidRPr="00893EF9">
          <w:rPr>
            <w:rStyle w:val="Collegamentoipertestuale"/>
            <w:sz w:val="16"/>
          </w:rPr>
          <w:t>francesco.greco@marina.difesa.it</w:t>
        </w:r>
      </w:hyperlink>
    </w:p>
    <w:p w:rsidR="009F2686" w:rsidRPr="009F2686" w:rsidRDefault="009F2686" w:rsidP="00FF6454">
      <w:pPr>
        <w:pStyle w:val="Testonotaapidipagina"/>
        <w:rPr>
          <w:sz w:val="2"/>
          <w:szCs w:val="2"/>
        </w:rPr>
      </w:pPr>
    </w:p>
  </w:footnote>
  <w:footnote w:id="2">
    <w:p w:rsidR="00BB7268" w:rsidRPr="00BB7268" w:rsidRDefault="00BB7268" w:rsidP="0031552E">
      <w:pPr>
        <w:pStyle w:val="Testonotaapidipagina"/>
        <w:ind w:left="284" w:firstLine="0"/>
        <w:rPr>
          <w:sz w:val="16"/>
        </w:rPr>
      </w:pPr>
      <w:r w:rsidRPr="00BB7268">
        <w:rPr>
          <w:rStyle w:val="Rimandonotaapidipagina"/>
          <w:sz w:val="16"/>
        </w:rPr>
        <w:footnoteRef/>
      </w:r>
      <w:r w:rsidRPr="00BB7268">
        <w:rPr>
          <w:sz w:val="16"/>
        </w:rPr>
        <w:t xml:space="preserve"> Active Towed Array Sonar (ATAS), with tailored modularized feature, is being developed by Leonardo </w:t>
      </w:r>
      <w:r w:rsidR="0031552E">
        <w:rPr>
          <w:sz w:val="16"/>
        </w:rPr>
        <w:t>Company within the PPA program</w:t>
      </w:r>
      <w:r w:rsidRPr="00BB7268">
        <w:rPr>
          <w:sz w:val="16"/>
        </w:rPr>
        <w:t xml:space="preserve"> scope of supply.</w:t>
      </w:r>
    </w:p>
  </w:footnote>
  <w:footnote w:id="3">
    <w:p w:rsidR="00BB7268" w:rsidRPr="00BB7268" w:rsidRDefault="00BB7268" w:rsidP="0031552E">
      <w:pPr>
        <w:pStyle w:val="Testonotaapidipagina"/>
        <w:ind w:left="284" w:firstLine="0"/>
        <w:rPr>
          <w:sz w:val="16"/>
        </w:rPr>
      </w:pPr>
      <w:r w:rsidRPr="00BB7268">
        <w:rPr>
          <w:rStyle w:val="Rimandonotaapidipagina"/>
          <w:sz w:val="16"/>
        </w:rPr>
        <w:footnoteRef/>
      </w:r>
      <w:r w:rsidRPr="00BB7268">
        <w:rPr>
          <w:sz w:val="16"/>
        </w:rPr>
        <w:t xml:space="preserve"> Torpedo Detection System (TDS), with tailored modularized feature, is being developed by Leonardo Compan</w:t>
      </w:r>
      <w:r w:rsidR="0031552E">
        <w:rPr>
          <w:sz w:val="16"/>
        </w:rPr>
        <w:t>y within the PPA program</w:t>
      </w:r>
      <w:r w:rsidRPr="00BB7268">
        <w:rPr>
          <w:sz w:val="16"/>
        </w:rPr>
        <w:t xml:space="preserve"> scope of supply.</w:t>
      </w:r>
    </w:p>
  </w:footnote>
  <w:footnote w:id="4">
    <w:p w:rsidR="00BB7268" w:rsidRPr="002A12FD" w:rsidRDefault="00BB7268" w:rsidP="0031552E">
      <w:pPr>
        <w:pStyle w:val="Testonotaapidipagina"/>
        <w:ind w:left="284" w:firstLine="0"/>
        <w:rPr>
          <w:rFonts w:ascii="Arial" w:hAnsi="Arial" w:cs="Arial"/>
        </w:rPr>
      </w:pPr>
      <w:r w:rsidRPr="00BB7268">
        <w:rPr>
          <w:rStyle w:val="Rimandonotaapidipagina"/>
          <w:sz w:val="16"/>
        </w:rPr>
        <w:footnoteRef/>
      </w:r>
      <w:r w:rsidRPr="00BB7268">
        <w:rPr>
          <w:sz w:val="16"/>
        </w:rPr>
        <w:t xml:space="preserve"> As PPA is going to respond to different capability profiles, the Navy has chosen a single platform able to accommodate at least 3 levels of weapon systems with increasing capabilities.</w:t>
      </w:r>
    </w:p>
  </w:footnote>
  <w:footnote w:id="5">
    <w:p w:rsidR="00905EA3" w:rsidRPr="00D71F5D" w:rsidRDefault="00905EA3" w:rsidP="0031552E">
      <w:pPr>
        <w:pStyle w:val="Testonotaapidipagina"/>
        <w:ind w:left="284" w:firstLine="0"/>
        <w:rPr>
          <w:rFonts w:ascii="Arial" w:hAnsi="Arial" w:cs="Arial"/>
        </w:rPr>
      </w:pPr>
      <w:r w:rsidRPr="00D71F5D">
        <w:rPr>
          <w:rStyle w:val="Rimandonotaapidipagina"/>
          <w:rFonts w:ascii="Arial" w:hAnsi="Arial" w:cs="Arial"/>
        </w:rPr>
        <w:footnoteRef/>
      </w:r>
      <w:r w:rsidRPr="00D71F5D">
        <w:rPr>
          <w:rFonts w:ascii="Arial" w:hAnsi="Arial" w:cs="Arial"/>
        </w:rPr>
        <w:t xml:space="preserve"> </w:t>
      </w:r>
      <w:r w:rsidRPr="00905EA3">
        <w:rPr>
          <w:sz w:val="16"/>
        </w:rPr>
        <w:t>Including Industry, Italian Navy, OCCAR as Contract Authority and NAVARM as National Point of Contact</w:t>
      </w:r>
      <w:r w:rsidR="00B33579">
        <w:rPr>
          <w:sz w:val="16"/>
        </w:rPr>
        <w:t xml:space="preserve"> [</w:t>
      </w:r>
      <w:r w:rsidR="00663572">
        <w:rPr>
          <w:sz w:val="16"/>
        </w:rPr>
        <w:t>5</w:t>
      </w:r>
      <w:r w:rsidR="00B33579">
        <w:rPr>
          <w:sz w:val="16"/>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A482DB2"/>
    <w:multiLevelType w:val="hybridMultilevel"/>
    <w:tmpl w:val="5F7A67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DAB183D"/>
    <w:multiLevelType w:val="multilevel"/>
    <w:tmpl w:val="1D42B1F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4C34A7"/>
    <w:multiLevelType w:val="multilevel"/>
    <w:tmpl w:val="301AB2C6"/>
    <w:lvl w:ilvl="0">
      <w:start w:val="1"/>
      <w:numFmt w:val="decimal"/>
      <w:lvlText w:val="%1."/>
      <w:lvlJc w:val="left"/>
      <w:pPr>
        <w:tabs>
          <w:tab w:val="num" w:pos="360"/>
        </w:tabs>
        <w:ind w:left="360" w:hanging="36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E982243"/>
    <w:multiLevelType w:val="hybridMultilevel"/>
    <w:tmpl w:val="3B9C42C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C91FF3"/>
    <w:multiLevelType w:val="hybridMultilevel"/>
    <w:tmpl w:val="0838C624"/>
    <w:lvl w:ilvl="0" w:tplc="C884EE0E">
      <w:start w:val="1"/>
      <w:numFmt w:val="lowerLetter"/>
      <w:lvlText w:val="%1)"/>
      <w:lvlJc w:val="left"/>
      <w:pPr>
        <w:ind w:left="720" w:hanging="360"/>
      </w:pPr>
      <w:rPr>
        <w:rFonts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FC4560"/>
    <w:multiLevelType w:val="hybridMultilevel"/>
    <w:tmpl w:val="E7D0DD3A"/>
    <w:lvl w:ilvl="0" w:tplc="8D3842E2">
      <w:numFmt w:val="bullet"/>
      <w:lvlText w:val="-"/>
      <w:lvlJc w:val="left"/>
      <w:pPr>
        <w:ind w:left="720" w:hanging="360"/>
      </w:pPr>
      <w:rPr>
        <w:rFonts w:ascii="Times New Roman" w:eastAsia="Times New Roman" w:hAnsi="Times New Roman" w:cs="Times New Roman" w:hint="default"/>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C9D31F7"/>
    <w:multiLevelType w:val="hybridMultilevel"/>
    <w:tmpl w:val="694CF2F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A3B2A37"/>
    <w:multiLevelType w:val="hybridMultilevel"/>
    <w:tmpl w:val="9AA8C53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2D15FB"/>
    <w:multiLevelType w:val="hybridMultilevel"/>
    <w:tmpl w:val="F7E48F4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4655E4"/>
    <w:multiLevelType w:val="hybridMultilevel"/>
    <w:tmpl w:val="830032B2"/>
    <w:lvl w:ilvl="0" w:tplc="ACE0B39A">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2" w15:restartNumberingAfterBreak="0">
    <w:nsid w:val="52DA2B46"/>
    <w:multiLevelType w:val="hybridMultilevel"/>
    <w:tmpl w:val="D4962ABE"/>
    <w:lvl w:ilvl="0" w:tplc="04100017">
      <w:start w:val="1"/>
      <w:numFmt w:val="lowerLetter"/>
      <w:lvlText w:val="%1)"/>
      <w:lvlJc w:val="left"/>
      <w:pPr>
        <w:ind w:left="445" w:hanging="360"/>
      </w:pPr>
    </w:lvl>
    <w:lvl w:ilvl="1" w:tplc="04100019" w:tentative="1">
      <w:start w:val="1"/>
      <w:numFmt w:val="lowerLetter"/>
      <w:lvlText w:val="%2."/>
      <w:lvlJc w:val="left"/>
      <w:pPr>
        <w:ind w:left="1165" w:hanging="360"/>
      </w:pPr>
    </w:lvl>
    <w:lvl w:ilvl="2" w:tplc="0410001B" w:tentative="1">
      <w:start w:val="1"/>
      <w:numFmt w:val="lowerRoman"/>
      <w:lvlText w:val="%3."/>
      <w:lvlJc w:val="right"/>
      <w:pPr>
        <w:ind w:left="1885" w:hanging="180"/>
      </w:pPr>
    </w:lvl>
    <w:lvl w:ilvl="3" w:tplc="0410000F" w:tentative="1">
      <w:start w:val="1"/>
      <w:numFmt w:val="decimal"/>
      <w:lvlText w:val="%4."/>
      <w:lvlJc w:val="left"/>
      <w:pPr>
        <w:ind w:left="2605" w:hanging="360"/>
      </w:pPr>
    </w:lvl>
    <w:lvl w:ilvl="4" w:tplc="04100019" w:tentative="1">
      <w:start w:val="1"/>
      <w:numFmt w:val="lowerLetter"/>
      <w:lvlText w:val="%5."/>
      <w:lvlJc w:val="left"/>
      <w:pPr>
        <w:ind w:left="3325" w:hanging="360"/>
      </w:pPr>
    </w:lvl>
    <w:lvl w:ilvl="5" w:tplc="0410001B" w:tentative="1">
      <w:start w:val="1"/>
      <w:numFmt w:val="lowerRoman"/>
      <w:lvlText w:val="%6."/>
      <w:lvlJc w:val="right"/>
      <w:pPr>
        <w:ind w:left="4045" w:hanging="180"/>
      </w:pPr>
    </w:lvl>
    <w:lvl w:ilvl="6" w:tplc="0410000F" w:tentative="1">
      <w:start w:val="1"/>
      <w:numFmt w:val="decimal"/>
      <w:lvlText w:val="%7."/>
      <w:lvlJc w:val="left"/>
      <w:pPr>
        <w:ind w:left="4765" w:hanging="360"/>
      </w:pPr>
    </w:lvl>
    <w:lvl w:ilvl="7" w:tplc="04100019" w:tentative="1">
      <w:start w:val="1"/>
      <w:numFmt w:val="lowerLetter"/>
      <w:lvlText w:val="%8."/>
      <w:lvlJc w:val="left"/>
      <w:pPr>
        <w:ind w:left="5485" w:hanging="360"/>
      </w:pPr>
    </w:lvl>
    <w:lvl w:ilvl="8" w:tplc="0410001B" w:tentative="1">
      <w:start w:val="1"/>
      <w:numFmt w:val="lowerRoman"/>
      <w:lvlText w:val="%9."/>
      <w:lvlJc w:val="right"/>
      <w:pPr>
        <w:ind w:left="6205" w:hanging="180"/>
      </w:pPr>
    </w:lvl>
  </w:abstractNum>
  <w:abstractNum w:abstractNumId="1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4" w15:restartNumberingAfterBreak="0">
    <w:nsid w:val="5CBC5C6E"/>
    <w:multiLevelType w:val="hybridMultilevel"/>
    <w:tmpl w:val="7A8A923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7" w15:restartNumberingAfterBreak="0">
    <w:nsid w:val="6F7F2C74"/>
    <w:multiLevelType w:val="hybridMultilevel"/>
    <w:tmpl w:val="204674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9" w15:restartNumberingAfterBreak="0">
    <w:nsid w:val="7EC6573F"/>
    <w:multiLevelType w:val="hybridMultilevel"/>
    <w:tmpl w:val="8E0026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3"/>
  </w:num>
  <w:num w:numId="3">
    <w:abstractNumId w:val="0"/>
  </w:num>
  <w:num w:numId="4">
    <w:abstractNumId w:val="18"/>
  </w:num>
  <w:num w:numId="5">
    <w:abstractNumId w:val="11"/>
  </w:num>
  <w:num w:numId="6">
    <w:abstractNumId w:val="16"/>
  </w:num>
  <w:num w:numId="7">
    <w:abstractNumId w:val="6"/>
  </w:num>
  <w:num w:numId="8">
    <w:abstractNumId w:val="5"/>
  </w:num>
  <w:num w:numId="9">
    <w:abstractNumId w:val="19"/>
  </w:num>
  <w:num w:numId="10">
    <w:abstractNumId w:val="7"/>
  </w:num>
  <w:num w:numId="11">
    <w:abstractNumId w:val="2"/>
  </w:num>
  <w:num w:numId="12">
    <w:abstractNumId w:val="17"/>
  </w:num>
  <w:num w:numId="13">
    <w:abstractNumId w:val="18"/>
  </w:num>
  <w:num w:numId="14">
    <w:abstractNumId w:val="18"/>
  </w:num>
  <w:num w:numId="15">
    <w:abstractNumId w:val="10"/>
  </w:num>
  <w:num w:numId="16">
    <w:abstractNumId w:val="9"/>
  </w:num>
  <w:num w:numId="17">
    <w:abstractNumId w:val="12"/>
  </w:num>
  <w:num w:numId="18">
    <w:abstractNumId w:val="1"/>
  </w:num>
  <w:num w:numId="19">
    <w:abstractNumId w:val="3"/>
  </w:num>
  <w:num w:numId="20">
    <w:abstractNumId w:val="18"/>
  </w:num>
  <w:num w:numId="21">
    <w:abstractNumId w:val="18"/>
  </w:num>
  <w:num w:numId="22">
    <w:abstractNumId w:val="4"/>
  </w:num>
  <w:num w:numId="23">
    <w:abstractNumId w:val="14"/>
  </w:num>
  <w:num w:numId="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4FCD"/>
    <w:rsid w:val="000312DA"/>
    <w:rsid w:val="00032988"/>
    <w:rsid w:val="000334DC"/>
    <w:rsid w:val="0004113D"/>
    <w:rsid w:val="0005705B"/>
    <w:rsid w:val="000573E0"/>
    <w:rsid w:val="000772D5"/>
    <w:rsid w:val="000810BD"/>
    <w:rsid w:val="000829BC"/>
    <w:rsid w:val="00090B26"/>
    <w:rsid w:val="000A04CD"/>
    <w:rsid w:val="000A40D9"/>
    <w:rsid w:val="000C2451"/>
    <w:rsid w:val="000C40E2"/>
    <w:rsid w:val="000D1F4B"/>
    <w:rsid w:val="000D3BDC"/>
    <w:rsid w:val="000E27E0"/>
    <w:rsid w:val="00110E54"/>
    <w:rsid w:val="00116BA6"/>
    <w:rsid w:val="001254E9"/>
    <w:rsid w:val="0014049C"/>
    <w:rsid w:val="001443B6"/>
    <w:rsid w:val="001520E4"/>
    <w:rsid w:val="00153A57"/>
    <w:rsid w:val="00170385"/>
    <w:rsid w:val="00171CD2"/>
    <w:rsid w:val="00175B97"/>
    <w:rsid w:val="00176601"/>
    <w:rsid w:val="001A4253"/>
    <w:rsid w:val="001A4BAE"/>
    <w:rsid w:val="001A62D3"/>
    <w:rsid w:val="001B0875"/>
    <w:rsid w:val="001B3F2F"/>
    <w:rsid w:val="001C7884"/>
    <w:rsid w:val="00200BDD"/>
    <w:rsid w:val="00212671"/>
    <w:rsid w:val="00212AD7"/>
    <w:rsid w:val="0023748F"/>
    <w:rsid w:val="002470A0"/>
    <w:rsid w:val="002705E5"/>
    <w:rsid w:val="00274147"/>
    <w:rsid w:val="0027484A"/>
    <w:rsid w:val="0028069C"/>
    <w:rsid w:val="002875F6"/>
    <w:rsid w:val="00291A44"/>
    <w:rsid w:val="002A47B7"/>
    <w:rsid w:val="002A5D0E"/>
    <w:rsid w:val="002B270C"/>
    <w:rsid w:val="002D7911"/>
    <w:rsid w:val="002F405B"/>
    <w:rsid w:val="00300F55"/>
    <w:rsid w:val="00303A73"/>
    <w:rsid w:val="0031552E"/>
    <w:rsid w:val="00316A54"/>
    <w:rsid w:val="003449D8"/>
    <w:rsid w:val="00353585"/>
    <w:rsid w:val="00381980"/>
    <w:rsid w:val="00395331"/>
    <w:rsid w:val="003B159F"/>
    <w:rsid w:val="003C36E0"/>
    <w:rsid w:val="003C5742"/>
    <w:rsid w:val="003D3DD7"/>
    <w:rsid w:val="003D7BEF"/>
    <w:rsid w:val="003E3824"/>
    <w:rsid w:val="003F0F84"/>
    <w:rsid w:val="003F1E36"/>
    <w:rsid w:val="003F5C5B"/>
    <w:rsid w:val="0040442C"/>
    <w:rsid w:val="0040699B"/>
    <w:rsid w:val="00450A8F"/>
    <w:rsid w:val="00460778"/>
    <w:rsid w:val="00460F7D"/>
    <w:rsid w:val="00462B4E"/>
    <w:rsid w:val="00465D9B"/>
    <w:rsid w:val="004C39A1"/>
    <w:rsid w:val="004D4FCD"/>
    <w:rsid w:val="004F3547"/>
    <w:rsid w:val="0051042A"/>
    <w:rsid w:val="00517E0A"/>
    <w:rsid w:val="005212AB"/>
    <w:rsid w:val="005316B0"/>
    <w:rsid w:val="00534712"/>
    <w:rsid w:val="00547A3B"/>
    <w:rsid w:val="005548B0"/>
    <w:rsid w:val="00562A35"/>
    <w:rsid w:val="00562C3F"/>
    <w:rsid w:val="0057295E"/>
    <w:rsid w:val="005953C9"/>
    <w:rsid w:val="00597BFA"/>
    <w:rsid w:val="005B3965"/>
    <w:rsid w:val="005B655F"/>
    <w:rsid w:val="005E7330"/>
    <w:rsid w:val="005E7BBC"/>
    <w:rsid w:val="005F0E57"/>
    <w:rsid w:val="005F588E"/>
    <w:rsid w:val="00632B82"/>
    <w:rsid w:val="00636118"/>
    <w:rsid w:val="00642F55"/>
    <w:rsid w:val="00651618"/>
    <w:rsid w:val="00656766"/>
    <w:rsid w:val="00661428"/>
    <w:rsid w:val="00663572"/>
    <w:rsid w:val="0067739E"/>
    <w:rsid w:val="00685D19"/>
    <w:rsid w:val="0069749C"/>
    <w:rsid w:val="006A1F7C"/>
    <w:rsid w:val="006B42AB"/>
    <w:rsid w:val="006B4944"/>
    <w:rsid w:val="006E05FA"/>
    <w:rsid w:val="006F7ED0"/>
    <w:rsid w:val="00723576"/>
    <w:rsid w:val="007466A4"/>
    <w:rsid w:val="00754E63"/>
    <w:rsid w:val="007577B0"/>
    <w:rsid w:val="007602F2"/>
    <w:rsid w:val="00761771"/>
    <w:rsid w:val="00761AC6"/>
    <w:rsid w:val="00763C42"/>
    <w:rsid w:val="00775B34"/>
    <w:rsid w:val="007A2AAF"/>
    <w:rsid w:val="007E45D1"/>
    <w:rsid w:val="007F78E8"/>
    <w:rsid w:val="008116D6"/>
    <w:rsid w:val="00817752"/>
    <w:rsid w:val="00820A2E"/>
    <w:rsid w:val="00820C57"/>
    <w:rsid w:val="00845FC6"/>
    <w:rsid w:val="008533FF"/>
    <w:rsid w:val="00854AE4"/>
    <w:rsid w:val="00863E5E"/>
    <w:rsid w:val="00871B25"/>
    <w:rsid w:val="00872319"/>
    <w:rsid w:val="008734DF"/>
    <w:rsid w:val="0088727A"/>
    <w:rsid w:val="008B48F8"/>
    <w:rsid w:val="008C61EE"/>
    <w:rsid w:val="008D1394"/>
    <w:rsid w:val="00905EA3"/>
    <w:rsid w:val="00910DD2"/>
    <w:rsid w:val="00926E06"/>
    <w:rsid w:val="00942C20"/>
    <w:rsid w:val="00946212"/>
    <w:rsid w:val="009500D3"/>
    <w:rsid w:val="00951F9C"/>
    <w:rsid w:val="0095761A"/>
    <w:rsid w:val="0096107F"/>
    <w:rsid w:val="00972763"/>
    <w:rsid w:val="00977E1B"/>
    <w:rsid w:val="00980541"/>
    <w:rsid w:val="00982936"/>
    <w:rsid w:val="009871E6"/>
    <w:rsid w:val="009977A4"/>
    <w:rsid w:val="009A5D45"/>
    <w:rsid w:val="009B405C"/>
    <w:rsid w:val="009B5D77"/>
    <w:rsid w:val="009C2CC8"/>
    <w:rsid w:val="009F2686"/>
    <w:rsid w:val="00A22425"/>
    <w:rsid w:val="00A4190D"/>
    <w:rsid w:val="00A5357C"/>
    <w:rsid w:val="00A80420"/>
    <w:rsid w:val="00A80FD2"/>
    <w:rsid w:val="00A943E7"/>
    <w:rsid w:val="00AA6AD3"/>
    <w:rsid w:val="00AC0909"/>
    <w:rsid w:val="00AE38E6"/>
    <w:rsid w:val="00AE7FAD"/>
    <w:rsid w:val="00AF3848"/>
    <w:rsid w:val="00B02A12"/>
    <w:rsid w:val="00B06867"/>
    <w:rsid w:val="00B11723"/>
    <w:rsid w:val="00B12A1E"/>
    <w:rsid w:val="00B222D7"/>
    <w:rsid w:val="00B25597"/>
    <w:rsid w:val="00B33579"/>
    <w:rsid w:val="00B4579E"/>
    <w:rsid w:val="00B821B1"/>
    <w:rsid w:val="00B8382A"/>
    <w:rsid w:val="00B8559B"/>
    <w:rsid w:val="00B9251D"/>
    <w:rsid w:val="00BB70BB"/>
    <w:rsid w:val="00BB7268"/>
    <w:rsid w:val="00BC4F5D"/>
    <w:rsid w:val="00BD04D2"/>
    <w:rsid w:val="00BE6F1C"/>
    <w:rsid w:val="00BF375E"/>
    <w:rsid w:val="00C2364A"/>
    <w:rsid w:val="00C36BA6"/>
    <w:rsid w:val="00C443A5"/>
    <w:rsid w:val="00C6676B"/>
    <w:rsid w:val="00C85BE2"/>
    <w:rsid w:val="00C943DF"/>
    <w:rsid w:val="00CA4805"/>
    <w:rsid w:val="00CB0FEE"/>
    <w:rsid w:val="00CC2FE9"/>
    <w:rsid w:val="00CC694B"/>
    <w:rsid w:val="00CC707E"/>
    <w:rsid w:val="00CC7493"/>
    <w:rsid w:val="00CD0ACB"/>
    <w:rsid w:val="00CF276E"/>
    <w:rsid w:val="00CF3F98"/>
    <w:rsid w:val="00CF4072"/>
    <w:rsid w:val="00D01028"/>
    <w:rsid w:val="00D06C0C"/>
    <w:rsid w:val="00D15037"/>
    <w:rsid w:val="00D15287"/>
    <w:rsid w:val="00D3546A"/>
    <w:rsid w:val="00D366BC"/>
    <w:rsid w:val="00D46193"/>
    <w:rsid w:val="00D64875"/>
    <w:rsid w:val="00D7030F"/>
    <w:rsid w:val="00D71F68"/>
    <w:rsid w:val="00D739A8"/>
    <w:rsid w:val="00D86B56"/>
    <w:rsid w:val="00DC47DA"/>
    <w:rsid w:val="00DC5191"/>
    <w:rsid w:val="00DD0497"/>
    <w:rsid w:val="00DE44B8"/>
    <w:rsid w:val="00DE6237"/>
    <w:rsid w:val="00DF0353"/>
    <w:rsid w:val="00DF2077"/>
    <w:rsid w:val="00E302DF"/>
    <w:rsid w:val="00E40AF7"/>
    <w:rsid w:val="00E55B03"/>
    <w:rsid w:val="00E74CBA"/>
    <w:rsid w:val="00E9619B"/>
    <w:rsid w:val="00EA68AE"/>
    <w:rsid w:val="00EA7657"/>
    <w:rsid w:val="00EA7E9D"/>
    <w:rsid w:val="00EC24EB"/>
    <w:rsid w:val="00ED1E2C"/>
    <w:rsid w:val="00ED508B"/>
    <w:rsid w:val="00EE2B08"/>
    <w:rsid w:val="00EE5D60"/>
    <w:rsid w:val="00EF1A06"/>
    <w:rsid w:val="00EF5587"/>
    <w:rsid w:val="00F0085E"/>
    <w:rsid w:val="00F01ACF"/>
    <w:rsid w:val="00F120B1"/>
    <w:rsid w:val="00F2513D"/>
    <w:rsid w:val="00F2784E"/>
    <w:rsid w:val="00F30927"/>
    <w:rsid w:val="00F329ED"/>
    <w:rsid w:val="00F40C7D"/>
    <w:rsid w:val="00F502EA"/>
    <w:rsid w:val="00F90381"/>
    <w:rsid w:val="00FC0973"/>
    <w:rsid w:val="00FE1405"/>
    <w:rsid w:val="00FF19BB"/>
    <w:rsid w:val="00FF268C"/>
    <w:rsid w:val="00FF55C6"/>
    <w:rsid w:val="00FF64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EBFE53"/>
  <w15:docId w15:val="{4E4A06FB-5635-463B-9BB0-2FE1E376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B70BB"/>
    <w:pPr>
      <w:ind w:firstLine="357"/>
      <w:jc w:val="both"/>
    </w:pPr>
    <w:rPr>
      <w:szCs w:val="24"/>
      <w:lang w:eastAsia="ja-JP"/>
    </w:rPr>
  </w:style>
  <w:style w:type="paragraph" w:styleId="Titolo1">
    <w:name w:val="heading 1"/>
    <w:basedOn w:val="Normale"/>
    <w:next w:val="NoindentNormal"/>
    <w:qFormat/>
    <w:rsid w:val="005E7BBC"/>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link w:val="Titolo2Carattere"/>
    <w:uiPriority w:val="9"/>
    <w:qFormat/>
    <w:rsid w:val="005E7BBC"/>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5E7BBC"/>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5E7BBC"/>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5E7BBC"/>
    <w:pPr>
      <w:numPr>
        <w:ilvl w:val="4"/>
        <w:numId w:val="4"/>
      </w:numPr>
      <w:jc w:val="left"/>
      <w:outlineLvl w:val="4"/>
    </w:pPr>
    <w:rPr>
      <w:bCs/>
      <w:i/>
      <w:iCs/>
      <w:szCs w:val="26"/>
    </w:rPr>
  </w:style>
  <w:style w:type="paragraph" w:styleId="Titolo6">
    <w:name w:val="heading 6"/>
    <w:basedOn w:val="Normale"/>
    <w:next w:val="Normale"/>
    <w:qFormat/>
    <w:rsid w:val="005E7BBC"/>
    <w:pPr>
      <w:numPr>
        <w:ilvl w:val="5"/>
        <w:numId w:val="4"/>
      </w:numPr>
      <w:spacing w:before="240"/>
      <w:outlineLvl w:val="5"/>
    </w:pPr>
    <w:rPr>
      <w:bCs/>
      <w:szCs w:val="22"/>
    </w:rPr>
  </w:style>
  <w:style w:type="paragraph" w:styleId="Titolo7">
    <w:name w:val="heading 7"/>
    <w:basedOn w:val="Normale"/>
    <w:next w:val="Normale"/>
    <w:qFormat/>
    <w:rsid w:val="005E7BBC"/>
    <w:pPr>
      <w:spacing w:before="240" w:after="60"/>
      <w:outlineLvl w:val="6"/>
    </w:pPr>
    <w:rPr>
      <w:sz w:val="24"/>
    </w:rPr>
  </w:style>
  <w:style w:type="paragraph" w:styleId="Titolo8">
    <w:name w:val="heading 8"/>
    <w:basedOn w:val="Normale"/>
    <w:next w:val="Normale"/>
    <w:qFormat/>
    <w:rsid w:val="005E7BBC"/>
    <w:pPr>
      <w:spacing w:before="240" w:after="60"/>
      <w:outlineLvl w:val="7"/>
    </w:pPr>
    <w:rPr>
      <w:i/>
      <w:iCs/>
      <w:sz w:val="24"/>
    </w:rPr>
  </w:style>
  <w:style w:type="paragraph" w:styleId="Titolo9">
    <w:name w:val="heading 9"/>
    <w:basedOn w:val="Normale"/>
    <w:next w:val="Normale"/>
    <w:qFormat/>
    <w:rsid w:val="005E7BBC"/>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5E7BBC"/>
    <w:pPr>
      <w:ind w:firstLine="0"/>
    </w:pPr>
  </w:style>
  <w:style w:type="paragraph" w:customStyle="1" w:styleId="Quote1">
    <w:name w:val="Quote1"/>
    <w:basedOn w:val="Normale"/>
    <w:rsid w:val="005E7BBC"/>
    <w:pPr>
      <w:ind w:left="204"/>
    </w:pPr>
    <w:rPr>
      <w:sz w:val="18"/>
    </w:rPr>
  </w:style>
  <w:style w:type="paragraph" w:customStyle="1" w:styleId="Abstract">
    <w:name w:val="Abstract"/>
    <w:basedOn w:val="Normale"/>
    <w:rsid w:val="005E7BBC"/>
    <w:pPr>
      <w:adjustRightInd w:val="0"/>
      <w:snapToGrid w:val="0"/>
      <w:spacing w:before="480"/>
      <w:ind w:left="851" w:right="851" w:firstLine="0"/>
    </w:pPr>
    <w:rPr>
      <w:sz w:val="16"/>
    </w:rPr>
  </w:style>
  <w:style w:type="paragraph" w:customStyle="1" w:styleId="Affiliation">
    <w:name w:val="Affiliation"/>
    <w:basedOn w:val="Normale"/>
    <w:rsid w:val="005E7BBC"/>
    <w:pPr>
      <w:ind w:firstLine="0"/>
      <w:jc w:val="center"/>
    </w:pPr>
    <w:rPr>
      <w:i/>
    </w:rPr>
  </w:style>
  <w:style w:type="paragraph" w:customStyle="1" w:styleId="Equation">
    <w:name w:val="Equation"/>
    <w:basedOn w:val="Normale"/>
    <w:rsid w:val="005E7BBC"/>
    <w:pPr>
      <w:tabs>
        <w:tab w:val="left" w:pos="6781"/>
      </w:tabs>
      <w:spacing w:before="240" w:after="240"/>
      <w:ind w:left="454" w:firstLine="0"/>
      <w:jc w:val="left"/>
    </w:pPr>
  </w:style>
  <w:style w:type="paragraph" w:customStyle="1" w:styleId="Footnote">
    <w:name w:val="Footnote"/>
    <w:basedOn w:val="Normale"/>
    <w:rsid w:val="005E7BBC"/>
    <w:pPr>
      <w:ind w:firstLine="136"/>
    </w:pPr>
    <w:rPr>
      <w:sz w:val="16"/>
    </w:rPr>
  </w:style>
  <w:style w:type="paragraph" w:customStyle="1" w:styleId="LISTalph">
    <w:name w:val="LISTalph"/>
    <w:basedOn w:val="Normale"/>
    <w:rsid w:val="005E7BBC"/>
    <w:pPr>
      <w:numPr>
        <w:numId w:val="1"/>
      </w:numPr>
      <w:tabs>
        <w:tab w:val="left" w:pos="499"/>
      </w:tabs>
    </w:pPr>
  </w:style>
  <w:style w:type="paragraph" w:customStyle="1" w:styleId="LISTdash">
    <w:name w:val="LISTdash"/>
    <w:basedOn w:val="Normale"/>
    <w:rsid w:val="005E7BBC"/>
    <w:pPr>
      <w:numPr>
        <w:numId w:val="2"/>
      </w:numPr>
      <w:tabs>
        <w:tab w:val="left" w:pos="454"/>
      </w:tabs>
      <w:adjustRightInd w:val="0"/>
      <w:snapToGrid w:val="0"/>
    </w:pPr>
  </w:style>
  <w:style w:type="paragraph" w:customStyle="1" w:styleId="LISTnum">
    <w:name w:val="LISTnum"/>
    <w:basedOn w:val="Normale"/>
    <w:rsid w:val="005E7BBC"/>
    <w:pPr>
      <w:numPr>
        <w:numId w:val="6"/>
      </w:numPr>
      <w:adjustRightInd w:val="0"/>
      <w:snapToGrid w:val="0"/>
      <w:ind w:left="714" w:hanging="357"/>
    </w:pPr>
  </w:style>
  <w:style w:type="paragraph" w:customStyle="1" w:styleId="References">
    <w:name w:val="References"/>
    <w:basedOn w:val="Normale"/>
    <w:rsid w:val="005E7BBC"/>
    <w:pPr>
      <w:tabs>
        <w:tab w:val="left" w:pos="85"/>
      </w:tabs>
      <w:ind w:left="357" w:hanging="357"/>
    </w:pPr>
    <w:rPr>
      <w:sz w:val="16"/>
    </w:rPr>
  </w:style>
  <w:style w:type="paragraph" w:customStyle="1" w:styleId="Table">
    <w:name w:val="Table"/>
    <w:basedOn w:val="Normale"/>
    <w:rsid w:val="005E7BBC"/>
    <w:pPr>
      <w:spacing w:before="60" w:after="60"/>
      <w:ind w:firstLine="0"/>
      <w:jc w:val="left"/>
    </w:pPr>
    <w:rPr>
      <w:sz w:val="16"/>
    </w:rPr>
  </w:style>
  <w:style w:type="paragraph" w:styleId="Titolo">
    <w:name w:val="Title"/>
    <w:basedOn w:val="Normale"/>
    <w:next w:val="Normale"/>
    <w:qFormat/>
    <w:rsid w:val="005E7BBC"/>
    <w:pPr>
      <w:spacing w:before="480" w:after="320"/>
      <w:ind w:firstLine="0"/>
      <w:jc w:val="center"/>
    </w:pPr>
    <w:rPr>
      <w:noProof/>
      <w:kern w:val="28"/>
      <w:sz w:val="40"/>
    </w:rPr>
  </w:style>
  <w:style w:type="paragraph" w:customStyle="1" w:styleId="Author">
    <w:name w:val="Author"/>
    <w:basedOn w:val="Normale"/>
    <w:rsid w:val="005E7BBC"/>
    <w:pPr>
      <w:ind w:firstLine="0"/>
      <w:jc w:val="center"/>
    </w:pPr>
  </w:style>
  <w:style w:type="paragraph" w:styleId="Didascalia">
    <w:name w:val="caption"/>
    <w:basedOn w:val="Normale"/>
    <w:next w:val="Normale"/>
    <w:uiPriority w:val="35"/>
    <w:qFormat/>
    <w:rsid w:val="00F40C7D"/>
    <w:pPr>
      <w:spacing w:before="80" w:after="80"/>
      <w:ind w:firstLine="0"/>
    </w:pPr>
    <w:rPr>
      <w:sz w:val="16"/>
    </w:rPr>
  </w:style>
  <w:style w:type="paragraph" w:customStyle="1" w:styleId="LISTDescription">
    <w:name w:val="LISTDescription"/>
    <w:basedOn w:val="Normale"/>
    <w:rsid w:val="005E7BBC"/>
    <w:pPr>
      <w:ind w:left="454" w:hanging="454"/>
    </w:pPr>
  </w:style>
  <w:style w:type="paragraph" w:customStyle="1" w:styleId="Notes">
    <w:name w:val="Notes"/>
    <w:basedOn w:val="Normale"/>
    <w:rsid w:val="005E7BBC"/>
    <w:rPr>
      <w:sz w:val="16"/>
    </w:rPr>
  </w:style>
  <w:style w:type="paragraph" w:styleId="Corpotesto">
    <w:name w:val="Body Text"/>
    <w:basedOn w:val="Normale"/>
    <w:rsid w:val="005E7BBC"/>
    <w:pPr>
      <w:spacing w:after="120"/>
    </w:pPr>
  </w:style>
  <w:style w:type="paragraph" w:customStyle="1" w:styleId="CaptionLong">
    <w:name w:val="CaptionLong"/>
    <w:basedOn w:val="Normale"/>
    <w:rsid w:val="005E7BBC"/>
    <w:pPr>
      <w:spacing w:before="80" w:after="80"/>
      <w:ind w:firstLine="0"/>
    </w:pPr>
    <w:rPr>
      <w:sz w:val="16"/>
    </w:rPr>
  </w:style>
  <w:style w:type="paragraph" w:customStyle="1" w:styleId="HeadingUnn1">
    <w:name w:val="HeadingUnn1"/>
    <w:basedOn w:val="Titolo1"/>
    <w:next w:val="NoindentNormal"/>
    <w:rsid w:val="005E7BBC"/>
    <w:pPr>
      <w:numPr>
        <w:numId w:val="0"/>
      </w:numPr>
    </w:pPr>
    <w:rPr>
      <w:bCs w:val="0"/>
    </w:rPr>
  </w:style>
  <w:style w:type="paragraph" w:customStyle="1" w:styleId="HeadingUnn2">
    <w:name w:val="HeadingUnn2"/>
    <w:basedOn w:val="Titolo2"/>
    <w:next w:val="NoindentNormal"/>
    <w:rsid w:val="005E7BBC"/>
    <w:pPr>
      <w:numPr>
        <w:ilvl w:val="0"/>
        <w:numId w:val="0"/>
      </w:numPr>
    </w:pPr>
  </w:style>
  <w:style w:type="paragraph" w:customStyle="1" w:styleId="HeadingUnn3">
    <w:name w:val="HeadingUnn3"/>
    <w:basedOn w:val="Titolo3"/>
    <w:next w:val="NoindentNormal"/>
    <w:rsid w:val="005E7BBC"/>
    <w:pPr>
      <w:numPr>
        <w:ilvl w:val="0"/>
        <w:numId w:val="0"/>
      </w:numPr>
    </w:pPr>
  </w:style>
  <w:style w:type="paragraph" w:customStyle="1" w:styleId="HeadingUnn4">
    <w:name w:val="HeadingUnn4"/>
    <w:basedOn w:val="Titolo4"/>
    <w:next w:val="NoindentNormal"/>
    <w:rsid w:val="005E7BBC"/>
    <w:pPr>
      <w:numPr>
        <w:ilvl w:val="0"/>
        <w:numId w:val="0"/>
      </w:numPr>
    </w:pPr>
  </w:style>
  <w:style w:type="paragraph" w:customStyle="1" w:styleId="HeadingUnn5">
    <w:name w:val="HeadingUnn5"/>
    <w:basedOn w:val="Titolo5"/>
    <w:next w:val="Normale"/>
    <w:rsid w:val="005E7BBC"/>
    <w:pPr>
      <w:numPr>
        <w:ilvl w:val="0"/>
        <w:numId w:val="0"/>
      </w:numPr>
      <w:spacing w:before="120"/>
    </w:pPr>
  </w:style>
  <w:style w:type="paragraph" w:styleId="Numeroelenco">
    <w:name w:val="List Number"/>
    <w:basedOn w:val="Normale"/>
    <w:rsid w:val="005E7BBC"/>
    <w:pPr>
      <w:numPr>
        <w:numId w:val="3"/>
      </w:numPr>
    </w:pPr>
  </w:style>
  <w:style w:type="paragraph" w:customStyle="1" w:styleId="CaptionShort">
    <w:name w:val="CaptionShort"/>
    <w:basedOn w:val="Normale"/>
    <w:rsid w:val="005E7BBC"/>
    <w:pPr>
      <w:spacing w:before="80" w:after="80"/>
      <w:ind w:firstLine="0"/>
      <w:jc w:val="center"/>
    </w:pPr>
    <w:rPr>
      <w:sz w:val="16"/>
    </w:rPr>
  </w:style>
  <w:style w:type="paragraph" w:customStyle="1" w:styleId="Listbul">
    <w:name w:val="Listbul"/>
    <w:basedOn w:val="Normale"/>
    <w:rsid w:val="005E7BBC"/>
    <w:pPr>
      <w:numPr>
        <w:numId w:val="5"/>
      </w:numPr>
    </w:pPr>
  </w:style>
  <w:style w:type="paragraph" w:customStyle="1" w:styleId="Keywords">
    <w:name w:val="Keywords"/>
    <w:basedOn w:val="Abstract"/>
    <w:next w:val="Titolo1"/>
    <w:rsid w:val="005E7BBC"/>
    <w:pPr>
      <w:spacing w:before="240" w:after="240"/>
    </w:pPr>
  </w:style>
  <w:style w:type="table" w:styleId="Grigliatabella">
    <w:name w:val="Table Grid"/>
    <w:basedOn w:val="Tabellanormale"/>
    <w:uiPriority w:val="59"/>
    <w:rsid w:val="004D4FCD"/>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4D4FCD"/>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4D4FCD"/>
    <w:rPr>
      <w:rFonts w:cs="Arial"/>
      <w:bCs/>
      <w:i/>
      <w:iCs/>
      <w:szCs w:val="28"/>
      <w:lang w:eastAsia="ja-JP"/>
    </w:rPr>
  </w:style>
  <w:style w:type="paragraph" w:styleId="NormaleWeb">
    <w:name w:val="Normal (Web)"/>
    <w:basedOn w:val="Normale"/>
    <w:uiPriority w:val="99"/>
    <w:semiHidden/>
    <w:unhideWhenUsed/>
    <w:rsid w:val="004D4FCD"/>
    <w:pPr>
      <w:spacing w:after="160" w:line="259" w:lineRule="auto"/>
      <w:ind w:firstLine="0"/>
      <w:jc w:val="left"/>
    </w:pPr>
    <w:rPr>
      <w:rFonts w:eastAsiaTheme="minorHAnsi"/>
      <w:sz w:val="24"/>
      <w:lang w:val="it-IT" w:eastAsia="en-US"/>
    </w:rPr>
  </w:style>
  <w:style w:type="paragraph" w:customStyle="1" w:styleId="EN">
    <w:name w:val="EN"/>
    <w:basedOn w:val="Normale"/>
    <w:rsid w:val="004D4FCD"/>
    <w:pPr>
      <w:ind w:firstLine="0"/>
      <w:jc w:val="left"/>
    </w:pPr>
    <w:rPr>
      <w:rFonts w:eastAsia="Times New Roman"/>
      <w:sz w:val="24"/>
      <w:lang w:eastAsia="en-US"/>
    </w:rPr>
  </w:style>
  <w:style w:type="paragraph" w:styleId="Testonotaapidipagina">
    <w:name w:val="footnote text"/>
    <w:basedOn w:val="Normale"/>
    <w:link w:val="TestonotaapidipaginaCarattere"/>
    <w:uiPriority w:val="99"/>
    <w:semiHidden/>
    <w:unhideWhenUsed/>
    <w:rsid w:val="005B3965"/>
    <w:rPr>
      <w:szCs w:val="20"/>
    </w:rPr>
  </w:style>
  <w:style w:type="character" w:customStyle="1" w:styleId="TestonotaapidipaginaCarattere">
    <w:name w:val="Testo nota a piè di pagina Carattere"/>
    <w:basedOn w:val="Carpredefinitoparagrafo"/>
    <w:link w:val="Testonotaapidipagina"/>
    <w:uiPriority w:val="99"/>
    <w:semiHidden/>
    <w:rsid w:val="005B3965"/>
    <w:rPr>
      <w:lang w:eastAsia="ja-JP"/>
    </w:rPr>
  </w:style>
  <w:style w:type="character" w:styleId="Rimandonotaapidipagina">
    <w:name w:val="footnote reference"/>
    <w:basedOn w:val="Carpredefinitoparagrafo"/>
    <w:uiPriority w:val="99"/>
    <w:semiHidden/>
    <w:unhideWhenUsed/>
    <w:rsid w:val="005B3965"/>
    <w:rPr>
      <w:vertAlign w:val="superscript"/>
    </w:rPr>
  </w:style>
  <w:style w:type="character" w:customStyle="1" w:styleId="FootnoteChar">
    <w:name w:val="Footnote Char"/>
    <w:rsid w:val="005B3965"/>
    <w:rPr>
      <w:rFonts w:eastAsia="MS Mincho"/>
      <w:sz w:val="16"/>
      <w:szCs w:val="24"/>
      <w:lang w:val="en-US" w:eastAsia="ja-JP" w:bidi="ar-SA"/>
    </w:rPr>
  </w:style>
  <w:style w:type="paragraph" w:styleId="Testofumetto">
    <w:name w:val="Balloon Text"/>
    <w:basedOn w:val="Normale"/>
    <w:link w:val="TestofumettoCarattere"/>
    <w:uiPriority w:val="99"/>
    <w:semiHidden/>
    <w:unhideWhenUsed/>
    <w:rsid w:val="00DC47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C47DA"/>
    <w:rPr>
      <w:rFonts w:ascii="Tahoma" w:hAnsi="Tahoma" w:cs="Tahoma"/>
      <w:sz w:val="16"/>
      <w:szCs w:val="16"/>
      <w:lang w:eastAsia="ja-JP"/>
    </w:rPr>
  </w:style>
  <w:style w:type="paragraph" w:styleId="Intestazione">
    <w:name w:val="header"/>
    <w:basedOn w:val="Normale"/>
    <w:link w:val="IntestazioneCarattere"/>
    <w:uiPriority w:val="99"/>
    <w:unhideWhenUsed/>
    <w:rsid w:val="00F329ED"/>
    <w:pPr>
      <w:tabs>
        <w:tab w:val="center" w:pos="4819"/>
        <w:tab w:val="right" w:pos="9638"/>
      </w:tabs>
    </w:pPr>
  </w:style>
  <w:style w:type="character" w:customStyle="1" w:styleId="IntestazioneCarattere">
    <w:name w:val="Intestazione Carattere"/>
    <w:basedOn w:val="Carpredefinitoparagrafo"/>
    <w:link w:val="Intestazione"/>
    <w:uiPriority w:val="99"/>
    <w:rsid w:val="00F329ED"/>
    <w:rPr>
      <w:szCs w:val="24"/>
      <w:lang w:eastAsia="ja-JP"/>
    </w:rPr>
  </w:style>
  <w:style w:type="paragraph" w:styleId="Pidipagina">
    <w:name w:val="footer"/>
    <w:basedOn w:val="Normale"/>
    <w:link w:val="PidipaginaCarattere"/>
    <w:uiPriority w:val="99"/>
    <w:unhideWhenUsed/>
    <w:rsid w:val="00F329ED"/>
    <w:pPr>
      <w:tabs>
        <w:tab w:val="center" w:pos="4819"/>
        <w:tab w:val="right" w:pos="9638"/>
      </w:tabs>
    </w:pPr>
  </w:style>
  <w:style w:type="character" w:customStyle="1" w:styleId="PidipaginaCarattere">
    <w:name w:val="Piè di pagina Carattere"/>
    <w:basedOn w:val="Carpredefinitoparagrafo"/>
    <w:link w:val="Pidipagina"/>
    <w:uiPriority w:val="99"/>
    <w:rsid w:val="00F329ED"/>
    <w:rPr>
      <w:szCs w:val="24"/>
      <w:lang w:eastAsia="ja-JP"/>
    </w:rPr>
  </w:style>
  <w:style w:type="paragraph" w:styleId="Paragrafoelenco">
    <w:name w:val="List Paragraph"/>
    <w:basedOn w:val="Normale"/>
    <w:qFormat/>
    <w:rsid w:val="00BB7268"/>
    <w:pPr>
      <w:ind w:left="720"/>
      <w:contextualSpacing/>
    </w:pPr>
  </w:style>
  <w:style w:type="character" w:styleId="Collegamentoipertestuale">
    <w:name w:val="Hyperlink"/>
    <w:basedOn w:val="Carpredefinitoparagrafo"/>
    <w:uiPriority w:val="99"/>
    <w:unhideWhenUsed/>
    <w:rsid w:val="006A1F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830805">
      <w:bodyDiv w:val="1"/>
      <w:marLeft w:val="0"/>
      <w:marRight w:val="0"/>
      <w:marTop w:val="0"/>
      <w:marBottom w:val="0"/>
      <w:divBdr>
        <w:top w:val="none" w:sz="0" w:space="0" w:color="auto"/>
        <w:left w:val="none" w:sz="0" w:space="0" w:color="auto"/>
        <w:bottom w:val="none" w:sz="0" w:space="0" w:color="auto"/>
        <w:right w:val="none" w:sz="0" w:space="0" w:color="auto"/>
      </w:divBdr>
    </w:div>
    <w:div w:id="115056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DOI:%2010.5957/JSPD.30.3.13003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doi:10.1111/j.1559-3584.2010.00281.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francesco.greco@marina.difesa.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ool\Desktop\ECRC-Author-Instructions-and-tools-Word\IOSPressBookArticleWor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Ubb97</b:Tag>
    <b:SourceType>Report</b:SourceType>
    <b:Guid>{D4F141E7-9524-450D-B806-462952057838}</b:Guid>
    <b:Title>Numerical predictions of two fluid systems with sharp interfaces</b:Title>
    <b:Year>1997</b:Year>
    <b:Department>Imperial College of Science, Technology &amp; Medicine</b:Department>
    <b:Institution>University of London</b:Institution>
    <b:Pages>22-31</b:Pages>
    <b:ThesisType>PhD Thesis</b:ThesisType>
    <b:Author>
      <b:Author>
        <b:NameList>
          <b:Person>
            <b:Last>Ubbink</b:Last>
            <b:First>O.</b:First>
          </b:Person>
        </b:NameList>
      </b:Author>
    </b:Author>
    <b:RefOrder>1</b:RefOrder>
  </b:Source>
  <b:Source>
    <b:Tag>Muz99</b:Tag>
    <b:SourceType>BookSection</b:SourceType>
    <b:Guid>{4CEBB6C2-A648-4959-B0C5-87859E61822D}</b:Guid>
    <b:Title>Computation of Free Surface Flows Using Interface-Tracking and Interface-Capturing methods,</b:Title>
    <b:City>Southampton</b:City>
    <b:Year>1999</b:Year>
    <b:Publisher>WIT Press</b:Publisher>
    <b:BookTitle>Nonlinear Water Wave Interaction</b:BookTitle>
    <b:Author>
      <b:Author>
        <b:NameList>
          <b:Person>
            <b:Last>Muzaferija</b:Last>
            <b:First>S.</b:First>
          </b:Person>
          <b:Person>
            <b:Last>Peric</b:Last>
            <b:First>M.</b:First>
          </b:Person>
        </b:NameList>
      </b:Author>
      <b:BookAuthor>
        <b:NameList>
          <b:Person>
            <b:Last>Markiewicz</b:Last>
            <b:First>O.</b:First>
            <b:Middle>Mahrenholtz and</b:Middle>
          </b:Person>
        </b:NameList>
      </b:BookAuthor>
    </b:Author>
    <b:ChapterNumber>2</b:ChapterNumber>
    <b:RefOrder>2</b:RefOrder>
  </b:Source>
  <b:Source>
    <b:Tag>Wac111</b:Tag>
    <b:SourceType>JournalArticle</b:SourceType>
    <b:Guid>{0C304C15-CFE9-4154-818F-21BFCBF6DBC4}</b:Guid>
    <b:Title>Free-Surface Viscous Flow Solution Methods for Ship Hydrodynamics</b:Title>
    <b:Year>2011</b:Year>
    <b:City>Barcelona</b:City>
    <b:JournalName>Archive of Computational Methods in Engineering</b:JournalName>
    <b:Pages>1-41</b:Pages>
    <b:Issue>18</b:Issue>
    <b:Author>
      <b:Author>
        <b:NameList>
          <b:Person>
            <b:Last>Wackers</b:Last>
            <b:First>J.</b:First>
          </b:Person>
          <b:Person>
            <b:Last>Koren</b:Last>
            <b:First>B.</b:First>
          </b:Person>
          <b:Person>
            <b:Last>Raven</b:Last>
            <b:Middle>C.</b:Middle>
            <b:First>H.</b:First>
          </b:Person>
          <b:Person>
            <b:Last>van der Ploeg</b:Last>
            <b:First>A.</b:First>
          </b:Person>
          <b:Person>
            <b:Last>Starke</b:Last>
            <b:Middle>R.</b:Middle>
            <b:First>A.</b:First>
          </b:Person>
          <b:Person>
            <b:Last>Deng</b:Last>
            <b:Middle>B.</b:Middle>
            <b:First>G.</b:First>
          </b:Person>
          <b:Person>
            <b:Last>Queutey</b:Last>
            <b:First>P.</b:First>
          </b:Person>
          <b:Person>
            <b:Last>Visonneau</b:Last>
            <b:First>M.</b:First>
          </b:Person>
          <b:Person>
            <b:Last>Hino</b:Last>
            <b:First>T.</b:First>
          </b:Person>
          <b:Person>
            <b:Last>Ohashi</b:Last>
            <b:First>K.</b:First>
          </b:Person>
        </b:NameList>
      </b:Author>
    </b:Author>
    <b:RefOrder>3</b:RefOrder>
  </b:Source>
  <b:Source>
    <b:Tag>CDA14</b:Tag>
    <b:SourceType>Report</b:SourceType>
    <b:Guid>{B11E296F-B119-4CB8-BD56-FBA409B14F6A}</b:Guid>
    <b:Title>STAR CCM+ User's Guide Version 9.06</b:Title>
    <b:Year>2014</b:Year>
    <b:Author>
      <b:Author>
        <b:Corporate>CD-adapco</b:Corporate>
      </b:Author>
    </b:Author>
    <b:RefOrder>4</b:RefOrder>
  </b:Source>
  <b:Source>
    <b:Tag>Segnaposto1</b:Tag>
    <b:SourceType>Report</b:SourceType>
    <b:Guid>{CFB9643D-46CB-4B08-97FD-F6A46E468C2E}</b:Guid>
    <b:Title>Recommended Procedures and Guidelines "Practical Guidelines for Ship CFD Applications" 7.5-03-02-03</b:Title>
    <b:Year>2011</b:Year>
    <b:Author>
      <b:Author>
        <b:Corporate>ITTC</b:Corporate>
      </b:Author>
    </b:Author>
    <b:RefOrder>8</b:RefOrder>
  </b:Source>
</b:Sources>
</file>

<file path=customXml/itemProps1.xml><?xml version="1.0" encoding="utf-8"?>
<ds:datastoreItem xmlns:ds="http://schemas.openxmlformats.org/officeDocument/2006/customXml" ds:itemID="{5E7ED645-BC9C-48DA-96DE-BCC4F3089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Template>
  <TotalTime>11</TotalTime>
  <Pages>8</Pages>
  <Words>2845</Words>
  <Characters>16217</Characters>
  <Application>Microsoft Office Word</Application>
  <DocSecurity>0</DocSecurity>
  <Lines>135</Lines>
  <Paragraphs>38</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Rasool Niazmand</dc:creator>
  <cp:lastModifiedBy>Luca Braidotti</cp:lastModifiedBy>
  <cp:revision>4</cp:revision>
  <cp:lastPrinted>2018-03-26T17:36:00Z</cp:lastPrinted>
  <dcterms:created xsi:type="dcterms:W3CDTF">2018-03-27T23:50:00Z</dcterms:created>
  <dcterms:modified xsi:type="dcterms:W3CDTF">2018-03-28T11:35:00Z</dcterms:modified>
</cp:coreProperties>
</file>