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6E" w:rsidRPr="00543D23" w:rsidRDefault="00EF346B" w:rsidP="00EF346B">
      <w:pPr>
        <w:spacing w:line="264" w:lineRule="auto"/>
        <w:jc w:val="center"/>
        <w:rPr>
          <w:sz w:val="40"/>
          <w:szCs w:val="40"/>
        </w:rPr>
      </w:pPr>
      <w:r w:rsidRPr="00543D23">
        <w:rPr>
          <w:sz w:val="40"/>
          <w:szCs w:val="40"/>
        </w:rPr>
        <w:t>Comparison of Marine Technologies for Mediterranean Offshore Gas Export</w:t>
      </w:r>
    </w:p>
    <w:p w:rsidR="00EF346B" w:rsidRPr="00EF346B" w:rsidRDefault="00EF346B" w:rsidP="00B17D44">
      <w:pPr>
        <w:spacing w:line="264" w:lineRule="auto"/>
        <w:ind w:firstLine="0"/>
        <w:jc w:val="center"/>
        <w:rPr>
          <w:b/>
          <w:sz w:val="24"/>
        </w:rPr>
      </w:pPr>
    </w:p>
    <w:p w:rsidR="00B05D6E" w:rsidRPr="00543D23" w:rsidRDefault="00EF346B">
      <w:pPr>
        <w:pStyle w:val="Author"/>
        <w:rPr>
          <w:szCs w:val="20"/>
        </w:rPr>
      </w:pPr>
      <w:r w:rsidRPr="00543D23">
        <w:rPr>
          <w:szCs w:val="20"/>
        </w:rPr>
        <w:t>Giorgio TRINCAS</w:t>
      </w:r>
      <w:r w:rsidR="00C5751C">
        <w:rPr>
          <w:rStyle w:val="FootnoteReference"/>
        </w:rPr>
        <w:footnoteReference w:id="1"/>
      </w:r>
    </w:p>
    <w:p w:rsidR="00B05D6E" w:rsidRPr="00543D23" w:rsidRDefault="00543D23">
      <w:pPr>
        <w:pStyle w:val="Affiliation"/>
        <w:rPr>
          <w:szCs w:val="20"/>
        </w:rPr>
      </w:pPr>
      <w:r w:rsidRPr="00543D23">
        <w:rPr>
          <w:szCs w:val="20"/>
        </w:rPr>
        <w:t>Department of Engineering and N</w:t>
      </w:r>
      <w:r w:rsidR="00EF346B" w:rsidRPr="00543D23">
        <w:rPr>
          <w:szCs w:val="20"/>
        </w:rPr>
        <w:t>aval Architecture, University of Trieste, Italy</w:t>
      </w:r>
    </w:p>
    <w:p w:rsidR="00EF346B" w:rsidRDefault="00EF346B">
      <w:pPr>
        <w:pStyle w:val="Affiliation"/>
      </w:pPr>
    </w:p>
    <w:p w:rsidR="00B05D6E" w:rsidRPr="009E1014" w:rsidRDefault="00B05D6E" w:rsidP="009E1014">
      <w:pPr>
        <w:spacing w:after="120"/>
        <w:ind w:left="851" w:right="936" w:firstLine="0"/>
        <w:rPr>
          <w:sz w:val="16"/>
          <w:szCs w:val="16"/>
        </w:rPr>
      </w:pPr>
      <w:r w:rsidRPr="0046732F">
        <w:rPr>
          <w:b/>
          <w:sz w:val="16"/>
          <w:szCs w:val="16"/>
        </w:rPr>
        <w:t>Abstract.</w:t>
      </w:r>
      <w:r w:rsidR="006E1905">
        <w:t xml:space="preserve"> </w:t>
      </w:r>
      <w:r w:rsidR="00363375">
        <w:rPr>
          <w:sz w:val="16"/>
          <w:szCs w:val="16"/>
        </w:rPr>
        <w:t xml:space="preserve">This paper </w:t>
      </w:r>
      <w:r w:rsidR="00B17D44">
        <w:rPr>
          <w:sz w:val="16"/>
          <w:szCs w:val="16"/>
        </w:rPr>
        <w:t>aims at</w:t>
      </w:r>
      <w:r w:rsidR="00363375">
        <w:rPr>
          <w:sz w:val="16"/>
          <w:szCs w:val="16"/>
        </w:rPr>
        <w:t xml:space="preserve"> </w:t>
      </w:r>
      <w:r w:rsidR="00EF346B" w:rsidRPr="009E1014">
        <w:rPr>
          <w:sz w:val="16"/>
          <w:szCs w:val="16"/>
        </w:rPr>
        <w:t>identify</w:t>
      </w:r>
      <w:r w:rsidR="00B17D44">
        <w:rPr>
          <w:sz w:val="16"/>
          <w:szCs w:val="16"/>
        </w:rPr>
        <w:t>ing</w:t>
      </w:r>
      <w:r w:rsidR="00EF346B" w:rsidRPr="009E1014">
        <w:rPr>
          <w:sz w:val="16"/>
          <w:szCs w:val="16"/>
        </w:rPr>
        <w:t xml:space="preserve"> the most viable marine technology to transport natural gas </w:t>
      </w:r>
      <w:r w:rsidR="002C7C5B">
        <w:rPr>
          <w:sz w:val="16"/>
          <w:szCs w:val="16"/>
        </w:rPr>
        <w:t>in</w:t>
      </w:r>
      <w:r w:rsidR="00EF346B" w:rsidRPr="009E1014">
        <w:rPr>
          <w:sz w:val="16"/>
          <w:szCs w:val="16"/>
        </w:rPr>
        <w:t xml:space="preserve"> </w:t>
      </w:r>
      <w:r w:rsidR="00363375">
        <w:rPr>
          <w:sz w:val="16"/>
          <w:szCs w:val="16"/>
        </w:rPr>
        <w:t>a</w:t>
      </w:r>
      <w:r w:rsidR="00EF346B" w:rsidRPr="009E1014">
        <w:rPr>
          <w:sz w:val="16"/>
          <w:szCs w:val="16"/>
        </w:rPr>
        <w:t xml:space="preserve"> Mediterranean Sea</w:t>
      </w:r>
      <w:r w:rsidR="00363375">
        <w:rPr>
          <w:sz w:val="16"/>
          <w:szCs w:val="16"/>
        </w:rPr>
        <w:t xml:space="preserve"> </w:t>
      </w:r>
      <w:r w:rsidR="002C7C5B">
        <w:rPr>
          <w:sz w:val="16"/>
          <w:szCs w:val="16"/>
        </w:rPr>
        <w:t>scenario</w:t>
      </w:r>
      <w:r w:rsidR="00EF346B" w:rsidRPr="009E1014">
        <w:rPr>
          <w:sz w:val="16"/>
          <w:szCs w:val="16"/>
        </w:rPr>
        <w:t>. Pipeline, LNG</w:t>
      </w:r>
      <w:r w:rsidR="009E1014" w:rsidRPr="009E1014">
        <w:rPr>
          <w:sz w:val="16"/>
          <w:szCs w:val="16"/>
        </w:rPr>
        <w:t>, SSLNG,</w:t>
      </w:r>
      <w:r w:rsidR="00EF346B" w:rsidRPr="009E1014">
        <w:rPr>
          <w:sz w:val="16"/>
          <w:szCs w:val="16"/>
        </w:rPr>
        <w:t xml:space="preserve"> and CNG solutions are put in competition. Techno-economic modelling of each technology is performed to evaluate corresponding </w:t>
      </w:r>
      <w:r w:rsidR="00896CA3">
        <w:rPr>
          <w:sz w:val="16"/>
          <w:szCs w:val="16"/>
        </w:rPr>
        <w:t>c</w:t>
      </w:r>
      <w:r w:rsidR="00EF346B" w:rsidRPr="009E1014">
        <w:rPr>
          <w:sz w:val="16"/>
          <w:szCs w:val="16"/>
        </w:rPr>
        <w:t xml:space="preserve">apex and </w:t>
      </w:r>
      <w:r w:rsidR="00896CA3">
        <w:rPr>
          <w:sz w:val="16"/>
          <w:szCs w:val="16"/>
        </w:rPr>
        <w:t>o</w:t>
      </w:r>
      <w:r w:rsidR="00EF346B" w:rsidRPr="009E1014">
        <w:rPr>
          <w:sz w:val="16"/>
          <w:szCs w:val="16"/>
        </w:rPr>
        <w:t xml:space="preserve">pex. </w:t>
      </w:r>
      <w:r w:rsidR="00896CA3">
        <w:rPr>
          <w:sz w:val="16"/>
          <w:szCs w:val="16"/>
        </w:rPr>
        <w:t>To highlight which of the</w:t>
      </w:r>
      <w:r w:rsidR="00B17D44">
        <w:rPr>
          <w:sz w:val="16"/>
          <w:szCs w:val="16"/>
        </w:rPr>
        <w:t xml:space="preserve"> competitive</w:t>
      </w:r>
      <w:r w:rsidR="009E1014" w:rsidRPr="009E1014">
        <w:rPr>
          <w:sz w:val="16"/>
          <w:szCs w:val="16"/>
        </w:rPr>
        <w:t xml:space="preserve"> transportation modes offers the minimum supply chain cost</w:t>
      </w:r>
      <w:r w:rsidR="00B17D44">
        <w:rPr>
          <w:sz w:val="16"/>
          <w:szCs w:val="16"/>
        </w:rPr>
        <w:t xml:space="preserve"> through a discounted cash flow model</w:t>
      </w:r>
      <w:r w:rsidR="00EF346B" w:rsidRPr="009E1014">
        <w:rPr>
          <w:sz w:val="16"/>
          <w:szCs w:val="16"/>
        </w:rPr>
        <w:t xml:space="preserve">, estimations of the total cost </w:t>
      </w:r>
      <w:r w:rsidR="00896CA3">
        <w:rPr>
          <w:sz w:val="16"/>
          <w:szCs w:val="16"/>
        </w:rPr>
        <w:t>of investment, shipping</w:t>
      </w:r>
      <w:r w:rsidR="00B17D44">
        <w:rPr>
          <w:sz w:val="16"/>
          <w:szCs w:val="16"/>
        </w:rPr>
        <w:t>,</w:t>
      </w:r>
      <w:r w:rsidR="00896CA3">
        <w:rPr>
          <w:sz w:val="16"/>
          <w:szCs w:val="16"/>
        </w:rPr>
        <w:t xml:space="preserve"> </w:t>
      </w:r>
      <w:r w:rsidR="00EF346B" w:rsidRPr="009E1014">
        <w:rPr>
          <w:sz w:val="16"/>
          <w:szCs w:val="16"/>
        </w:rPr>
        <w:t xml:space="preserve">and </w:t>
      </w:r>
      <w:r w:rsidR="00B17D44">
        <w:rPr>
          <w:sz w:val="16"/>
          <w:szCs w:val="16"/>
        </w:rPr>
        <w:t>operation</w:t>
      </w:r>
      <w:r w:rsidR="00EF346B" w:rsidRPr="009E1014">
        <w:rPr>
          <w:sz w:val="16"/>
          <w:szCs w:val="16"/>
        </w:rPr>
        <w:t xml:space="preserve"> tariff </w:t>
      </w:r>
      <w:r w:rsidR="00B17D44">
        <w:rPr>
          <w:sz w:val="16"/>
          <w:szCs w:val="16"/>
        </w:rPr>
        <w:t>were taken as primary attribute</w:t>
      </w:r>
      <w:r w:rsidR="00EF346B" w:rsidRPr="009E1014">
        <w:rPr>
          <w:sz w:val="16"/>
          <w:szCs w:val="16"/>
        </w:rPr>
        <w:t xml:space="preserve"> in the ranking process. Number of LNG</w:t>
      </w:r>
      <w:r w:rsidR="009E1014">
        <w:rPr>
          <w:sz w:val="16"/>
          <w:szCs w:val="16"/>
        </w:rPr>
        <w:t>, SSLNG</w:t>
      </w:r>
      <w:r w:rsidR="00EF346B" w:rsidRPr="009E1014">
        <w:rPr>
          <w:sz w:val="16"/>
          <w:szCs w:val="16"/>
        </w:rPr>
        <w:t xml:space="preserve"> and CNG ships are developed at conceptual design level and stored in databases which feed </w:t>
      </w:r>
      <w:r w:rsidR="00B17D44">
        <w:rPr>
          <w:sz w:val="16"/>
          <w:szCs w:val="16"/>
        </w:rPr>
        <w:t xml:space="preserve">the </w:t>
      </w:r>
      <w:r w:rsidR="00EF346B" w:rsidRPr="009E1014">
        <w:rPr>
          <w:sz w:val="16"/>
          <w:szCs w:val="16"/>
        </w:rPr>
        <w:t xml:space="preserve">optimal composition of fleets, </w:t>
      </w:r>
      <w:r w:rsidR="009E1014">
        <w:rPr>
          <w:sz w:val="16"/>
          <w:szCs w:val="16"/>
        </w:rPr>
        <w:t>also</w:t>
      </w:r>
      <w:r w:rsidR="00EF346B" w:rsidRPr="009E1014">
        <w:rPr>
          <w:sz w:val="16"/>
          <w:szCs w:val="16"/>
        </w:rPr>
        <w:t xml:space="preserve"> to compe</w:t>
      </w:r>
      <w:r w:rsidR="009E1014">
        <w:rPr>
          <w:sz w:val="16"/>
          <w:szCs w:val="16"/>
        </w:rPr>
        <w:t>te with subsea pipeline project</w:t>
      </w:r>
      <w:r w:rsidR="00896CA3">
        <w:rPr>
          <w:sz w:val="16"/>
          <w:szCs w:val="16"/>
        </w:rPr>
        <w:t>s</w:t>
      </w:r>
      <w:r w:rsidR="00EF346B" w:rsidRPr="009E1014">
        <w:rPr>
          <w:sz w:val="16"/>
          <w:szCs w:val="16"/>
        </w:rPr>
        <w:t xml:space="preserve"> whose main technical and cost parameters are available from different sources. Pipeline and LNG cost reductions are considered to make </w:t>
      </w:r>
      <w:r w:rsidR="00363375">
        <w:rPr>
          <w:sz w:val="16"/>
          <w:szCs w:val="16"/>
        </w:rPr>
        <w:t>uniform</w:t>
      </w:r>
      <w:r w:rsidR="00EF346B" w:rsidRPr="009E1014">
        <w:rPr>
          <w:sz w:val="16"/>
          <w:szCs w:val="16"/>
        </w:rPr>
        <w:t xml:space="preserve"> comparison of these technologies with ready advances in CNG technology. The comparative results </w:t>
      </w:r>
      <w:r w:rsidR="002C7C5B">
        <w:rPr>
          <w:sz w:val="16"/>
          <w:szCs w:val="16"/>
        </w:rPr>
        <w:t>on the Z</w:t>
      </w:r>
      <w:r w:rsidR="002C7C5B" w:rsidRPr="002C7C5B">
        <w:rPr>
          <w:sz w:val="16"/>
          <w:szCs w:val="16"/>
        </w:rPr>
        <w:t>ö</w:t>
      </w:r>
      <w:r w:rsidR="002C7C5B">
        <w:rPr>
          <w:sz w:val="16"/>
          <w:szCs w:val="16"/>
        </w:rPr>
        <w:t xml:space="preserve">hr-Brindisi route </w:t>
      </w:r>
      <w:r w:rsidR="00EF346B" w:rsidRPr="009E1014">
        <w:rPr>
          <w:sz w:val="16"/>
          <w:szCs w:val="16"/>
        </w:rPr>
        <w:t xml:space="preserve">show that the CNG marine solution is economically </w:t>
      </w:r>
      <w:r w:rsidR="00B17D44">
        <w:rPr>
          <w:sz w:val="16"/>
          <w:szCs w:val="16"/>
        </w:rPr>
        <w:t xml:space="preserve">the most </w:t>
      </w:r>
      <w:r w:rsidR="00EF346B" w:rsidRPr="009E1014">
        <w:rPr>
          <w:sz w:val="16"/>
          <w:szCs w:val="16"/>
        </w:rPr>
        <w:t xml:space="preserve">advantageous </w:t>
      </w:r>
      <w:r w:rsidR="00B17D44">
        <w:rPr>
          <w:sz w:val="16"/>
          <w:szCs w:val="16"/>
        </w:rPr>
        <w:t xml:space="preserve">transport mode </w:t>
      </w:r>
      <w:r w:rsidR="009E1014">
        <w:rPr>
          <w:sz w:val="16"/>
          <w:szCs w:val="16"/>
        </w:rPr>
        <w:t>provided</w:t>
      </w:r>
      <w:r w:rsidR="00EF346B" w:rsidRPr="009E1014">
        <w:rPr>
          <w:sz w:val="16"/>
          <w:szCs w:val="16"/>
        </w:rPr>
        <w:t xml:space="preserve"> </w:t>
      </w:r>
      <w:r w:rsidR="00896CA3">
        <w:rPr>
          <w:sz w:val="16"/>
          <w:szCs w:val="16"/>
        </w:rPr>
        <w:t xml:space="preserve">lighter </w:t>
      </w:r>
      <w:r w:rsidR="00EF346B" w:rsidRPr="009E1014">
        <w:rPr>
          <w:sz w:val="16"/>
          <w:szCs w:val="16"/>
        </w:rPr>
        <w:t>pressure vessels are fitted on CNG ships.</w:t>
      </w:r>
    </w:p>
    <w:p w:rsidR="00B05D6E" w:rsidRDefault="00B05D6E" w:rsidP="00543D23">
      <w:pPr>
        <w:pStyle w:val="Keywords"/>
        <w:ind w:right="935"/>
      </w:pPr>
      <w:r>
        <w:rPr>
          <w:b/>
        </w:rPr>
        <w:t>Keywords.</w:t>
      </w:r>
      <w:r>
        <w:t xml:space="preserve"> </w:t>
      </w:r>
      <w:r w:rsidR="00363375">
        <w:t>C</w:t>
      </w:r>
      <w:r w:rsidR="00EF346B">
        <w:t xml:space="preserve">ompressed natural gas, </w:t>
      </w:r>
      <w:r w:rsidR="0046732F">
        <w:t>F</w:t>
      </w:r>
      <w:r w:rsidR="00EF346B">
        <w:t>leet co</w:t>
      </w:r>
      <w:r w:rsidR="0046732F">
        <w:t>mposition, S</w:t>
      </w:r>
      <w:r w:rsidR="00363375">
        <w:t xml:space="preserve">hipping tariff, </w:t>
      </w:r>
      <w:r w:rsidR="0046732F">
        <w:t>M</w:t>
      </w:r>
      <w:r w:rsidR="00EF346B">
        <w:t xml:space="preserve">arine </w:t>
      </w:r>
      <w:r w:rsidR="00363375">
        <w:t xml:space="preserve">gas </w:t>
      </w:r>
      <w:r w:rsidR="00EF346B">
        <w:t>transportation</w:t>
      </w:r>
      <w:r w:rsidR="0046732F">
        <w:t>, Concept design</w:t>
      </w:r>
    </w:p>
    <w:p w:rsidR="00B05D6E" w:rsidRDefault="00B05D6E" w:rsidP="009E1014">
      <w:pPr>
        <w:pStyle w:val="Heading1"/>
        <w:ind w:left="426" w:hanging="426"/>
      </w:pPr>
      <w:r w:rsidRPr="00105747">
        <w:t>Introduction</w:t>
      </w:r>
    </w:p>
    <w:p w:rsidR="00C5751C" w:rsidRDefault="000A204E" w:rsidP="005353FF">
      <w:pPr>
        <w:ind w:firstLine="0"/>
      </w:pPr>
      <w:r w:rsidRPr="00296A63">
        <w:t xml:space="preserve">Natural gas has played and will play an increasing role in the supply of energy </w:t>
      </w:r>
      <w:r w:rsidR="005353FF">
        <w:t>demand worldwide</w:t>
      </w:r>
      <w:r w:rsidR="00EF346B" w:rsidRPr="00EF346B">
        <w:t xml:space="preserve"> </w:t>
      </w:r>
      <w:r>
        <w:t xml:space="preserve">as a result of the increased </w:t>
      </w:r>
      <w:r w:rsidR="00EF346B" w:rsidRPr="00EF346B">
        <w:t>consumption</w:t>
      </w:r>
      <w:r w:rsidR="00B17D44">
        <w:t>s</w:t>
      </w:r>
      <w:r w:rsidR="00EF346B" w:rsidRPr="00EF346B">
        <w:t xml:space="preserve"> and environmental </w:t>
      </w:r>
      <w:r w:rsidR="005353FF">
        <w:t>requirements</w:t>
      </w:r>
      <w:r w:rsidR="00EF346B" w:rsidRPr="00EF346B">
        <w:t>. Among the available hydrocarbons, natural gas is by far the most clean and environmentally friendly energ</w:t>
      </w:r>
      <w:r w:rsidR="00B17D44">
        <w:t xml:space="preserve">y source that is believed to </w:t>
      </w:r>
      <w:r w:rsidR="00353D59">
        <w:t>increase continuously</w:t>
      </w:r>
      <w:r w:rsidR="00EF346B" w:rsidRPr="00EF346B">
        <w:t xml:space="preserve"> in the next 30 years, with an estimated annual growth rate of 2.2</w:t>
      </w:r>
      <w:r w:rsidR="005353FF">
        <w:t>%</w:t>
      </w:r>
      <w:r w:rsidR="00EF346B" w:rsidRPr="00EF346B">
        <w:t xml:space="preserve"> from 2015 to 2050. </w:t>
      </w:r>
      <w:r>
        <w:t>T</w:t>
      </w:r>
      <w:r w:rsidRPr="00296A63">
        <w:t xml:space="preserve">he total </w:t>
      </w:r>
      <w:r>
        <w:t>natural gas</w:t>
      </w:r>
      <w:r w:rsidRPr="00296A63">
        <w:t xml:space="preserve"> </w:t>
      </w:r>
      <w:r w:rsidR="005353FF">
        <w:t>production</w:t>
      </w:r>
      <w:r w:rsidRPr="00EF346B">
        <w:t xml:space="preserve"> </w:t>
      </w:r>
      <w:r w:rsidR="00EF346B" w:rsidRPr="00EF346B">
        <w:t>in 2025 is projected to a total of 151 trillion cubic feet (tcf), nearly 70% higher than the</w:t>
      </w:r>
      <w:r w:rsidR="00BE3BFB">
        <w:t xml:space="preserve"> 2001 total of 90 </w:t>
      </w:r>
      <w:proofErr w:type="spellStart"/>
      <w:r w:rsidR="00BE3BFB">
        <w:t>tcf</w:t>
      </w:r>
      <w:proofErr w:type="spellEnd"/>
      <w:r w:rsidR="00BE3BFB">
        <w:t xml:space="preserve"> [1</w:t>
      </w:r>
      <w:r w:rsidR="005353FF">
        <w:t>]</w:t>
      </w:r>
      <w:r w:rsidR="00EF346B" w:rsidRPr="00EF346B">
        <w:t>.</w:t>
      </w:r>
    </w:p>
    <w:p w:rsidR="005353FF" w:rsidRDefault="005353FF" w:rsidP="00282673">
      <w:r>
        <w:t xml:space="preserve">Italian demand for energy is expected to consistently grow over the next decade, mainly driven by the services sector forecast at 118-124 Twh with respect to 110-115 TWh for the industrial sector. At the same time </w:t>
      </w:r>
      <w:r w:rsidR="00B17D44">
        <w:t>the energy offer</w:t>
      </w:r>
      <w:r>
        <w:t xml:space="preserve"> shall be reshaped also because higher feed-in from renewables </w:t>
      </w:r>
      <w:r w:rsidR="00B17D44">
        <w:t>has to</w:t>
      </w:r>
      <w:r>
        <w:t xml:space="preserve"> be postponed due to both technological and economic reasons.</w:t>
      </w:r>
    </w:p>
    <w:p w:rsidR="00353D59" w:rsidRDefault="00896CA3" w:rsidP="00282673">
      <w:r>
        <w:t xml:space="preserve">According to the new national energy strategy </w:t>
      </w:r>
      <w:r w:rsidR="00922B88">
        <w:t xml:space="preserve">(SEN) </w:t>
      </w:r>
      <w:r w:rsidR="00BE3BFB">
        <w:t>[2</w:t>
      </w:r>
      <w:r w:rsidR="00282673">
        <w:t>]</w:t>
      </w:r>
      <w:r>
        <w:t xml:space="preserve">, Italy should increase </w:t>
      </w:r>
      <w:r w:rsidR="00353D59">
        <w:t xml:space="preserve">the share of natural gas in the supply mix even though the natural gas market is </w:t>
      </w:r>
      <w:r w:rsidR="00282673">
        <w:t>experiencing</w:t>
      </w:r>
      <w:r w:rsidR="00353D59">
        <w:t xml:space="preserve"> “tempo</w:t>
      </w:r>
      <w:r w:rsidR="00282673">
        <w:t>rary oversupply”</w:t>
      </w:r>
      <w:r w:rsidR="00353D59">
        <w:t xml:space="preserve"> that could be reabsorbed by the </w:t>
      </w:r>
      <w:proofErr w:type="gramStart"/>
      <w:r w:rsidR="00353D59">
        <w:t>mid-2020’s</w:t>
      </w:r>
      <w:proofErr w:type="gramEnd"/>
      <w:r w:rsidR="00353D59">
        <w:t xml:space="preserve">. There could be a gradual </w:t>
      </w:r>
      <w:r w:rsidR="00814EF7">
        <w:t xml:space="preserve">reduction of </w:t>
      </w:r>
      <w:r w:rsidR="00282673">
        <w:t xml:space="preserve">imports from the Netherlands, Norway and </w:t>
      </w:r>
      <w:r w:rsidR="00814EF7">
        <w:t>Algeria in spite of possible renegotiation</w:t>
      </w:r>
      <w:r w:rsidR="00282673">
        <w:t>s</w:t>
      </w:r>
      <w:r w:rsidR="00814EF7">
        <w:t xml:space="preserve"> of long-term contracts with Eni and Enel.</w:t>
      </w:r>
    </w:p>
    <w:p w:rsidR="00814EF7" w:rsidRDefault="00814EF7" w:rsidP="00282673">
      <w:r>
        <w:lastRenderedPageBreak/>
        <w:t xml:space="preserve">In the oncoming decades of the envisaged Italian energy transition, natural gas would help to tackle the </w:t>
      </w:r>
      <w:r w:rsidR="00922B88">
        <w:t>poor</w:t>
      </w:r>
      <w:r>
        <w:t xml:space="preserve"> flexibility, high industrial power costs and slow</w:t>
      </w:r>
      <w:r w:rsidR="00922B88">
        <w:t xml:space="preserve">ing </w:t>
      </w:r>
      <w:r>
        <w:t>down in decarbonisation</w:t>
      </w:r>
      <w:r w:rsidR="00922B88">
        <w:t>, while</w:t>
      </w:r>
      <w:r w:rsidR="00282673" w:rsidRPr="00282673">
        <w:t xml:space="preserve"> </w:t>
      </w:r>
      <w:r w:rsidR="00282673">
        <w:t>accelerat</w:t>
      </w:r>
      <w:r w:rsidR="00922B88">
        <w:t>ing</w:t>
      </w:r>
      <w:r w:rsidR="00282673">
        <w:t xml:space="preserve"> fuel switching to gas from coal in power generation</w:t>
      </w:r>
      <w:r w:rsidR="00922B88">
        <w:t>. At the same time, SEN</w:t>
      </w:r>
      <w:r w:rsidR="00282673">
        <w:t xml:space="preserve"> </w:t>
      </w:r>
      <w:r w:rsidR="00922B88">
        <w:t>aims at</w:t>
      </w:r>
      <w:r w:rsidR="00282673">
        <w:t xml:space="preserve"> warrant</w:t>
      </w:r>
      <w:r w:rsidR="00922B88">
        <w:t>ing</w:t>
      </w:r>
      <w:r w:rsidR="00282673">
        <w:t xml:space="preserve"> </w:t>
      </w:r>
      <w:r w:rsidR="00DE379B">
        <w:t>Italy’</w:t>
      </w:r>
      <w:r w:rsidR="00922B88">
        <w:t xml:space="preserve">s security of gas supply in </w:t>
      </w:r>
      <w:r w:rsidR="00DE379B">
        <w:t>case of many long-term contracts not being renewed.</w:t>
      </w:r>
      <w:r w:rsidR="00551C11">
        <w:t xml:space="preserve"> Governmental decisions should aim to</w:t>
      </w:r>
      <w:r w:rsidR="008B7549">
        <w:t xml:space="preserve"> develop alternative supply sources by</w:t>
      </w:r>
      <w:r w:rsidR="00551C11">
        <w:t xml:space="preserve"> increas</w:t>
      </w:r>
      <w:r w:rsidR="008B7549">
        <w:t xml:space="preserve">ing </w:t>
      </w:r>
      <w:r w:rsidR="00551C11">
        <w:t xml:space="preserve">the level of energy independence </w:t>
      </w:r>
      <w:r w:rsidR="00922B88">
        <w:t>most of all</w:t>
      </w:r>
      <w:r w:rsidR="00551C11">
        <w:t xml:space="preserve"> </w:t>
      </w:r>
      <w:r w:rsidR="00551C11" w:rsidRPr="008B7549">
        <w:t xml:space="preserve">from pipeline gas suppliers </w:t>
      </w:r>
      <w:r w:rsidR="008B7549" w:rsidRPr="008B7549">
        <w:t>even though Russia will</w:t>
      </w:r>
      <w:r w:rsidR="00282673">
        <w:t xml:space="preserve"> continue to</w:t>
      </w:r>
      <w:r w:rsidR="008B7549" w:rsidRPr="008B7549">
        <w:t xml:space="preserve"> be </w:t>
      </w:r>
      <w:r w:rsidR="00282673">
        <w:t>the</w:t>
      </w:r>
      <w:r w:rsidR="008B7549" w:rsidRPr="008B7549">
        <w:t xml:space="preserve"> primary supplier to the I</w:t>
      </w:r>
      <w:r w:rsidR="008B7549">
        <w:t>talian grid</w:t>
      </w:r>
      <w:r w:rsidR="00551C11" w:rsidRPr="008B7549">
        <w:t>.</w:t>
      </w:r>
      <w:r w:rsidR="00282673">
        <w:t xml:space="preserve"> In this context</w:t>
      </w:r>
      <w:r w:rsidR="00DE379B">
        <w:t xml:space="preserve">, the potential of natural gas exports </w:t>
      </w:r>
      <w:r w:rsidR="00282673">
        <w:t xml:space="preserve">to Italy </w:t>
      </w:r>
      <w:r w:rsidR="00DE379B">
        <w:t>from the giant field of Z</w:t>
      </w:r>
      <w:r w:rsidR="00922B88">
        <w:rPr>
          <w:szCs w:val="20"/>
        </w:rPr>
        <w:t>ö</w:t>
      </w:r>
      <w:r w:rsidR="00DE379B">
        <w:t xml:space="preserve">hr (Egypt) could be a </w:t>
      </w:r>
      <w:r w:rsidR="002C7C5B">
        <w:t>ready</w:t>
      </w:r>
      <w:r w:rsidR="00DE379B">
        <w:t xml:space="preserve"> </w:t>
      </w:r>
      <w:r w:rsidR="00D74E91">
        <w:t xml:space="preserve">alternative source. </w:t>
      </w:r>
    </w:p>
    <w:p w:rsidR="00477A78" w:rsidRPr="00D74E91" w:rsidRDefault="00477A78" w:rsidP="00D74E91">
      <w:pPr>
        <w:rPr>
          <w:szCs w:val="20"/>
        </w:rPr>
      </w:pPr>
      <w:r w:rsidRPr="000F4EEB">
        <w:t xml:space="preserve">The main </w:t>
      </w:r>
      <w:r w:rsidRPr="00477A78">
        <w:t xml:space="preserve">focus of this </w:t>
      </w:r>
      <w:r>
        <w:t>paper</w:t>
      </w:r>
      <w:r w:rsidR="006F6A9A">
        <w:t xml:space="preserve"> is in the midstream</w:t>
      </w:r>
      <w:r w:rsidR="007A5DA4">
        <w:t>, e.g. the gas shipping</w:t>
      </w:r>
      <w:r w:rsidR="008B7549">
        <w:t>.</w:t>
      </w:r>
      <w:r w:rsidRPr="00477A78">
        <w:t xml:space="preserve"> </w:t>
      </w:r>
      <w:r w:rsidR="008B7549">
        <w:rPr>
          <w:szCs w:val="20"/>
        </w:rPr>
        <w:t>T</w:t>
      </w:r>
      <w:r w:rsidRPr="00EF346B">
        <w:rPr>
          <w:szCs w:val="20"/>
        </w:rPr>
        <w:t xml:space="preserve">he technical and economic viability of </w:t>
      </w:r>
      <w:r w:rsidR="007A5DA4">
        <w:rPr>
          <w:szCs w:val="20"/>
        </w:rPr>
        <w:t>the</w:t>
      </w:r>
      <w:r w:rsidRPr="00EF346B">
        <w:rPr>
          <w:szCs w:val="20"/>
        </w:rPr>
        <w:t xml:space="preserve"> marine CNG </w:t>
      </w:r>
      <w:r w:rsidR="007A5DA4">
        <w:rPr>
          <w:szCs w:val="20"/>
        </w:rPr>
        <w:t>chain</w:t>
      </w:r>
      <w:r w:rsidR="008B7549">
        <w:rPr>
          <w:szCs w:val="20"/>
        </w:rPr>
        <w:t xml:space="preserve"> is </w:t>
      </w:r>
      <w:r w:rsidR="008B7549" w:rsidRPr="00EF346B">
        <w:rPr>
          <w:szCs w:val="20"/>
        </w:rPr>
        <w:t>investigat</w:t>
      </w:r>
      <w:r w:rsidR="008B7549">
        <w:rPr>
          <w:szCs w:val="20"/>
        </w:rPr>
        <w:t>ed</w:t>
      </w:r>
      <w:r w:rsidR="007A5DA4">
        <w:rPr>
          <w:szCs w:val="20"/>
        </w:rPr>
        <w:t xml:space="preserve"> </w:t>
      </w:r>
      <w:r w:rsidRPr="00477A78">
        <w:t>against the pipeline, LNG, and SSLNG chain</w:t>
      </w:r>
      <w:r w:rsidR="00814EF7">
        <w:t>s</w:t>
      </w:r>
      <w:r w:rsidRPr="00477A78">
        <w:t xml:space="preserve"> using the overall </w:t>
      </w:r>
      <w:r w:rsidR="00922B88">
        <w:t>value chain tariff</w:t>
      </w:r>
      <w:r w:rsidRPr="00477A78">
        <w:t xml:space="preserve"> as primary attribute for comparison.</w:t>
      </w:r>
      <w:r w:rsidR="00D74E91" w:rsidRPr="00D74E91">
        <w:rPr>
          <w:szCs w:val="20"/>
        </w:rPr>
        <w:t xml:space="preserve"> </w:t>
      </w:r>
      <w:r w:rsidR="00D74E91" w:rsidRPr="00EF346B">
        <w:rPr>
          <w:szCs w:val="20"/>
        </w:rPr>
        <w:t xml:space="preserve">The </w:t>
      </w:r>
      <w:r w:rsidR="002C7C5B">
        <w:rPr>
          <w:szCs w:val="20"/>
        </w:rPr>
        <w:t xml:space="preserve">presented case study </w:t>
      </w:r>
      <w:r w:rsidR="00D74E91" w:rsidRPr="00EF346B">
        <w:rPr>
          <w:szCs w:val="20"/>
        </w:rPr>
        <w:t>envisage</w:t>
      </w:r>
      <w:r w:rsidR="002C7C5B">
        <w:rPr>
          <w:szCs w:val="20"/>
        </w:rPr>
        <w:t>s</w:t>
      </w:r>
      <w:r w:rsidR="00D74E91" w:rsidRPr="00EF346B">
        <w:rPr>
          <w:szCs w:val="20"/>
        </w:rPr>
        <w:t xml:space="preserve"> </w:t>
      </w:r>
      <w:r w:rsidR="002C7C5B">
        <w:rPr>
          <w:szCs w:val="20"/>
        </w:rPr>
        <w:t>to</w:t>
      </w:r>
      <w:r w:rsidR="00D74E91" w:rsidRPr="00EF346B">
        <w:rPr>
          <w:szCs w:val="20"/>
        </w:rPr>
        <w:t xml:space="preserve"> shuttle gas from a</w:t>
      </w:r>
      <w:r w:rsidR="002C7C5B">
        <w:rPr>
          <w:szCs w:val="20"/>
        </w:rPr>
        <w:t xml:space="preserve"> possible</w:t>
      </w:r>
      <w:r w:rsidR="00D74E91" w:rsidRPr="00EF346B">
        <w:rPr>
          <w:szCs w:val="20"/>
        </w:rPr>
        <w:t xml:space="preserve"> offshore loading terminal </w:t>
      </w:r>
      <w:r w:rsidR="00D74E91">
        <w:rPr>
          <w:szCs w:val="20"/>
        </w:rPr>
        <w:t xml:space="preserve">near the </w:t>
      </w:r>
      <w:proofErr w:type="spellStart"/>
      <w:r w:rsidR="00D74E91">
        <w:rPr>
          <w:szCs w:val="20"/>
        </w:rPr>
        <w:t>Z</w:t>
      </w:r>
      <w:r w:rsidR="002C7C5B">
        <w:rPr>
          <w:szCs w:val="20"/>
        </w:rPr>
        <w:t>ö</w:t>
      </w:r>
      <w:r w:rsidR="00D74E91">
        <w:rPr>
          <w:szCs w:val="20"/>
        </w:rPr>
        <w:t>hr</w:t>
      </w:r>
      <w:proofErr w:type="spellEnd"/>
      <w:r w:rsidR="00D74E91" w:rsidRPr="00EF346B">
        <w:rPr>
          <w:szCs w:val="20"/>
        </w:rPr>
        <w:t xml:space="preserve"> field to </w:t>
      </w:r>
      <w:r w:rsidR="00922B88">
        <w:rPr>
          <w:szCs w:val="20"/>
        </w:rPr>
        <w:t xml:space="preserve">a </w:t>
      </w:r>
      <w:r w:rsidR="00D74E91">
        <w:rPr>
          <w:szCs w:val="20"/>
        </w:rPr>
        <w:t xml:space="preserve">terminal near </w:t>
      </w:r>
      <w:proofErr w:type="spellStart"/>
      <w:r w:rsidR="00D74E91">
        <w:rPr>
          <w:szCs w:val="20"/>
        </w:rPr>
        <w:t>Brindisi</w:t>
      </w:r>
      <w:proofErr w:type="spellEnd"/>
      <w:r w:rsidR="00F80DA7">
        <w:rPr>
          <w:szCs w:val="20"/>
        </w:rPr>
        <w:t xml:space="preserve"> (Adriatic Sea)</w:t>
      </w:r>
      <w:r w:rsidR="00D74E91" w:rsidRPr="00EF346B">
        <w:rPr>
          <w:szCs w:val="20"/>
        </w:rPr>
        <w:t>.</w:t>
      </w:r>
      <w:r w:rsidR="00D74E91">
        <w:rPr>
          <w:szCs w:val="20"/>
        </w:rPr>
        <w:t xml:space="preserve"> </w:t>
      </w:r>
    </w:p>
    <w:p w:rsidR="002C7C5B" w:rsidRDefault="002C7C5B" w:rsidP="002C7C5B">
      <w:pPr>
        <w:pStyle w:val="Heading1"/>
        <w:ind w:left="426" w:hanging="426"/>
        <w:rPr>
          <w:szCs w:val="20"/>
        </w:rPr>
      </w:pPr>
      <w:r w:rsidRPr="00105747">
        <w:rPr>
          <w:szCs w:val="20"/>
        </w:rPr>
        <w:t>M</w:t>
      </w:r>
      <w:r w:rsidR="00F96429">
        <w:rPr>
          <w:szCs w:val="20"/>
        </w:rPr>
        <w:t>arine</w:t>
      </w:r>
      <w:r w:rsidRPr="00105747">
        <w:rPr>
          <w:szCs w:val="20"/>
        </w:rPr>
        <w:t xml:space="preserve"> T</w:t>
      </w:r>
      <w:r w:rsidR="00F96429">
        <w:rPr>
          <w:szCs w:val="20"/>
        </w:rPr>
        <w:t>ransportation of Compressed Natural Gas</w:t>
      </w:r>
    </w:p>
    <w:p w:rsidR="00A91882" w:rsidRPr="008B7549" w:rsidRDefault="00A91882" w:rsidP="008B7549">
      <w:pPr>
        <w:ind w:firstLine="0"/>
        <w:rPr>
          <w:szCs w:val="20"/>
        </w:rPr>
      </w:pPr>
      <w:r w:rsidRPr="00296A63">
        <w:rPr>
          <w:szCs w:val="20"/>
        </w:rPr>
        <w:t xml:space="preserve">So far the traditional </w:t>
      </w:r>
      <w:r w:rsidR="002C7C5B">
        <w:rPr>
          <w:szCs w:val="20"/>
        </w:rPr>
        <w:t>transport modes for delivering natural gas</w:t>
      </w:r>
      <w:r w:rsidRPr="00296A63">
        <w:rPr>
          <w:szCs w:val="20"/>
        </w:rPr>
        <w:t xml:space="preserve"> have been pipelines and LNG.</w:t>
      </w:r>
      <w:r w:rsidR="008B7549">
        <w:rPr>
          <w:szCs w:val="20"/>
        </w:rPr>
        <w:t xml:space="preserve"> </w:t>
      </w:r>
      <w:r>
        <w:t>Nevertheless, w</w:t>
      </w:r>
      <w:r w:rsidRPr="00296A63">
        <w:t xml:space="preserve">ith natural gas set to play an increasingly role in meeting </w:t>
      </w:r>
      <w:r w:rsidR="00922B88">
        <w:t xml:space="preserve">the </w:t>
      </w:r>
      <w:r w:rsidRPr="00296A63">
        <w:t xml:space="preserve">world energy </w:t>
      </w:r>
      <w:r w:rsidR="002C7C5B">
        <w:t>demand, these</w:t>
      </w:r>
      <w:r w:rsidRPr="00296A63">
        <w:t xml:space="preserve"> </w:t>
      </w:r>
      <w:r w:rsidR="00922B88">
        <w:t>transportation mode</w:t>
      </w:r>
      <w:r w:rsidRPr="00296A63">
        <w:t xml:space="preserve">s </w:t>
      </w:r>
      <w:r w:rsidR="002C7C5B">
        <w:t>should</w:t>
      </w:r>
      <w:r w:rsidRPr="00296A63">
        <w:t xml:space="preserve"> be reviewed and/or complemented by other technologies </w:t>
      </w:r>
      <w:r w:rsidR="00922B88">
        <w:t>because</w:t>
      </w:r>
      <w:r w:rsidRPr="00296A63">
        <w:t xml:space="preserve"> a considerable portion </w:t>
      </w:r>
      <w:r w:rsidR="00922B88">
        <w:t>(</w:t>
      </w:r>
      <m:oMath>
        <m:r>
          <w:rPr>
            <w:rFonts w:ascii="Cambria Math" w:hAnsi="Cambria Math"/>
          </w:rPr>
          <m:t>~</m:t>
        </m:r>
      </m:oMath>
      <w:r w:rsidR="007A60F8">
        <w:t>5</w:t>
      </w:r>
      <w:r w:rsidR="00922B88">
        <w:t xml:space="preserve">0%) </w:t>
      </w:r>
      <w:r w:rsidRPr="00296A63">
        <w:t>of the world’s natural gas</w:t>
      </w:r>
      <w:r w:rsidR="002C7C5B">
        <w:t xml:space="preserve"> rese</w:t>
      </w:r>
      <w:r w:rsidR="00734593">
        <w:t xml:space="preserve">rves fall into categories </w:t>
      </w:r>
      <w:r w:rsidRPr="00296A63">
        <w:t>termed as ‘stranded gas’</w:t>
      </w:r>
      <w:r w:rsidR="00721EB7">
        <w:t xml:space="preserve"> and ‘associated gas’</w:t>
      </w:r>
      <w:r w:rsidR="007A5DA4">
        <w:t>, that</w:t>
      </w:r>
      <w:r w:rsidRPr="00296A63">
        <w:t xml:space="preserve"> cannot be monetized via pipeline or LNG. That is why in the last decade the interest for development of new technologies such as Compressed Natural Gas (CNG) and Small Scale Liquefied Natural Gas (SSLNG) has grown.</w:t>
      </w:r>
      <w:r w:rsidR="008B7549">
        <w:t xml:space="preserve"> </w:t>
      </w:r>
      <w:r w:rsidR="008B7549" w:rsidRPr="00477A78">
        <w:t xml:space="preserve">It </w:t>
      </w:r>
      <w:r w:rsidR="008B7549">
        <w:t xml:space="preserve">is not </w:t>
      </w:r>
      <w:r w:rsidR="008B7549" w:rsidRPr="00477A78">
        <w:t xml:space="preserve">the objective of this study to present a </w:t>
      </w:r>
      <w:r w:rsidR="008B7549">
        <w:t>state-of-the-art</w:t>
      </w:r>
      <w:r w:rsidR="008B7549" w:rsidRPr="00477A78">
        <w:t xml:space="preserve"> overview of the technologies and chemistry behind these</w:t>
      </w:r>
      <w:r w:rsidR="008B7549" w:rsidRPr="000F4EEB">
        <w:t xml:space="preserve"> systems</w:t>
      </w:r>
      <w:r w:rsidR="008B7549">
        <w:t xml:space="preserve">, as they are comprehensively discussed in the scientific literature </w:t>
      </w:r>
      <w:r w:rsidR="00721EB7">
        <w:t>[</w:t>
      </w:r>
      <w:r w:rsidR="00BE3BFB">
        <w:t>3</w:t>
      </w:r>
      <w:r w:rsidR="00961B0A">
        <w:t>,</w:t>
      </w:r>
      <w:r w:rsidR="00F80DA7">
        <w:t xml:space="preserve"> </w:t>
      </w:r>
      <w:r w:rsidR="00BE3BFB">
        <w:t>4</w:t>
      </w:r>
      <w:r w:rsidR="00961B0A">
        <w:t>,</w:t>
      </w:r>
      <w:r w:rsidR="00F80DA7">
        <w:t xml:space="preserve"> </w:t>
      </w:r>
      <w:proofErr w:type="gramStart"/>
      <w:r w:rsidR="00BE3BFB">
        <w:t>5</w:t>
      </w:r>
      <w:proofErr w:type="gramEnd"/>
      <w:r w:rsidR="00721EB7">
        <w:t>]</w:t>
      </w:r>
      <w:r w:rsidR="008B7549" w:rsidRPr="000F4EEB">
        <w:t>.</w:t>
      </w:r>
    </w:p>
    <w:p w:rsidR="00296A63" w:rsidRPr="00296A63" w:rsidRDefault="00296A63" w:rsidP="00721EB7">
      <w:r w:rsidRPr="00296A63">
        <w:t>Pipelines are the most efficient way to supply gas to the ultimate consumer</w:t>
      </w:r>
      <w:r w:rsidR="00734593">
        <w:t xml:space="preserve"> onshore</w:t>
      </w:r>
      <w:r w:rsidRPr="00296A63">
        <w:t xml:space="preserve">, but their offshore potential is limited by high costs </w:t>
      </w:r>
      <w:r w:rsidR="00721EB7">
        <w:t xml:space="preserve">in durable investments </w:t>
      </w:r>
      <w:r w:rsidR="007A5DA4">
        <w:t>-</w:t>
      </w:r>
      <w:r w:rsidRPr="00296A63">
        <w:t xml:space="preserve"> offshore pipelines can cost up to ten times more than onshore line</w:t>
      </w:r>
      <w:r w:rsidR="00734593">
        <w:t>s</w:t>
      </w:r>
      <w:r w:rsidR="007A5DA4">
        <w:t xml:space="preserve"> -</w:t>
      </w:r>
      <w:r w:rsidRPr="00296A63">
        <w:t xml:space="preserve"> compounded by the distance between the gas source and the market, water depth and seabed orography.</w:t>
      </w:r>
      <w:r w:rsidR="00721EB7">
        <w:t xml:space="preserve"> </w:t>
      </w:r>
      <w:r>
        <w:t>On the contrary</w:t>
      </w:r>
      <w:r w:rsidRPr="00296A63">
        <w:t>, import of natural gas through marine transportation presents an undeniable advantage</w:t>
      </w:r>
      <w:r>
        <w:t xml:space="preserve"> because </w:t>
      </w:r>
      <w:r w:rsidR="00721EB7">
        <w:t>it</w:t>
      </w:r>
      <w:r w:rsidRPr="00296A63">
        <w:t xml:space="preserve"> does not imply an indissoluble physical tie between producer and buyer</w:t>
      </w:r>
      <w:r w:rsidR="00721EB7">
        <w:t xml:space="preserve"> and can be a flexible solution in the spot market</w:t>
      </w:r>
      <w:r w:rsidRPr="00296A63">
        <w:t xml:space="preserve"> </w:t>
      </w:r>
      <w:r w:rsidR="00721EB7">
        <w:t>[</w:t>
      </w:r>
      <w:r w:rsidR="00BE3BFB">
        <w:t>6</w:t>
      </w:r>
      <w:r w:rsidR="00721EB7">
        <w:t>]</w:t>
      </w:r>
      <w:r w:rsidRPr="00296A63">
        <w:t>.</w:t>
      </w:r>
      <w:r w:rsidR="00721EB7">
        <w:t xml:space="preserve"> </w:t>
      </w:r>
      <w:r w:rsidRPr="00296A63">
        <w:t xml:space="preserve">But the LNG supply chain is complicated and costly mostly because the infrastructure </w:t>
      </w:r>
      <w:r w:rsidR="00721EB7">
        <w:t>(</w:t>
      </w:r>
      <w:r w:rsidR="00721EB7" w:rsidRPr="00296A63">
        <w:t>liquefaction and regasification plants</w:t>
      </w:r>
      <w:r w:rsidR="00721EB7">
        <w:t xml:space="preserve">, LNG tanks) </w:t>
      </w:r>
      <w:r w:rsidRPr="00296A63">
        <w:t xml:space="preserve">can be extensive and expensive to build. </w:t>
      </w:r>
    </w:p>
    <w:p w:rsidR="00105747" w:rsidRPr="00734593" w:rsidRDefault="00296A63" w:rsidP="00734593">
      <w:pPr>
        <w:rPr>
          <w:szCs w:val="20"/>
        </w:rPr>
      </w:pPr>
      <w:r w:rsidRPr="00296A63">
        <w:rPr>
          <w:szCs w:val="20"/>
        </w:rPr>
        <w:t xml:space="preserve">CNG is the emerging technology with potential to </w:t>
      </w:r>
      <w:r w:rsidR="00734593">
        <w:rPr>
          <w:szCs w:val="20"/>
        </w:rPr>
        <w:t>economically fit</w:t>
      </w:r>
      <w:r w:rsidR="00721EB7">
        <w:rPr>
          <w:szCs w:val="20"/>
        </w:rPr>
        <w:t xml:space="preserve"> between pipeline and LNG. It </w:t>
      </w:r>
      <w:r w:rsidRPr="00296A63">
        <w:rPr>
          <w:szCs w:val="20"/>
        </w:rPr>
        <w:t>has grown to a level of maturity suitable to consider it a viable solution for natural</w:t>
      </w:r>
      <w:r w:rsidR="00734593" w:rsidRPr="00734593">
        <w:rPr>
          <w:szCs w:val="20"/>
        </w:rPr>
        <w:t xml:space="preserve"> </w:t>
      </w:r>
      <w:r w:rsidR="00734593" w:rsidRPr="00296A63">
        <w:rPr>
          <w:szCs w:val="20"/>
        </w:rPr>
        <w:t>gas</w:t>
      </w:r>
      <w:r w:rsidRPr="00296A63">
        <w:rPr>
          <w:szCs w:val="20"/>
        </w:rPr>
        <w:t xml:space="preserve"> transportation</w:t>
      </w:r>
      <w:r w:rsidR="004112CB">
        <w:rPr>
          <w:szCs w:val="20"/>
        </w:rPr>
        <w:t xml:space="preserve">. </w:t>
      </w:r>
      <w:r w:rsidR="004112CB" w:rsidRPr="00EF346B">
        <w:rPr>
          <w:szCs w:val="20"/>
        </w:rPr>
        <w:t>Th</w:t>
      </w:r>
      <w:r w:rsidR="00734593">
        <w:rPr>
          <w:szCs w:val="20"/>
        </w:rPr>
        <w:t>is</w:t>
      </w:r>
      <w:r w:rsidR="004112CB" w:rsidRPr="00EF346B">
        <w:rPr>
          <w:szCs w:val="20"/>
        </w:rPr>
        <w:t xml:space="preserve"> option seem</w:t>
      </w:r>
      <w:r w:rsidR="004112CB">
        <w:rPr>
          <w:szCs w:val="20"/>
        </w:rPr>
        <w:t>s</w:t>
      </w:r>
      <w:r w:rsidR="004112CB" w:rsidRPr="00EF346B">
        <w:rPr>
          <w:szCs w:val="20"/>
        </w:rPr>
        <w:t xml:space="preserve"> es</w:t>
      </w:r>
      <w:r w:rsidR="00734593">
        <w:rPr>
          <w:szCs w:val="20"/>
        </w:rPr>
        <w:t>pecially tempting as it</w:t>
      </w:r>
      <w:r w:rsidR="004112CB">
        <w:rPr>
          <w:szCs w:val="20"/>
        </w:rPr>
        <w:t xml:space="preserve"> </w:t>
      </w:r>
      <w:r w:rsidR="004112CB" w:rsidRPr="00EF346B">
        <w:rPr>
          <w:szCs w:val="20"/>
        </w:rPr>
        <w:t>allow</w:t>
      </w:r>
      <w:r w:rsidR="004112CB">
        <w:rPr>
          <w:szCs w:val="20"/>
        </w:rPr>
        <w:t>s</w:t>
      </w:r>
      <w:r w:rsidR="004112CB" w:rsidRPr="00EF346B">
        <w:rPr>
          <w:szCs w:val="20"/>
        </w:rPr>
        <w:t xml:space="preserve"> for cost savings </w:t>
      </w:r>
      <w:r w:rsidR="00F43FDC">
        <w:rPr>
          <w:szCs w:val="20"/>
        </w:rPr>
        <w:t>since it</w:t>
      </w:r>
      <w:r w:rsidR="004112CB" w:rsidRPr="00EF346B">
        <w:rPr>
          <w:szCs w:val="20"/>
        </w:rPr>
        <w:t xml:space="preserve"> </w:t>
      </w:r>
      <w:r w:rsidR="00F43FDC" w:rsidRPr="00296A63">
        <w:rPr>
          <w:szCs w:val="20"/>
        </w:rPr>
        <w:t>does not require</w:t>
      </w:r>
      <w:r w:rsidR="00F43FDC" w:rsidRPr="00F43FDC">
        <w:rPr>
          <w:szCs w:val="20"/>
        </w:rPr>
        <w:t xml:space="preserve"> </w:t>
      </w:r>
      <w:r w:rsidR="00F43FDC">
        <w:rPr>
          <w:szCs w:val="20"/>
        </w:rPr>
        <w:t xml:space="preserve">costly </w:t>
      </w:r>
      <w:r w:rsidR="00F43FDC" w:rsidRPr="00EF346B">
        <w:rPr>
          <w:szCs w:val="20"/>
        </w:rPr>
        <w:t>infrastructure</w:t>
      </w:r>
      <w:r w:rsidR="00F43FDC">
        <w:rPr>
          <w:szCs w:val="20"/>
        </w:rPr>
        <w:t>s</w:t>
      </w:r>
      <w:r w:rsidR="004112CB" w:rsidRPr="00EF346B">
        <w:rPr>
          <w:szCs w:val="20"/>
        </w:rPr>
        <w:t xml:space="preserve">. </w:t>
      </w:r>
      <w:r w:rsidR="004112CB">
        <w:rPr>
          <w:szCs w:val="20"/>
        </w:rPr>
        <w:t>Moreover, the CNG transport mode</w:t>
      </w:r>
      <w:r w:rsidR="004112CB" w:rsidRPr="00EF346B">
        <w:rPr>
          <w:szCs w:val="20"/>
        </w:rPr>
        <w:t xml:space="preserve"> </w:t>
      </w:r>
      <w:r w:rsidR="004112CB">
        <w:rPr>
          <w:szCs w:val="20"/>
        </w:rPr>
        <w:t>might</w:t>
      </w:r>
      <w:r w:rsidR="004112CB" w:rsidRPr="00EF346B">
        <w:rPr>
          <w:szCs w:val="20"/>
        </w:rPr>
        <w:t xml:space="preserve"> enable more flexibility in use of the ships as they would not be as dependent on a well-developed infrastructure being in place as is the case for </w:t>
      </w:r>
      <w:r w:rsidR="00734593">
        <w:rPr>
          <w:szCs w:val="20"/>
        </w:rPr>
        <w:t>the</w:t>
      </w:r>
      <w:r w:rsidR="004112CB" w:rsidRPr="00EF346B">
        <w:rPr>
          <w:szCs w:val="20"/>
        </w:rPr>
        <w:t xml:space="preserve"> LNG </w:t>
      </w:r>
      <w:r w:rsidR="00734593">
        <w:rPr>
          <w:szCs w:val="20"/>
        </w:rPr>
        <w:t>supply chain</w:t>
      </w:r>
      <w:r w:rsidR="004112CB" w:rsidRPr="00EF346B">
        <w:rPr>
          <w:szCs w:val="20"/>
        </w:rPr>
        <w:t>.</w:t>
      </w:r>
      <w:r w:rsidR="00734593">
        <w:rPr>
          <w:szCs w:val="20"/>
        </w:rPr>
        <w:t xml:space="preserve"> It </w:t>
      </w:r>
      <w:r w:rsidR="00105747" w:rsidRPr="002F1986">
        <w:t>can also be used in the start-up phase of an LNG train or a pipeline project development and will enable an early gas start-up. This will facilitate a gradual build-up of the export volume without waiting for the large investment necessary for a fully developed export train.</w:t>
      </w:r>
    </w:p>
    <w:p w:rsidR="00105747" w:rsidRPr="00105747" w:rsidRDefault="00105747" w:rsidP="00734593">
      <w:r w:rsidRPr="002F1986">
        <w:t xml:space="preserve">To mention some possibilities, the marine CNG might be </w:t>
      </w:r>
      <w:r w:rsidRPr="002F1986">
        <w:rPr>
          <w:rFonts w:cs="Arial"/>
          <w:color w:val="333333"/>
          <w:shd w:val="clear" w:color="auto" w:fill="FFFFFF"/>
        </w:rPr>
        <w:t xml:space="preserve">the ideal solution </w:t>
      </w:r>
      <w:r w:rsidRPr="002F1986">
        <w:t xml:space="preserve">in trades </w:t>
      </w:r>
      <w:r w:rsidRPr="002F1986">
        <w:rPr>
          <w:rFonts w:cs="Arial"/>
          <w:color w:val="333333"/>
          <w:shd w:val="clear" w:color="auto" w:fill="FFFFFF"/>
        </w:rPr>
        <w:t xml:space="preserve">as diverse as </w:t>
      </w:r>
      <w:r w:rsidR="00734593">
        <w:t>from</w:t>
      </w:r>
      <w:r w:rsidRPr="002F1986">
        <w:t xml:space="preserve"> South China Sea to Korea and Japan, </w:t>
      </w:r>
      <w:r w:rsidR="00734593">
        <w:t xml:space="preserve">from </w:t>
      </w:r>
      <w:r w:rsidRPr="002F1986">
        <w:t xml:space="preserve">Sakhalin to Korea, Japan </w:t>
      </w:r>
      <w:r w:rsidRPr="002F1986">
        <w:lastRenderedPageBreak/>
        <w:t xml:space="preserve">and China, </w:t>
      </w:r>
      <w:r w:rsidR="00734593">
        <w:t xml:space="preserve">from </w:t>
      </w:r>
      <w:r w:rsidRPr="002F1986">
        <w:t xml:space="preserve">the Middle East to India, </w:t>
      </w:r>
      <w:r w:rsidR="00734593">
        <w:t xml:space="preserve">from </w:t>
      </w:r>
      <w:r w:rsidRPr="002F1986">
        <w:t xml:space="preserve">Indonesia to India, </w:t>
      </w:r>
      <w:r w:rsidR="00734593">
        <w:t xml:space="preserve">from </w:t>
      </w:r>
      <w:r w:rsidRPr="002F1986">
        <w:t>Eastern Indonesia to Japan and Ko</w:t>
      </w:r>
      <w:r>
        <w:t>rea,</w:t>
      </w:r>
      <w:r w:rsidR="00734593">
        <w:t xml:space="preserve"> from</w:t>
      </w:r>
      <w:r>
        <w:t xml:space="preserve"> North Africa to Europe,</w:t>
      </w:r>
      <w:r w:rsidRPr="002F1986">
        <w:t xml:space="preserve"> </w:t>
      </w:r>
      <w:r w:rsidR="00734593">
        <w:t xml:space="preserve">from </w:t>
      </w:r>
      <w:r w:rsidRPr="002F1986">
        <w:t xml:space="preserve">North Sea and Barents Sea to </w:t>
      </w:r>
      <w:r w:rsidR="00734593">
        <w:t xml:space="preserve">North </w:t>
      </w:r>
      <w:r w:rsidRPr="002F1986">
        <w:t xml:space="preserve">Europe, </w:t>
      </w:r>
      <w:r w:rsidR="00734593">
        <w:t xml:space="preserve">from </w:t>
      </w:r>
      <w:r w:rsidRPr="002F1986">
        <w:t>Eastern Canada to the Eastern US and Canadian seaboards, from Trinidad</w:t>
      </w:r>
      <w:r w:rsidR="00E62865">
        <w:t xml:space="preserve"> &amp; Tobago</w:t>
      </w:r>
      <w:r w:rsidR="00734593">
        <w:t xml:space="preserve"> to Caribbean islands</w:t>
      </w:r>
      <w:r w:rsidR="00E62865">
        <w:t xml:space="preserve">, </w:t>
      </w:r>
      <w:r w:rsidRPr="002F1986">
        <w:t xml:space="preserve">and in </w:t>
      </w:r>
      <w:r w:rsidRPr="002F1986">
        <w:rPr>
          <w:rFonts w:cs="Arial"/>
          <w:color w:val="333333"/>
          <w:shd w:val="clear" w:color="auto" w:fill="FFFFFF"/>
        </w:rPr>
        <w:t>West Africa close to Nigeria and Equatorial Guinea’s gas reserves</w:t>
      </w:r>
      <w:r w:rsidRPr="002F1986">
        <w:t xml:space="preserve">. All these possibilities are within a transport range of up to about </w:t>
      </w:r>
      <w:r>
        <w:t>25</w:t>
      </w:r>
      <w:r w:rsidRPr="002F1986">
        <w:t xml:space="preserve">00 nm, which for </w:t>
      </w:r>
      <w:r w:rsidR="00734593">
        <w:t>fleets with large</w:t>
      </w:r>
      <w:r w:rsidRPr="002F1986">
        <w:t xml:space="preserve"> CNG ships may be within the economic competitive range.</w:t>
      </w:r>
    </w:p>
    <w:p w:rsidR="00B05D6E" w:rsidRDefault="00B05D6E" w:rsidP="00774639">
      <w:pPr>
        <w:pStyle w:val="Heading2"/>
        <w:ind w:left="0"/>
        <w:rPr>
          <w:lang w:eastAsia="en-US"/>
        </w:rPr>
      </w:pPr>
      <w:r>
        <w:rPr>
          <w:lang w:eastAsia="en-US"/>
        </w:rPr>
        <w:t xml:space="preserve"> </w:t>
      </w:r>
      <w:r w:rsidR="00E62865">
        <w:rPr>
          <w:lang w:eastAsia="en-US"/>
        </w:rPr>
        <w:t>The CNG chain</w:t>
      </w:r>
    </w:p>
    <w:p w:rsidR="00E62865" w:rsidRPr="00740C6F" w:rsidRDefault="00E62865" w:rsidP="0046732F">
      <w:pPr>
        <w:ind w:firstLine="0"/>
        <w:rPr>
          <w:b/>
          <w:szCs w:val="20"/>
        </w:rPr>
      </w:pPr>
      <w:r w:rsidRPr="00E62865">
        <w:rPr>
          <w:szCs w:val="20"/>
        </w:rPr>
        <w:t>A typical offshore-based CNG value chain consists of the following sequential elements:</w:t>
      </w:r>
      <w:r w:rsidR="00740C6F">
        <w:rPr>
          <w:b/>
          <w:szCs w:val="20"/>
        </w:rPr>
        <w:t xml:space="preserve"> </w:t>
      </w:r>
      <w:r w:rsidRPr="002F1986">
        <w:t>gas supply</w:t>
      </w:r>
      <w:r w:rsidR="00740C6F">
        <w:t xml:space="preserve">, </w:t>
      </w:r>
      <w:r w:rsidRPr="002F1986">
        <w:t>gas drying, compression for loading and metering</w:t>
      </w:r>
      <w:r w:rsidR="00740C6F">
        <w:t xml:space="preserve">, </w:t>
      </w:r>
      <w:r w:rsidRPr="002F1986">
        <w:t>STL loading system</w:t>
      </w:r>
      <w:r>
        <w:t xml:space="preserve"> or jetty-based facility</w:t>
      </w:r>
      <w:r w:rsidR="00740C6F">
        <w:t xml:space="preserve">, </w:t>
      </w:r>
      <w:r w:rsidRPr="002F1986">
        <w:t>transport</w:t>
      </w:r>
      <w:r w:rsidR="00734593">
        <w:t>ation</w:t>
      </w:r>
      <w:r w:rsidRPr="002F1986">
        <w:t xml:space="preserve"> by sea</w:t>
      </w:r>
      <w:r w:rsidR="00740C6F">
        <w:t xml:space="preserve">, </w:t>
      </w:r>
      <w:r w:rsidRPr="002F1986">
        <w:t>SPM discharging system including offloading</w:t>
      </w:r>
      <w:r>
        <w:t xml:space="preserve"> or jetty-based facility</w:t>
      </w:r>
      <w:r w:rsidR="00740C6F">
        <w:t xml:space="preserve">, </w:t>
      </w:r>
      <w:r w:rsidRPr="002F1986">
        <w:t>compression and metering</w:t>
      </w:r>
    </w:p>
    <w:p w:rsidR="00E62865" w:rsidRPr="00E62865" w:rsidRDefault="00E62865" w:rsidP="00FC052C">
      <w:pPr>
        <w:rPr>
          <w:b/>
        </w:rPr>
      </w:pPr>
      <w:r w:rsidRPr="002F1986">
        <w:t xml:space="preserve">After metering, the gas is routed via a </w:t>
      </w:r>
      <w:r w:rsidR="00734593">
        <w:t xml:space="preserve">short </w:t>
      </w:r>
      <w:r w:rsidRPr="002F1986">
        <w:t xml:space="preserve">pipeline system connecting the onshore or offshore facility with the offshore loading buoy. </w:t>
      </w:r>
      <w:r w:rsidR="00FC052C">
        <w:t>Then</w:t>
      </w:r>
      <w:r w:rsidRPr="002F1986">
        <w:t xml:space="preserve">, the CNG ship disconnects the loading buoy, and </w:t>
      </w:r>
      <w:r w:rsidR="00734593">
        <w:t>start</w:t>
      </w:r>
      <w:r w:rsidRPr="002F1986">
        <w:t>s the sea voyage.</w:t>
      </w:r>
      <w:r w:rsidR="00FC052C">
        <w:rPr>
          <w:b/>
        </w:rPr>
        <w:t xml:space="preserve"> </w:t>
      </w:r>
      <w:r w:rsidRPr="00E62865">
        <w:t xml:space="preserve">In the </w:t>
      </w:r>
      <w:r w:rsidR="00FC052C">
        <w:t>receiving terminal, t</w:t>
      </w:r>
      <w:r w:rsidRPr="00E62865">
        <w:t xml:space="preserve">he discharging buoy is connected to a pipeline system, which </w:t>
      </w:r>
      <w:r w:rsidR="001D756C">
        <w:t>brings the gas</w:t>
      </w:r>
      <w:r w:rsidRPr="00E62865">
        <w:t xml:space="preserve"> to the onshore or offshore receiving </w:t>
      </w:r>
      <w:r w:rsidR="00734593">
        <w:t>terminal</w:t>
      </w:r>
      <w:r w:rsidR="00FC052C">
        <w:t xml:space="preserve"> which</w:t>
      </w:r>
      <w:r w:rsidRPr="00E62865">
        <w:t xml:space="preserve"> consists of a discharging compressor and gas metering. The CNG ship is </w:t>
      </w:r>
      <w:r w:rsidR="00734593">
        <w:t>discharge</w:t>
      </w:r>
      <w:r w:rsidRPr="00E62865">
        <w:t xml:space="preserve">d by way of pressure/flow control without any compression until the </w:t>
      </w:r>
      <w:r w:rsidR="00734593">
        <w:t xml:space="preserve">containment </w:t>
      </w:r>
      <w:r w:rsidRPr="00E62865">
        <w:t>system pressure reaches the recei</w:t>
      </w:r>
      <w:r w:rsidR="00734593">
        <w:t xml:space="preserve">ving system pressure (typically </w:t>
      </w:r>
      <w:r w:rsidRPr="00E62865">
        <w:t>around 70 bar</w:t>
      </w:r>
      <w:r w:rsidR="00734593">
        <w:t xml:space="preserve"> in Italy)</w:t>
      </w:r>
      <w:r w:rsidRPr="00E62865">
        <w:t>. The pressure is then let down</w:t>
      </w:r>
      <w:r w:rsidR="008D3797" w:rsidRPr="008D3797">
        <w:t xml:space="preserve"> </w:t>
      </w:r>
      <w:r w:rsidR="008D3797">
        <w:t xml:space="preserve">by </w:t>
      </w:r>
      <w:r w:rsidR="008D3797" w:rsidRPr="00E62865">
        <w:t>the discharging compressor</w:t>
      </w:r>
      <w:r w:rsidRPr="00E62865">
        <w:t xml:space="preserve"> to approximately 30 bar, </w:t>
      </w:r>
      <w:r w:rsidR="008D3797">
        <w:t>leaving 10-12% of heel gas inside the pressure vessels</w:t>
      </w:r>
      <w:r w:rsidR="00FC052C">
        <w:t>.</w:t>
      </w:r>
    </w:p>
    <w:p w:rsidR="009E1014" w:rsidRPr="002F1986" w:rsidRDefault="009E1014" w:rsidP="009E1014">
      <w:pPr>
        <w:rPr>
          <w:b/>
        </w:rPr>
      </w:pPr>
      <w:r w:rsidRPr="002F1986">
        <w:t xml:space="preserve">For continuous gas deliveries, a system of two loading and discharging buoys are used. It </w:t>
      </w:r>
      <w:r w:rsidR="008D3797">
        <w:t xml:space="preserve">is advisable to equip the CNG ships </w:t>
      </w:r>
      <w:r w:rsidRPr="002F1986">
        <w:t>with gas drying and compression facilities.</w:t>
      </w:r>
    </w:p>
    <w:p w:rsidR="00DE4DD8" w:rsidRPr="000D6589" w:rsidRDefault="00E652A1" w:rsidP="00DE4DD8">
      <w:pPr>
        <w:pStyle w:val="Heading2"/>
        <w:ind w:left="0"/>
        <w:rPr>
          <w:lang w:eastAsia="en-US"/>
        </w:rPr>
      </w:pPr>
      <w:r>
        <w:t xml:space="preserve">The </w:t>
      </w:r>
      <w:r w:rsidR="00DE4DD8" w:rsidRPr="000D6589">
        <w:t xml:space="preserve">CNG </w:t>
      </w:r>
      <w:r w:rsidR="006C5FD7">
        <w:t>Project</w:t>
      </w:r>
      <w:r w:rsidR="008D3797">
        <w:t>s</w:t>
      </w:r>
    </w:p>
    <w:p w:rsidR="00F20205" w:rsidRDefault="00DE4DD8" w:rsidP="00FB4A07">
      <w:pPr>
        <w:ind w:firstLine="0"/>
      </w:pPr>
      <w:r w:rsidRPr="00DE4DD8">
        <w:t>In a CNG project, at least 85% of the investment is in ships since terminals, buoys and infrastructures are absolutely smaller</w:t>
      </w:r>
      <w:r w:rsidR="008D3797">
        <w:t xml:space="preserve"> and cheaper</w:t>
      </w:r>
      <w:r w:rsidRPr="00DE4DD8">
        <w:t xml:space="preserve"> than for </w:t>
      </w:r>
      <w:r w:rsidR="007E0A17">
        <w:t>LNG</w:t>
      </w:r>
      <w:r w:rsidRPr="00DE4DD8">
        <w:t xml:space="preserve"> transport mode.</w:t>
      </w:r>
      <w:r>
        <w:t xml:space="preserve"> </w:t>
      </w:r>
      <w:r w:rsidR="008D3797">
        <w:t>Attempts to ship</w:t>
      </w:r>
      <w:r w:rsidRPr="002F1986">
        <w:t xml:space="preserve"> gas by sea without high costs associated to liquefaction and regasification plants have been done by many parties over the past 40 years but all the proposed solutions have so far encountered </w:t>
      </w:r>
      <w:r w:rsidR="008D3797">
        <w:t xml:space="preserve">most of all because of </w:t>
      </w:r>
      <w:r w:rsidRPr="002F1986">
        <w:t xml:space="preserve">high </w:t>
      </w:r>
      <w:r>
        <w:t xml:space="preserve">weight and </w:t>
      </w:r>
      <w:r w:rsidRPr="002F1986">
        <w:t xml:space="preserve">cost of pressure vessels </w:t>
      </w:r>
      <w:r w:rsidR="001D756C">
        <w:t>[</w:t>
      </w:r>
      <w:r w:rsidR="008035E4">
        <w:t>7</w:t>
      </w:r>
      <w:r w:rsidR="001D756C">
        <w:t>,</w:t>
      </w:r>
      <w:r w:rsidR="000E13F1">
        <w:t xml:space="preserve"> </w:t>
      </w:r>
      <w:r w:rsidR="008035E4">
        <w:t>8</w:t>
      </w:r>
      <w:r w:rsidR="00A871FD">
        <w:t>,</w:t>
      </w:r>
      <w:r w:rsidR="00F80DA7">
        <w:t xml:space="preserve"> </w:t>
      </w:r>
      <w:r w:rsidR="008035E4">
        <w:t>9</w:t>
      </w:r>
      <w:r w:rsidR="00A871FD">
        <w:t>,</w:t>
      </w:r>
      <w:r w:rsidR="00F80DA7">
        <w:t xml:space="preserve"> </w:t>
      </w:r>
      <w:proofErr w:type="gramStart"/>
      <w:r w:rsidR="008035E4">
        <w:t>10</w:t>
      </w:r>
      <w:proofErr w:type="gramEnd"/>
      <w:r w:rsidR="001D756C">
        <w:t>]</w:t>
      </w:r>
      <w:r w:rsidRPr="002F1986">
        <w:t xml:space="preserve">. </w:t>
      </w:r>
    </w:p>
    <w:p w:rsidR="00D02155" w:rsidRDefault="008D3797" w:rsidP="003C33B9">
      <w:r>
        <w:t>In the past, t</w:t>
      </w:r>
      <w:r w:rsidR="001B1964" w:rsidRPr="002F1986">
        <w:t xml:space="preserve">he large weight of the steel-based systems </w:t>
      </w:r>
      <w:r w:rsidR="001B1964">
        <w:t>(Type I)</w:t>
      </w:r>
      <w:r w:rsidR="001B1964" w:rsidRPr="002F1986">
        <w:t xml:space="preserve"> combined with the high capital cost of </w:t>
      </w:r>
      <w:r w:rsidR="007E0A17">
        <w:t>heavy and too large</w:t>
      </w:r>
      <w:r w:rsidR="001B1964" w:rsidRPr="002F1986">
        <w:t xml:space="preserve"> ships compelled to </w:t>
      </w:r>
      <w:r w:rsidR="008727BC">
        <w:t>drop any</w:t>
      </w:r>
      <w:r w:rsidR="001B1964" w:rsidRPr="002F1986">
        <w:t xml:space="preserve"> </w:t>
      </w:r>
      <w:r w:rsidR="008727BC">
        <w:t>marine CNG project</w:t>
      </w:r>
      <w:r w:rsidR="001B1964" w:rsidRPr="002F1986">
        <w:t xml:space="preserve">. Recently, the Gresik/Lombok Project </w:t>
      </w:r>
      <w:r w:rsidR="007E0A17">
        <w:t>[</w:t>
      </w:r>
      <w:r w:rsidR="008035E4">
        <w:t>11</w:t>
      </w:r>
      <w:r w:rsidR="007E0A17">
        <w:t>]</w:t>
      </w:r>
      <w:r w:rsidR="001B1964" w:rsidRPr="002F1986">
        <w:t xml:space="preserve"> has been just a pilot case where a </w:t>
      </w:r>
      <w:r w:rsidR="007E0A17">
        <w:t>2,200-m</w:t>
      </w:r>
      <w:r w:rsidR="007E0A17" w:rsidRPr="007E0A17">
        <w:rPr>
          <w:vertAlign w:val="superscript"/>
        </w:rPr>
        <w:t>3</w:t>
      </w:r>
      <w:r w:rsidR="007E0A17">
        <w:t xml:space="preserve"> capacity</w:t>
      </w:r>
      <w:r w:rsidR="001B1964" w:rsidRPr="002F1986">
        <w:t xml:space="preserve"> ship with steel pipes onboard “demonstrated that CNG utilization can provide cleaner and cheaper alternative solution for peak shaving purposes”, at least theoretically.</w:t>
      </w:r>
      <w:r w:rsidR="00110485">
        <w:t xml:space="preserve"> </w:t>
      </w:r>
    </w:p>
    <w:p w:rsidR="009B6EA4" w:rsidRPr="002F1986" w:rsidRDefault="00530812" w:rsidP="008727BC">
      <w:r>
        <w:t>The n</w:t>
      </w:r>
      <w:r w:rsidR="00D02155">
        <w:t xml:space="preserve">ew generation </w:t>
      </w:r>
      <w:r w:rsidR="008727BC">
        <w:t xml:space="preserve">of </w:t>
      </w:r>
      <w:r w:rsidR="00D02155">
        <w:t xml:space="preserve">gas containment systems </w:t>
      </w:r>
      <w:r w:rsidR="008727BC">
        <w:t>is light, has</w:t>
      </w:r>
      <w:r w:rsidR="00D02155">
        <w:t xml:space="preserve"> higher specific properties</w:t>
      </w:r>
      <w:r w:rsidR="008727BC">
        <w:t>,</w:t>
      </w:r>
      <w:r w:rsidR="00D02155">
        <w:t xml:space="preserve"> and can weigh as</w:t>
      </w:r>
      <w:r w:rsidR="008727BC">
        <w:t xml:space="preserve"> much as </w:t>
      </w:r>
      <w:r w:rsidR="00A31A7E">
        <w:t>4</w:t>
      </w:r>
      <w:r w:rsidR="008727BC">
        <w:t>0-</w:t>
      </w:r>
      <w:r w:rsidR="00943767">
        <w:t>5</w:t>
      </w:r>
      <w:r w:rsidR="008727BC">
        <w:t>0% less than metal-</w:t>
      </w:r>
      <w:r w:rsidR="00D02155">
        <w:t>based containment syste</w:t>
      </w:r>
      <w:r w:rsidR="008727BC">
        <w:t>m</w:t>
      </w:r>
      <w:r w:rsidR="00D02155">
        <w:t>s</w:t>
      </w:r>
      <w:r w:rsidR="00943767">
        <w:t xml:space="preserve"> for the same external diameter of pressure vessels</w:t>
      </w:r>
      <w:r w:rsidR="00D02155">
        <w:t xml:space="preserve">, thereby increasing transportation capacity and energy density, and lowering the unit cost of transported gas. </w:t>
      </w:r>
      <w:r w:rsidR="00110485" w:rsidRPr="002F1986">
        <w:t xml:space="preserve">Lighter material combinations like </w:t>
      </w:r>
      <w:r w:rsidR="003C33B9">
        <w:t>steel liner wrapped with fibres (</w:t>
      </w:r>
      <w:r w:rsidR="003C33B9" w:rsidRPr="005A6BD6">
        <w:t>Type III</w:t>
      </w:r>
      <w:r w:rsidR="003C33B9">
        <w:t xml:space="preserve">) </w:t>
      </w:r>
      <w:r w:rsidR="003C33B9" w:rsidRPr="005A6BD6">
        <w:t xml:space="preserve">and </w:t>
      </w:r>
      <w:r w:rsidR="003C33B9">
        <w:t>full composites</w:t>
      </w:r>
      <w:r w:rsidR="003C33B9" w:rsidRPr="005A6BD6">
        <w:t xml:space="preserve"> </w:t>
      </w:r>
      <w:r w:rsidR="003C33B9">
        <w:t>(</w:t>
      </w:r>
      <w:r w:rsidR="003C33B9" w:rsidRPr="005A6BD6">
        <w:t xml:space="preserve">Type </w:t>
      </w:r>
      <w:r w:rsidR="003C33B9">
        <w:t xml:space="preserve">IV) </w:t>
      </w:r>
      <w:r w:rsidR="008727BC">
        <w:t>allow production of pressure vessels with diameter up to 2.50 m and length up to 35.0 m.</w:t>
      </w:r>
    </w:p>
    <w:p w:rsidR="00FB4A07" w:rsidRDefault="00FB4A07" w:rsidP="00FB4A07">
      <w:pPr>
        <w:spacing w:line="264" w:lineRule="auto"/>
      </w:pPr>
      <w:r>
        <w:t>S</w:t>
      </w:r>
      <w:r w:rsidRPr="002F1986">
        <w:t xml:space="preserve">everal important advantages </w:t>
      </w:r>
      <w:r>
        <w:t xml:space="preserve">of economic and financial nature can be envisaged </w:t>
      </w:r>
      <w:r w:rsidRPr="002F1986">
        <w:t>for marine CNG projects which can be summarized as follows:</w:t>
      </w:r>
    </w:p>
    <w:p w:rsidR="00FB4A07" w:rsidRPr="00FB4A07" w:rsidRDefault="00FB4A07" w:rsidP="00FB4A07">
      <w:pPr>
        <w:pStyle w:val="Listbul"/>
        <w:tabs>
          <w:tab w:val="clear" w:pos="717"/>
        </w:tabs>
        <w:rPr>
          <w:b/>
        </w:rPr>
      </w:pPr>
      <w:r w:rsidRPr="00FB4A07">
        <w:rPr>
          <w:szCs w:val="20"/>
        </w:rPr>
        <w:lastRenderedPageBreak/>
        <w:t>CNG projects can begin at modest volumes with few ships in the fleet and match growing demand by adding ships. It can be assumed that an additional ship would have about a one-year lead time.</w:t>
      </w:r>
    </w:p>
    <w:p w:rsidR="00FB4A07" w:rsidRPr="00FB4A07" w:rsidRDefault="00FB4A07" w:rsidP="00FB4A07">
      <w:pPr>
        <w:pStyle w:val="Listbul"/>
        <w:tabs>
          <w:tab w:val="clear" w:pos="717"/>
        </w:tabs>
        <w:rPr>
          <w:b/>
        </w:rPr>
      </w:pPr>
      <w:r w:rsidRPr="00FB4A07">
        <w:rPr>
          <w:szCs w:val="20"/>
        </w:rPr>
        <w:t>For CNG ships, loading and unloading from</w:t>
      </w:r>
      <w:r w:rsidR="00E6412A">
        <w:rPr>
          <w:szCs w:val="20"/>
        </w:rPr>
        <w:t xml:space="preserve"> offshore terminals is possible, </w:t>
      </w:r>
      <w:r w:rsidR="00AD5D85">
        <w:rPr>
          <w:szCs w:val="20"/>
        </w:rPr>
        <w:t>thereby</w:t>
      </w:r>
      <w:r w:rsidR="00E6412A">
        <w:rPr>
          <w:szCs w:val="20"/>
        </w:rPr>
        <w:t xml:space="preserve"> </w:t>
      </w:r>
      <w:r w:rsidRPr="00FB4A07">
        <w:rPr>
          <w:szCs w:val="20"/>
        </w:rPr>
        <w:t>moor</w:t>
      </w:r>
      <w:r w:rsidR="00E6412A">
        <w:rPr>
          <w:szCs w:val="20"/>
        </w:rPr>
        <w:t>ing</w:t>
      </w:r>
      <w:r w:rsidRPr="00FB4A07">
        <w:rPr>
          <w:szCs w:val="20"/>
        </w:rPr>
        <w:t xml:space="preserve"> </w:t>
      </w:r>
      <w:r w:rsidR="00E6412A">
        <w:rPr>
          <w:szCs w:val="20"/>
        </w:rPr>
        <w:t>them</w:t>
      </w:r>
      <w:r w:rsidRPr="00FB4A07">
        <w:rPr>
          <w:szCs w:val="20"/>
        </w:rPr>
        <w:t xml:space="preserve"> away fro</w:t>
      </w:r>
      <w:r w:rsidR="00C25D41">
        <w:rPr>
          <w:szCs w:val="20"/>
        </w:rPr>
        <w:t>m populated or industrial areas, and to inject into existing pipeline systems reducing needed costs of compression stations.</w:t>
      </w:r>
    </w:p>
    <w:p w:rsidR="00FB4A07" w:rsidRPr="00FB4A07" w:rsidRDefault="00FB4A07" w:rsidP="00FB4A07">
      <w:pPr>
        <w:pStyle w:val="Listbul"/>
        <w:tabs>
          <w:tab w:val="clear" w:pos="717"/>
        </w:tabs>
        <w:rPr>
          <w:b/>
        </w:rPr>
      </w:pPr>
      <w:r w:rsidRPr="00FB4A07">
        <w:rPr>
          <w:szCs w:val="20"/>
        </w:rPr>
        <w:t>CNG ships operate at ambient temperature so it is not required</w:t>
      </w:r>
      <w:r w:rsidR="00ED688C">
        <w:rPr>
          <w:szCs w:val="20"/>
        </w:rPr>
        <w:t xml:space="preserve"> any complicated loading scheme</w:t>
      </w:r>
      <w:r w:rsidRPr="00FB4A07">
        <w:rPr>
          <w:szCs w:val="20"/>
        </w:rPr>
        <w:t xml:space="preserve"> or refrigerated hold. Emergency depressurization will not result in unsafe low temperature conditions in the ships.</w:t>
      </w:r>
    </w:p>
    <w:p w:rsidR="00FB4A07" w:rsidRPr="00FB4A07" w:rsidRDefault="00FB4A07" w:rsidP="00FB4A07">
      <w:pPr>
        <w:pStyle w:val="Listbul"/>
        <w:tabs>
          <w:tab w:val="clear" w:pos="717"/>
        </w:tabs>
        <w:rPr>
          <w:b/>
        </w:rPr>
      </w:pPr>
      <w:r w:rsidRPr="00FB4A07">
        <w:rPr>
          <w:szCs w:val="20"/>
        </w:rPr>
        <w:t>CNG is a green technology since the energy consumed in a CNG project is about 2.5 less than that in an LNG project.</w:t>
      </w:r>
    </w:p>
    <w:p w:rsidR="001B1F30" w:rsidRPr="00FB4A07" w:rsidRDefault="001B1F30" w:rsidP="00FB4A07">
      <w:pPr>
        <w:pStyle w:val="Listbul"/>
        <w:tabs>
          <w:tab w:val="clear" w:pos="717"/>
        </w:tabs>
        <w:rPr>
          <w:b/>
        </w:rPr>
      </w:pPr>
      <w:r>
        <w:rPr>
          <w:szCs w:val="20"/>
        </w:rPr>
        <w:t xml:space="preserve">Marine CNG allows accelerated monetization of natural gas during the interim period </w:t>
      </w:r>
      <w:r w:rsidR="00566EEA">
        <w:rPr>
          <w:szCs w:val="20"/>
        </w:rPr>
        <w:t>of construction of large LNG facilities or long-distance gas transmission pipeline systems.</w:t>
      </w:r>
    </w:p>
    <w:p w:rsidR="006C5FD7" w:rsidRPr="000D6589" w:rsidRDefault="005A6BD6" w:rsidP="002C47F3">
      <w:pPr>
        <w:pStyle w:val="Heading2"/>
        <w:spacing w:after="120"/>
        <w:ind w:left="0"/>
        <w:rPr>
          <w:lang w:eastAsia="en-US"/>
        </w:rPr>
      </w:pPr>
      <w:r>
        <w:t>The CNG Ship Concept</w:t>
      </w:r>
      <w:r w:rsidR="001C3F15">
        <w:t xml:space="preserve"> and </w:t>
      </w:r>
      <w:r w:rsidR="00E652A1">
        <w:t>Optimal Fleet Composition</w:t>
      </w:r>
    </w:p>
    <w:p w:rsidR="002B0D25" w:rsidRDefault="00F07DF2" w:rsidP="002C47F3">
      <w:pPr>
        <w:pStyle w:val="Listbul"/>
        <w:numPr>
          <w:ilvl w:val="0"/>
          <w:numId w:val="0"/>
        </w:numPr>
      </w:pPr>
      <w:r w:rsidRPr="00FB4A07">
        <w:rPr>
          <w:szCs w:val="20"/>
        </w:rPr>
        <w:t>Since at least 85% of the</w:t>
      </w:r>
      <w:r w:rsidR="002B0D25">
        <w:rPr>
          <w:szCs w:val="20"/>
        </w:rPr>
        <w:t xml:space="preserve"> overall</w:t>
      </w:r>
      <w:r w:rsidRPr="00FB4A07">
        <w:rPr>
          <w:szCs w:val="20"/>
        </w:rPr>
        <w:t xml:space="preserve"> investment in a CNG project is in ships, </w:t>
      </w:r>
      <w:r>
        <w:rPr>
          <w:szCs w:val="20"/>
        </w:rPr>
        <w:t xml:space="preserve">it is mandatory to optimise </w:t>
      </w:r>
      <w:r w:rsidR="00900691">
        <w:rPr>
          <w:szCs w:val="20"/>
        </w:rPr>
        <w:t xml:space="preserve">ship design and </w:t>
      </w:r>
      <w:r>
        <w:rPr>
          <w:szCs w:val="20"/>
        </w:rPr>
        <w:t xml:space="preserve">fleet composition. </w:t>
      </w:r>
      <w:r w:rsidR="00E652A1" w:rsidRPr="002F1986">
        <w:t>Determination of the ship overall voyage time is integral</w:t>
      </w:r>
      <w:r w:rsidR="005B2FAD">
        <w:t xml:space="preserve"> in determining the </w:t>
      </w:r>
      <w:r w:rsidR="00E652A1" w:rsidRPr="002F1986">
        <w:t xml:space="preserve">number of </w:t>
      </w:r>
      <w:r w:rsidR="005B2FAD">
        <w:t xml:space="preserve">sister </w:t>
      </w:r>
      <w:r w:rsidR="00E652A1" w:rsidRPr="002F1986">
        <w:t xml:space="preserve">ships </w:t>
      </w:r>
      <w:r w:rsidR="005B2FAD">
        <w:t>composing</w:t>
      </w:r>
      <w:r w:rsidR="00E652A1" w:rsidRPr="002F1986">
        <w:t xml:space="preserve"> the </w:t>
      </w:r>
      <w:r w:rsidR="005B2FAD">
        <w:t xml:space="preserve">optimal </w:t>
      </w:r>
      <w:r w:rsidR="00E652A1" w:rsidRPr="002F1986">
        <w:t>fleet</w:t>
      </w:r>
      <w:r w:rsidR="005B2FAD">
        <w:t>, their capacity and size, and the economical service speed</w:t>
      </w:r>
      <w:r w:rsidR="005B2FAD" w:rsidRPr="005B2FAD">
        <w:t xml:space="preserve"> </w:t>
      </w:r>
      <w:r w:rsidR="005B2FAD">
        <w:t>on the basis of the log</w:t>
      </w:r>
      <w:r w:rsidR="00A871FD">
        <w:t>istics equations reported in [</w:t>
      </w:r>
      <w:r w:rsidR="008035E4">
        <w:t>12</w:t>
      </w:r>
      <w:r w:rsidR="005B2FAD">
        <w:t>]</w:t>
      </w:r>
      <w:r w:rsidR="00E652A1" w:rsidRPr="002F1986">
        <w:t xml:space="preserve">. To assess the economic cost of a marine CNG fleet, the built-in code for selection of the optimal fleet composition allows to tailor the fleet for </w:t>
      </w:r>
      <w:r w:rsidR="002B0D25">
        <w:t>any</w:t>
      </w:r>
      <w:r w:rsidR="00E652A1" w:rsidRPr="002F1986">
        <w:t xml:space="preserve"> specific CNG service. </w:t>
      </w:r>
      <w:r w:rsidR="005A6BD6" w:rsidRPr="005A6BD6">
        <w:t xml:space="preserve">The search for the optimum CNG </w:t>
      </w:r>
      <w:r w:rsidR="00526B9A">
        <w:t>ship</w:t>
      </w:r>
      <w:r w:rsidR="005A6BD6" w:rsidRPr="005A6BD6">
        <w:t xml:space="preserve"> </w:t>
      </w:r>
      <w:r w:rsidR="00526B9A">
        <w:t>requires identification of</w:t>
      </w:r>
      <w:r w:rsidR="002B0D25">
        <w:t xml:space="preserve"> the</w:t>
      </w:r>
      <w:r w:rsidR="005A6BD6" w:rsidRPr="005A6BD6">
        <w:t xml:space="preserve"> </w:t>
      </w:r>
      <w:r w:rsidR="005A6BD6">
        <w:t>fleet</w:t>
      </w:r>
      <w:r w:rsidR="00526B9A">
        <w:t xml:space="preserve"> </w:t>
      </w:r>
      <w:r w:rsidR="005A6BD6" w:rsidRPr="005A6BD6">
        <w:t xml:space="preserve">that </w:t>
      </w:r>
      <w:r w:rsidR="00526B9A">
        <w:t>offers the lowest shipping and overall tariff for a given expected rate of return from a set of feasible fleets</w:t>
      </w:r>
      <w:r w:rsidR="002B0D25">
        <w:t>.</w:t>
      </w:r>
    </w:p>
    <w:p w:rsidR="001C3F15" w:rsidRPr="00F07DF2" w:rsidRDefault="001C3F15" w:rsidP="002B0D25">
      <w:pPr>
        <w:rPr>
          <w:b/>
        </w:rPr>
      </w:pPr>
      <w:r w:rsidRPr="005A6BD6">
        <w:t xml:space="preserve">Since CNG </w:t>
      </w:r>
      <w:r>
        <w:t>ship</w:t>
      </w:r>
      <w:r w:rsidRPr="005A6BD6">
        <w:t xml:space="preserve"> design is a new research field for </w:t>
      </w:r>
      <w:r>
        <w:t>n</w:t>
      </w:r>
      <w:r w:rsidRPr="005A6BD6">
        <w:t xml:space="preserve">aval </w:t>
      </w:r>
      <w:r>
        <w:t>a</w:t>
      </w:r>
      <w:r w:rsidRPr="005A6BD6">
        <w:t>rchitect</w:t>
      </w:r>
      <w:r>
        <w:t>s</w:t>
      </w:r>
      <w:r w:rsidRPr="005A6BD6">
        <w:t xml:space="preserve">, the concept design phase assumes an even </w:t>
      </w:r>
      <w:r w:rsidR="002B0D25">
        <w:t>higher importance compared to</w:t>
      </w:r>
      <w:r w:rsidRPr="005A6BD6">
        <w:t xml:space="preserve"> projects</w:t>
      </w:r>
      <w:r w:rsidR="002B0D25">
        <w:t xml:space="preserve"> of well-known ship types</w:t>
      </w:r>
      <w:r w:rsidRPr="005A6BD6">
        <w:t xml:space="preserve">, not only </w:t>
      </w:r>
      <w:r w:rsidR="002B0D25">
        <w:t>as regards</w:t>
      </w:r>
      <w:r w:rsidRPr="005A6BD6">
        <w:t xml:space="preserve"> the main parameters determination and performances assessment, but also for </w:t>
      </w:r>
      <w:r>
        <w:t>multiobjective optimisation of the main ship</w:t>
      </w:r>
      <w:r w:rsidRPr="005A6BD6">
        <w:t xml:space="preserve"> subsystems</w:t>
      </w:r>
      <w:r>
        <w:t xml:space="preserve"> such as midship section structure, gas containment system</w:t>
      </w:r>
      <w:r w:rsidR="002B0D25">
        <w:t>,</w:t>
      </w:r>
      <w:r>
        <w:t xml:space="preserve"> and propulsion system. In particular, effects of different concepts for the afterbody hull form and propulsion system, e.g. twin-skeg versus azipod solution, on ship size and shipping tariff are fully described in </w:t>
      </w:r>
      <w:r w:rsidR="005B2FAD">
        <w:t>[</w:t>
      </w:r>
      <w:r w:rsidR="008035E4">
        <w:t>1</w:t>
      </w:r>
      <w:r w:rsidR="002D7649">
        <w:t>3</w:t>
      </w:r>
      <w:r w:rsidR="005B2FAD">
        <w:t>]</w:t>
      </w:r>
      <w:r>
        <w:t>.</w:t>
      </w:r>
    </w:p>
    <w:p w:rsidR="008D3797" w:rsidRDefault="008D3797" w:rsidP="008D3797">
      <w:r>
        <w:t>A CNG</w:t>
      </w:r>
      <w:r w:rsidRPr="005A6BD6">
        <w:t xml:space="preserve"> ship </w:t>
      </w:r>
      <w:r>
        <w:t>does</w:t>
      </w:r>
      <w:r w:rsidRPr="005A6BD6">
        <w:t xml:space="preserve"> not require sophisticated processing to maintain the gas in th</w:t>
      </w:r>
      <w:r>
        <w:t>e containment system as it</w:t>
      </w:r>
      <w:r w:rsidRPr="005A6BD6">
        <w:t xml:space="preserve"> </w:t>
      </w:r>
      <w:r>
        <w:t xml:space="preserve">is </w:t>
      </w:r>
      <w:r w:rsidRPr="005A6BD6">
        <w:t xml:space="preserve">stored under ambient temperature </w:t>
      </w:r>
      <w:r>
        <w:t xml:space="preserve">(no insulation is needed) at a pressure up to 250 bar </w:t>
      </w:r>
      <w:r w:rsidRPr="005A6BD6">
        <w:t xml:space="preserve">in vertical </w:t>
      </w:r>
      <w:r>
        <w:t>high pressure vessels (PV)</w:t>
      </w:r>
      <w:r w:rsidRPr="005A6BD6">
        <w:t xml:space="preserve">. The </w:t>
      </w:r>
      <w:r w:rsidR="002B0D25">
        <w:t>PVs</w:t>
      </w:r>
      <w:r w:rsidRPr="005A6BD6">
        <w:t xml:space="preserve">, which are based on several patents, </w:t>
      </w:r>
      <w:r>
        <w:t>have been</w:t>
      </w:r>
      <w:r w:rsidRPr="005A6BD6">
        <w:t xml:space="preserve"> </w:t>
      </w:r>
      <w:r>
        <w:t>design</w:t>
      </w:r>
      <w:r w:rsidRPr="005A6BD6">
        <w:t>ed according to the principles and requirements laid down in the ABS and DNV-GL rules for CNG carriers</w:t>
      </w:r>
      <w:r>
        <w:t xml:space="preserve"> and certified by ASME</w:t>
      </w:r>
      <w:r w:rsidRPr="005A6BD6">
        <w:t>.</w:t>
      </w:r>
      <w:r w:rsidR="002B0D25">
        <w:t xml:space="preserve"> High</w:t>
      </w:r>
      <w:r w:rsidR="002B0D25" w:rsidRPr="002F1986">
        <w:t xml:space="preserve"> pressure (250 bars)</w:t>
      </w:r>
      <w:r w:rsidR="002B0D25">
        <w:t xml:space="preserve"> in the pressure vessels</w:t>
      </w:r>
      <w:r w:rsidR="002B0D25" w:rsidRPr="002F1986">
        <w:t xml:space="preserve"> are far beyond the scope for pressure vessel type</w:t>
      </w:r>
      <w:r w:rsidR="002B0D25">
        <w:t>-</w:t>
      </w:r>
      <w:r w:rsidR="002B0D25" w:rsidRPr="002F1986">
        <w:t>C tanks</w:t>
      </w:r>
      <w:r w:rsidR="002B0D25">
        <w:t xml:space="preserve"> as</w:t>
      </w:r>
      <w:r w:rsidR="002B0D25" w:rsidRPr="002F1986">
        <w:t xml:space="preserve"> defined in the International Gas Carrier </w:t>
      </w:r>
      <w:r w:rsidR="002B0D25">
        <w:t>C</w:t>
      </w:r>
      <w:r w:rsidR="002B0D25" w:rsidRPr="002F1986">
        <w:t xml:space="preserve">ode (IGC). This </w:t>
      </w:r>
      <w:r w:rsidR="002B0D25">
        <w:t xml:space="preserve">drawback </w:t>
      </w:r>
      <w:r w:rsidR="002B0D25" w:rsidRPr="002F1986">
        <w:t>has been filled by the DNV</w:t>
      </w:r>
      <w:r w:rsidR="002B0D25">
        <w:t>-GL</w:t>
      </w:r>
      <w:r w:rsidR="002B0D25" w:rsidRPr="002F1986">
        <w:t xml:space="preserve"> Class Rules </w:t>
      </w:r>
      <w:r w:rsidR="002B0D25">
        <w:t xml:space="preserve">at least partially </w:t>
      </w:r>
      <w:r w:rsidR="002B0D25" w:rsidRPr="002F1986">
        <w:t xml:space="preserve">for Compressed Natural Gas Carriers </w:t>
      </w:r>
      <w:r w:rsidR="002B0D25">
        <w:t>[</w:t>
      </w:r>
      <w:r w:rsidR="00B30800">
        <w:t>14</w:t>
      </w:r>
      <w:r w:rsidR="002B0D25">
        <w:t>]</w:t>
      </w:r>
      <w:r w:rsidR="002B0D25" w:rsidRPr="002F1986">
        <w:t xml:space="preserve">, following an equivalent Formal Safety Assessment (FSA) approach </w:t>
      </w:r>
      <w:r w:rsidR="002B0D25">
        <w:t>[1</w:t>
      </w:r>
      <w:r w:rsidR="00B30800">
        <w:t>5</w:t>
      </w:r>
      <w:r w:rsidR="002B0D25">
        <w:t xml:space="preserve">]. </w:t>
      </w:r>
      <w:r>
        <w:t>Similar to large LNG and SSLNG carriers, CNG ship</w:t>
      </w:r>
      <w:r w:rsidR="002B0D25">
        <w:t>s</w:t>
      </w:r>
      <w:r>
        <w:t xml:space="preserve"> </w:t>
      </w:r>
      <w:r w:rsidR="002B0D25">
        <w:t>are</w:t>
      </w:r>
      <w:r w:rsidRPr="002F1986">
        <w:t xml:space="preserve"> </w:t>
      </w:r>
      <w:r w:rsidR="002B0D25">
        <w:t>design</w:t>
      </w:r>
      <w:r w:rsidRPr="002F1986">
        <w:t xml:space="preserve">ed to be fuelled with natural </w:t>
      </w:r>
      <w:r>
        <w:t>gas</w:t>
      </w:r>
      <w:r w:rsidRPr="003C33B9">
        <w:t xml:space="preserve"> </w:t>
      </w:r>
      <w:r>
        <w:t>for purposes which may include propulsion, electrical power generation or steam generation, thereby</w:t>
      </w:r>
      <w:r w:rsidRPr="002F1986">
        <w:t xml:space="preserve"> reduc</w:t>
      </w:r>
      <w:r>
        <w:t>ing</w:t>
      </w:r>
      <w:r w:rsidRPr="002F1986">
        <w:t xml:space="preserve"> the emissions of nitrogen oxides, carbon dioxide, sulphur an</w:t>
      </w:r>
      <w:r>
        <w:t>d particles to the environment</w:t>
      </w:r>
      <w:r w:rsidR="00142961">
        <w:t>.</w:t>
      </w:r>
    </w:p>
    <w:p w:rsidR="00142961" w:rsidRDefault="00142961" w:rsidP="00142961">
      <w:r w:rsidRPr="005A6BD6">
        <w:t xml:space="preserve">Contrary to other designs which have seen the CNG ships as a combination of consolidated ship concepts (for example, merge of an oil tanker with a container ship), </w:t>
      </w:r>
      <w:r w:rsidRPr="005A6BD6">
        <w:lastRenderedPageBreak/>
        <w:t xml:space="preserve">the </w:t>
      </w:r>
      <w:r>
        <w:t xml:space="preserve">CNG </w:t>
      </w:r>
      <w:r w:rsidRPr="005A6BD6">
        <w:t xml:space="preserve">ship </w:t>
      </w:r>
      <w:r>
        <w:t xml:space="preserve">concept </w:t>
      </w:r>
      <w:r w:rsidRPr="005A6BD6">
        <w:t xml:space="preserve">is conceived as a “hydrodynamic and functional dress” around the </w:t>
      </w:r>
      <w:r>
        <w:t>PV</w:t>
      </w:r>
      <w:r w:rsidRPr="005A6BD6">
        <w:t>s stored in modular hold sp</w:t>
      </w:r>
      <w:r>
        <w:t>aces [</w:t>
      </w:r>
      <w:r w:rsidR="00B30800">
        <w:t>1</w:t>
      </w:r>
      <w:r w:rsidR="002D7649">
        <w:t>3</w:t>
      </w:r>
      <w:r>
        <w:t xml:space="preserve">]. </w:t>
      </w:r>
    </w:p>
    <w:p w:rsidR="001C3F15" w:rsidRDefault="002840F7" w:rsidP="008D3797">
      <w:r>
        <w:t xml:space="preserve">For a given transport scenario established in terms of annual gas throughput, distance from wells </w:t>
      </w:r>
      <w:r w:rsidR="00142961">
        <w:t xml:space="preserve">to receiving terminal, </w:t>
      </w:r>
      <w:r>
        <w:t>gas loading/offloading rates,</w:t>
      </w:r>
      <w:r w:rsidR="00142961">
        <w:t xml:space="preserve"> stand-by time, connection/disconnection time on/from buoys,</w:t>
      </w:r>
      <w:r>
        <w:t xml:space="preserve"> the selection process for the optimal fleet determines the “best possible” CNG ship yielding the number of ships in the fleet, </w:t>
      </w:r>
      <w:r w:rsidR="001C3F15">
        <w:t>gas capacity (deadweight) and optimal service speed simultaneously by means of a multiattribute decision-making approach.</w:t>
      </w:r>
    </w:p>
    <w:p w:rsidR="00EF2478" w:rsidRDefault="00EF2478" w:rsidP="00EF2478">
      <w:pPr>
        <w:rPr>
          <w:lang w:val="en" w:eastAsia="it-IT"/>
        </w:rPr>
      </w:pPr>
      <w:r>
        <w:rPr>
          <w:lang w:val="en" w:eastAsia="it-IT"/>
        </w:rPr>
        <w:t xml:space="preserve">A decision-based </w:t>
      </w:r>
      <w:r w:rsidR="00142961">
        <w:rPr>
          <w:lang w:val="en" w:eastAsia="it-IT"/>
        </w:rPr>
        <w:t xml:space="preserve">design (DBD) </w:t>
      </w:r>
      <w:r>
        <w:rPr>
          <w:lang w:val="en" w:eastAsia="it-IT"/>
        </w:rPr>
        <w:t>scheme</w:t>
      </w:r>
      <w:r w:rsidRPr="00024A51">
        <w:rPr>
          <w:lang w:val="en" w:eastAsia="it-IT"/>
        </w:rPr>
        <w:t xml:space="preserve"> </w:t>
      </w:r>
      <w:r>
        <w:rPr>
          <w:lang w:val="en" w:eastAsia="it-IT"/>
        </w:rPr>
        <w:t>was</w:t>
      </w:r>
      <w:r w:rsidRPr="00024A51">
        <w:rPr>
          <w:lang w:val="en" w:eastAsia="it-IT"/>
        </w:rPr>
        <w:t xml:space="preserve"> developed </w:t>
      </w:r>
      <w:r w:rsidR="003466D1">
        <w:rPr>
          <w:lang w:val="en" w:eastAsia="it-IT"/>
        </w:rPr>
        <w:t xml:space="preserve">by the author </w:t>
      </w:r>
      <w:r w:rsidRPr="00024A51">
        <w:rPr>
          <w:lang w:val="en" w:eastAsia="it-IT"/>
        </w:rPr>
        <w:t xml:space="preserve">to improve the </w:t>
      </w:r>
      <w:r w:rsidR="003466D1" w:rsidRPr="00024A51">
        <w:rPr>
          <w:lang w:val="en" w:eastAsia="it-IT"/>
        </w:rPr>
        <w:t>efficiency</w:t>
      </w:r>
      <w:r w:rsidR="003466D1">
        <w:rPr>
          <w:lang w:val="en" w:eastAsia="it-IT"/>
        </w:rPr>
        <w:t xml:space="preserve"> and competitiveness </w:t>
      </w:r>
      <w:r w:rsidRPr="00024A51">
        <w:rPr>
          <w:lang w:val="en" w:eastAsia="it-IT"/>
        </w:rPr>
        <w:t xml:space="preserve">of </w:t>
      </w:r>
      <w:r>
        <w:rPr>
          <w:lang w:val="en" w:eastAsia="it-IT"/>
        </w:rPr>
        <w:t xml:space="preserve">CNG </w:t>
      </w:r>
      <w:r w:rsidRPr="00024A51">
        <w:rPr>
          <w:lang w:val="en" w:eastAsia="it-IT"/>
        </w:rPr>
        <w:t>shipping</w:t>
      </w:r>
      <w:r w:rsidR="003466D1">
        <w:rPr>
          <w:lang w:val="en" w:eastAsia="it-IT"/>
        </w:rPr>
        <w:t>,</w:t>
      </w:r>
      <w:r>
        <w:rPr>
          <w:lang w:val="en" w:eastAsia="it-IT"/>
        </w:rPr>
        <w:t xml:space="preserve"> aimed at</w:t>
      </w:r>
      <w:r w:rsidRPr="00024A51">
        <w:rPr>
          <w:lang w:val="en" w:eastAsia="it-IT"/>
        </w:rPr>
        <w:t xml:space="preserve"> </w:t>
      </w:r>
      <w:r>
        <w:rPr>
          <w:lang w:val="en" w:eastAsia="it-IT"/>
        </w:rPr>
        <w:t xml:space="preserve">reducing the overall capital investment and operating expenditure. </w:t>
      </w:r>
      <w:r w:rsidR="003466D1">
        <w:rPr>
          <w:lang w:val="en" w:eastAsia="it-IT"/>
        </w:rPr>
        <w:t>A</w:t>
      </w:r>
      <w:r>
        <w:rPr>
          <w:lang w:val="en" w:eastAsia="it-IT"/>
        </w:rPr>
        <w:t xml:space="preserve"> </w:t>
      </w:r>
      <w:r w:rsidR="003466D1">
        <w:rPr>
          <w:lang w:val="en" w:eastAsia="it-IT"/>
        </w:rPr>
        <w:t>number</w:t>
      </w:r>
      <w:r>
        <w:rPr>
          <w:lang w:val="en" w:eastAsia="it-IT"/>
        </w:rPr>
        <w:t xml:space="preserve"> of databases </w:t>
      </w:r>
      <w:r w:rsidRPr="00024A51">
        <w:rPr>
          <w:lang w:val="en" w:eastAsia="it-IT"/>
        </w:rPr>
        <w:t xml:space="preserve">of </w:t>
      </w:r>
      <w:r>
        <w:rPr>
          <w:lang w:val="en" w:eastAsia="it-IT"/>
        </w:rPr>
        <w:t xml:space="preserve">CNG </w:t>
      </w:r>
      <w:r w:rsidRPr="00024A51">
        <w:rPr>
          <w:lang w:val="en" w:eastAsia="it-IT"/>
        </w:rPr>
        <w:t>ships</w:t>
      </w:r>
      <w:r>
        <w:rPr>
          <w:lang w:val="en" w:eastAsia="it-IT"/>
        </w:rPr>
        <w:t xml:space="preserve"> of different capacity (from 50 to 950 mmscf) </w:t>
      </w:r>
      <w:r w:rsidR="00DE7139">
        <w:rPr>
          <w:lang w:val="en" w:eastAsia="it-IT"/>
        </w:rPr>
        <w:t>and speed (from 15 to 24 kn) were</w:t>
      </w:r>
      <w:r>
        <w:rPr>
          <w:lang w:val="en" w:eastAsia="it-IT"/>
        </w:rPr>
        <w:t xml:space="preserve"> built off-line at conceptual design level, which provide technical and economic information sufficient </w:t>
      </w:r>
      <w:r w:rsidRPr="00024A51">
        <w:rPr>
          <w:lang w:val="en" w:eastAsia="it-IT"/>
        </w:rPr>
        <w:t xml:space="preserve">to optimize the </w:t>
      </w:r>
      <w:r>
        <w:rPr>
          <w:lang w:val="en" w:eastAsia="it-IT"/>
        </w:rPr>
        <w:t>fleet composition. Each combination of any type of pressure vessels with a</w:t>
      </w:r>
      <w:r w:rsidR="00A871FD">
        <w:rPr>
          <w:lang w:val="en" w:eastAsia="it-IT"/>
        </w:rPr>
        <w:t xml:space="preserve"> different propulsion system [1</w:t>
      </w:r>
      <w:r w:rsidR="006A0FEC">
        <w:rPr>
          <w:lang w:val="en" w:eastAsia="it-IT"/>
        </w:rPr>
        <w:t>6</w:t>
      </w:r>
      <w:r>
        <w:rPr>
          <w:lang w:val="en" w:eastAsia="it-IT"/>
        </w:rPr>
        <w:t xml:space="preserve">] compels to build a dedicated database of CNG ships. </w:t>
      </w:r>
      <w:r w:rsidR="00142961">
        <w:rPr>
          <w:lang w:val="en" w:eastAsia="it-IT"/>
        </w:rPr>
        <w:t xml:space="preserve">Selection of the optimal fleet is performed through generation of a finite number </w:t>
      </w:r>
      <w:r>
        <w:rPr>
          <w:lang w:val="en" w:eastAsia="it-IT"/>
        </w:rPr>
        <w:t xml:space="preserve">of fleets </w:t>
      </w:r>
      <w:r w:rsidR="00142961">
        <w:rPr>
          <w:lang w:val="en" w:eastAsia="it-IT"/>
        </w:rPr>
        <w:t xml:space="preserve">feasible </w:t>
      </w:r>
      <w:r>
        <w:rPr>
          <w:lang w:val="en" w:eastAsia="it-IT"/>
        </w:rPr>
        <w:t xml:space="preserve">from the logistics viewpoint and </w:t>
      </w:r>
      <w:r w:rsidR="00142961">
        <w:rPr>
          <w:lang w:val="en" w:eastAsia="it-IT"/>
        </w:rPr>
        <w:t xml:space="preserve">application of a </w:t>
      </w:r>
      <w:r>
        <w:rPr>
          <w:lang w:val="en" w:eastAsia="it-IT"/>
        </w:rPr>
        <w:t xml:space="preserve">ranking </w:t>
      </w:r>
      <w:r w:rsidR="00DE7139">
        <w:rPr>
          <w:lang w:val="en" w:eastAsia="it-IT"/>
        </w:rPr>
        <w:t>procedure whe</w:t>
      </w:r>
      <w:r w:rsidR="00142961">
        <w:rPr>
          <w:lang w:val="en" w:eastAsia="it-IT"/>
        </w:rPr>
        <w:t xml:space="preserve">re higher </w:t>
      </w:r>
      <w:r>
        <w:rPr>
          <w:lang w:val="en" w:eastAsia="it-IT"/>
        </w:rPr>
        <w:t xml:space="preserve">priority </w:t>
      </w:r>
      <w:r w:rsidR="00490148">
        <w:rPr>
          <w:lang w:val="en" w:eastAsia="it-IT"/>
        </w:rPr>
        <w:t>is given to</w:t>
      </w:r>
      <w:r w:rsidRPr="00024A51">
        <w:rPr>
          <w:lang w:val="en" w:eastAsia="it-IT"/>
        </w:rPr>
        <w:t xml:space="preserve"> </w:t>
      </w:r>
      <w:r>
        <w:rPr>
          <w:lang w:val="en" w:eastAsia="it-IT"/>
        </w:rPr>
        <w:t>the CNG</w:t>
      </w:r>
      <w:r w:rsidRPr="00024A51">
        <w:rPr>
          <w:lang w:val="en" w:eastAsia="it-IT"/>
        </w:rPr>
        <w:t xml:space="preserve"> shipping </w:t>
      </w:r>
      <w:r>
        <w:rPr>
          <w:lang w:val="en" w:eastAsia="it-IT"/>
        </w:rPr>
        <w:t>tariff</w:t>
      </w:r>
      <w:r w:rsidRPr="00024A51">
        <w:rPr>
          <w:lang w:val="en" w:eastAsia="it-IT"/>
        </w:rPr>
        <w:t xml:space="preserve">. </w:t>
      </w:r>
      <w:r>
        <w:rPr>
          <w:lang w:val="en" w:eastAsia="it-IT"/>
        </w:rPr>
        <w:t>To this end</w:t>
      </w:r>
      <w:r w:rsidRPr="00024A51">
        <w:rPr>
          <w:lang w:val="en" w:eastAsia="it-IT"/>
        </w:rPr>
        <w:t xml:space="preserve">, </w:t>
      </w:r>
      <w:r w:rsidR="00142961">
        <w:rPr>
          <w:lang w:val="en" w:eastAsia="it-IT"/>
        </w:rPr>
        <w:t xml:space="preserve">the DBD scheme </w:t>
      </w:r>
      <w:r>
        <w:rPr>
          <w:lang w:val="en" w:eastAsia="it-IT"/>
        </w:rPr>
        <w:t xml:space="preserve">integrates the logistics strategy with the menu of CNG ships </w:t>
      </w:r>
      <w:r w:rsidRPr="00024A51">
        <w:rPr>
          <w:lang w:val="en" w:eastAsia="it-IT"/>
        </w:rPr>
        <w:t xml:space="preserve">to solve the </w:t>
      </w:r>
      <w:r>
        <w:rPr>
          <w:lang w:val="en" w:eastAsia="it-IT"/>
        </w:rPr>
        <w:t xml:space="preserve">decision-making </w:t>
      </w:r>
      <w:r w:rsidRPr="00024A51">
        <w:rPr>
          <w:lang w:val="en" w:eastAsia="it-IT"/>
        </w:rPr>
        <w:t>model</w:t>
      </w:r>
      <w:r w:rsidR="00A871FD">
        <w:rPr>
          <w:lang w:val="en" w:eastAsia="it-IT"/>
        </w:rPr>
        <w:t xml:space="preserve"> [</w:t>
      </w:r>
      <w:r w:rsidR="00B30800">
        <w:rPr>
          <w:lang w:val="en" w:eastAsia="it-IT"/>
        </w:rPr>
        <w:t>1</w:t>
      </w:r>
      <w:r w:rsidR="006A0FEC">
        <w:rPr>
          <w:lang w:val="en" w:eastAsia="it-IT"/>
        </w:rPr>
        <w:t>7</w:t>
      </w:r>
      <w:r w:rsidR="00142961">
        <w:rPr>
          <w:lang w:val="en" w:eastAsia="it-IT"/>
        </w:rPr>
        <w:t xml:space="preserve">] for both hub-and-spoke and </w:t>
      </w:r>
      <w:r>
        <w:rPr>
          <w:lang w:val="en" w:eastAsia="it-IT"/>
        </w:rPr>
        <w:t>milk-run distribution patterns as well as for continuous-continuous, continuous-interrupted, and interrupted-interrupted services.</w:t>
      </w:r>
    </w:p>
    <w:p w:rsidR="00766082" w:rsidRDefault="00AA53D2" w:rsidP="007451B7">
      <w:pPr>
        <w:spacing w:after="80"/>
      </w:pPr>
      <w:r>
        <w:rPr>
          <w:lang w:val="en" w:eastAsia="it-IT"/>
        </w:rPr>
        <w:t>Among several studies carried out on the subject, only some results concerning the simulation of the Z</w:t>
      </w:r>
      <w:r w:rsidR="00922B88">
        <w:rPr>
          <w:szCs w:val="20"/>
        </w:rPr>
        <w:t>ö</w:t>
      </w:r>
      <w:r w:rsidR="001A3442">
        <w:rPr>
          <w:lang w:val="en" w:eastAsia="it-IT"/>
        </w:rPr>
        <w:t>hr-Ravenna CNG shipping</w:t>
      </w:r>
      <w:r>
        <w:rPr>
          <w:lang w:val="en" w:eastAsia="it-IT"/>
        </w:rPr>
        <w:t xml:space="preserve"> for a continuous-continuous service required to achieve a 12% IRR, are </w:t>
      </w:r>
      <w:r>
        <w:t xml:space="preserve">illustrated in Figure 1 as energy </w:t>
      </w:r>
      <w:r w:rsidR="003466D1">
        <w:t xml:space="preserve">unit </w:t>
      </w:r>
      <w:r>
        <w:t>tariff versus ship capacity for different terms of contract</w:t>
      </w:r>
      <w:r w:rsidR="00563402">
        <w:t xml:space="preserve"> (15 </w:t>
      </w:r>
      <w:r w:rsidR="00AD5EE9">
        <w:t>v</w:t>
      </w:r>
      <w:r w:rsidR="00563402">
        <w:t>ersus 20 years)</w:t>
      </w:r>
      <w:r>
        <w:t xml:space="preserve">. Each curve is related to a specific gas volume to deliver on an annual basis, where the related minimum </w:t>
      </w:r>
      <w:r w:rsidR="005B2436">
        <w:t>(the lowest tariff) corresponds to the optimal combination of</w:t>
      </w:r>
      <w:r>
        <w:t xml:space="preserve"> </w:t>
      </w:r>
      <w:r w:rsidR="005B2436">
        <w:t xml:space="preserve">ship </w:t>
      </w:r>
      <w:r>
        <w:t xml:space="preserve">capacity and service speed. </w:t>
      </w:r>
      <w:r w:rsidR="00AD5EE9">
        <w:t>Points on each curve denote service speeds, here ranging from 15 to 22 knots.</w:t>
      </w:r>
      <w:r w:rsidR="00177CC2" w:rsidRPr="00177CC2">
        <w:t xml:space="preserve"> </w:t>
      </w:r>
      <w:r w:rsidR="00177CC2">
        <w:t>It is clear that</w:t>
      </w:r>
      <w:r w:rsidR="00177CC2" w:rsidRPr="0085799D">
        <w:t xml:space="preserve"> </w:t>
      </w:r>
      <w:r w:rsidR="00177CC2">
        <w:t>when the gas volume increases also the number of ships in the fleet increases with a nonlinear reduction of the tariff.</w:t>
      </w:r>
    </w:p>
    <w:p w:rsidR="00AA53D2" w:rsidRDefault="007451B7" w:rsidP="00AA53D2">
      <w:pPr>
        <w:spacing w:before="80"/>
        <w:ind w:firstLine="0"/>
        <w:jc w:val="center"/>
      </w:pPr>
      <w:r w:rsidRPr="007451B7">
        <w:rPr>
          <w:noProof/>
          <w:lang w:val="it-IT" w:eastAsia="it-IT"/>
        </w:rPr>
        <w:drawing>
          <wp:inline distT="0" distB="0" distL="0" distR="0">
            <wp:extent cx="2433681" cy="1286224"/>
            <wp:effectExtent l="0" t="0" r="5080" b="9525"/>
            <wp:docPr id="6" name="Picture 6" descr="D:\cng\graphs_nav\tariff-capacity-15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ng\graphs_nav\tariff-capacity-15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9121" cy="1326095"/>
                    </a:xfrm>
                    <a:prstGeom prst="rect">
                      <a:avLst/>
                    </a:prstGeom>
                    <a:noFill/>
                    <a:ln>
                      <a:noFill/>
                    </a:ln>
                  </pic:spPr>
                </pic:pic>
              </a:graphicData>
            </a:graphic>
          </wp:inline>
        </w:drawing>
      </w:r>
    </w:p>
    <w:p w:rsidR="00EF2478" w:rsidRPr="0046732F" w:rsidRDefault="00A42742" w:rsidP="00AA53D2">
      <w:pPr>
        <w:spacing w:before="80"/>
        <w:ind w:firstLine="0"/>
        <w:jc w:val="center"/>
        <w:rPr>
          <w:b/>
        </w:rPr>
      </w:pPr>
      <w:r w:rsidRPr="0046732F">
        <w:rPr>
          <w:b/>
          <w:noProof/>
          <w:lang w:val="it-IT" w:eastAsia="it-IT"/>
        </w:rPr>
        <w:drawing>
          <wp:inline distT="0" distB="0" distL="0" distR="0">
            <wp:extent cx="2459558" cy="1299898"/>
            <wp:effectExtent l="0" t="0" r="0" b="0"/>
            <wp:docPr id="9" name="Picture 9" descr="D:\cng\graphs_nav\tariff-capacity-20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ng\graphs_nav\tariff-capacity-20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399" cy="1364292"/>
                    </a:xfrm>
                    <a:prstGeom prst="rect">
                      <a:avLst/>
                    </a:prstGeom>
                    <a:noFill/>
                    <a:ln>
                      <a:noFill/>
                    </a:ln>
                  </pic:spPr>
                </pic:pic>
              </a:graphicData>
            </a:graphic>
          </wp:inline>
        </w:drawing>
      </w:r>
    </w:p>
    <w:p w:rsidR="00EF2478" w:rsidRDefault="00EF2478" w:rsidP="00E41681">
      <w:pPr>
        <w:spacing w:after="80"/>
        <w:ind w:firstLine="0"/>
        <w:jc w:val="center"/>
        <w:rPr>
          <w:sz w:val="16"/>
          <w:szCs w:val="16"/>
        </w:rPr>
      </w:pPr>
      <w:r w:rsidRPr="0046732F">
        <w:rPr>
          <w:b/>
          <w:sz w:val="16"/>
          <w:szCs w:val="16"/>
        </w:rPr>
        <w:t>Figure 1.</w:t>
      </w:r>
      <w:r>
        <w:rPr>
          <w:sz w:val="16"/>
          <w:szCs w:val="16"/>
        </w:rPr>
        <w:t xml:space="preserve"> Sensitivity analysis on terms of project (15 vs. 20 years)</w:t>
      </w:r>
    </w:p>
    <w:p w:rsidR="005174CD" w:rsidRDefault="005174CD" w:rsidP="005174CD">
      <w:pPr>
        <w:spacing w:after="80"/>
      </w:pPr>
      <w:r>
        <w:lastRenderedPageBreak/>
        <w:t>As expected, tariffs decrease if the terms of contract</w:t>
      </w:r>
      <w:r w:rsidRPr="005B2436">
        <w:t xml:space="preserve"> </w:t>
      </w:r>
      <w:r>
        <w:t xml:space="preserve">increase: for instance, </w:t>
      </w:r>
      <w:r w:rsidR="003B7F6D">
        <w:t xml:space="preserve">in case of 4 </w:t>
      </w:r>
      <w:r w:rsidR="004D25BE">
        <w:t>billion cubic meters per year (b</w:t>
      </w:r>
      <w:r w:rsidR="003B7F6D">
        <w:t>scm</w:t>
      </w:r>
      <w:r w:rsidR="004D25BE">
        <w:t>/y)</w:t>
      </w:r>
      <w:r w:rsidR="003B7F6D">
        <w:t xml:space="preserve"> of gas production the shipping tariff totals</w:t>
      </w:r>
      <w:r>
        <w:t>1.3</w:t>
      </w:r>
      <w:r w:rsidR="006D16B4">
        <w:t>40</w:t>
      </w:r>
      <w:r>
        <w:t xml:space="preserve"> $/mmBtu </w:t>
      </w:r>
      <w:r w:rsidR="003B7F6D">
        <w:t xml:space="preserve">for 15-years contract </w:t>
      </w:r>
      <w:r>
        <w:t>vs. 1.24</w:t>
      </w:r>
      <w:r w:rsidR="006D16B4">
        <w:t>1</w:t>
      </w:r>
      <w:r>
        <w:t xml:space="preserve"> $/mmBtu </w:t>
      </w:r>
      <w:r w:rsidR="003B7F6D">
        <w:t>for 20-years contract</w:t>
      </w:r>
      <w:r>
        <w:t xml:space="preserve">, which </w:t>
      </w:r>
      <w:r w:rsidR="003B7F6D">
        <w:t xml:space="preserve">generates savings around </w:t>
      </w:r>
      <w:r w:rsidR="006D16B4">
        <w:t>11.</w:t>
      </w:r>
      <w:r>
        <w:t xml:space="preserve">2 million dollars </w:t>
      </w:r>
      <w:r w:rsidR="006D16B4">
        <w:t>per year</w:t>
      </w:r>
      <w:r>
        <w:t>.</w:t>
      </w:r>
    </w:p>
    <w:p w:rsidR="007A60F8" w:rsidRDefault="007A60F8" w:rsidP="007A60F8">
      <w:pPr>
        <w:pStyle w:val="Heading1"/>
        <w:ind w:left="426" w:hanging="426"/>
        <w:rPr>
          <w:szCs w:val="20"/>
        </w:rPr>
      </w:pPr>
      <w:r>
        <w:rPr>
          <w:szCs w:val="20"/>
        </w:rPr>
        <w:t>LNG</w:t>
      </w:r>
    </w:p>
    <w:p w:rsidR="007A60F8" w:rsidRDefault="007A60F8" w:rsidP="007A60F8">
      <w:pPr>
        <w:ind w:firstLine="0"/>
      </w:pPr>
      <w:r>
        <w:t xml:space="preserve">The liquefied natural gas chain is a cost effective transportation mode </w:t>
      </w:r>
      <w:r w:rsidR="008523B1">
        <w:t xml:space="preserve">only in case of large </w:t>
      </w:r>
      <w:r>
        <w:t>volumes</w:t>
      </w:r>
      <w:r w:rsidR="008523B1">
        <w:t>,</w:t>
      </w:r>
      <w:r>
        <w:t xml:space="preserve"> </w:t>
      </w:r>
      <w:r w:rsidR="008523B1">
        <w:t>huge</w:t>
      </w:r>
      <w:r>
        <w:t xml:space="preserve"> delivery distances, </w:t>
      </w:r>
      <w:r w:rsidR="008523B1">
        <w:t xml:space="preserve">and long terms of contract (not less than 20 years), </w:t>
      </w:r>
      <w:r>
        <w:t>provided the ship utilization factor is as high as possible in terms of LNG transport pressure</w:t>
      </w:r>
      <w:r w:rsidR="006A0FEC">
        <w:t xml:space="preserve"> [18]</w:t>
      </w:r>
      <w:r>
        <w:t>. The pricing mechanism for LNG is based historically on long-term commitment by the supplier and consumer and is linked in some extent to crude oil price. These pricing mechanisms for LNG should be in the long-term result in a flatter and less volatile price regime.</w:t>
      </w:r>
    </w:p>
    <w:p w:rsidR="007A60F8" w:rsidRDefault="00392B83" w:rsidP="00392B83">
      <w:r>
        <w:t xml:space="preserve">The LNG chain is characterized by a relatively inflexible system, high transportation costs and economies of scale in transportation and distribution. </w:t>
      </w:r>
      <w:r w:rsidR="007A60F8">
        <w:t>LNG liquefaction unit cost can be stated as $4/mmBtu. Onshore LNG terminals can cost more than $1 billion and require five years for construction. They offer economic advantage over a 10-15 year horizon with significant utilisation</w:t>
      </w:r>
      <w:r w:rsidR="006A0FEC">
        <w:t xml:space="preserve"> [19]</w:t>
      </w:r>
      <w:r w:rsidR="007A60F8">
        <w:t>. LNG projects consistently cost about $1,200 - $1800/tonne depending on gas volume production and delivery distance. LNG ships are built in</w:t>
      </w:r>
      <w:r w:rsidR="006A0FEC">
        <w:t xml:space="preserve"> line with the IMO’s IGC Code [20</w:t>
      </w:r>
      <w:r w:rsidR="007A60F8">
        <w:t>] and Class Society rules</w:t>
      </w:r>
      <w:r>
        <w:t>.</w:t>
      </w:r>
    </w:p>
    <w:p w:rsidR="00392B83" w:rsidRPr="005174CD" w:rsidRDefault="00392B83" w:rsidP="006A0FEC">
      <w:r>
        <w:t xml:space="preserve">In the LNG value chain evaluation particular attention has been devoted to implementation of the design mathematical model based on enhancement of the techno-economic model developed </w:t>
      </w:r>
      <w:r w:rsidR="00B30800">
        <w:t>in</w:t>
      </w:r>
      <w:r>
        <w:t xml:space="preserve"> [</w:t>
      </w:r>
      <w:r w:rsidR="006A0FEC">
        <w:t>21</w:t>
      </w:r>
      <w:r>
        <w:t>].</w:t>
      </w:r>
    </w:p>
    <w:p w:rsidR="002176C5" w:rsidRDefault="002176C5" w:rsidP="002176C5">
      <w:pPr>
        <w:pStyle w:val="Heading1"/>
        <w:ind w:left="426" w:hanging="426"/>
        <w:rPr>
          <w:szCs w:val="20"/>
        </w:rPr>
      </w:pPr>
      <w:r>
        <w:rPr>
          <w:szCs w:val="20"/>
        </w:rPr>
        <w:t>O</w:t>
      </w:r>
      <w:r w:rsidR="00F96429">
        <w:rPr>
          <w:szCs w:val="20"/>
        </w:rPr>
        <w:t>ffshore Pipelines</w:t>
      </w:r>
    </w:p>
    <w:p w:rsidR="002176C5" w:rsidRDefault="002176C5" w:rsidP="002176C5">
      <w:pPr>
        <w:ind w:firstLine="0"/>
      </w:pPr>
      <w:r>
        <w:t>Building an offshore pipeline system to link an offshore gas field to the mainland implies a huge capital investment and pos</w:t>
      </w:r>
      <w:r w:rsidR="00D03EC9">
        <w:t>es many challenges</w:t>
      </w:r>
      <w:r>
        <w:t>, such as stability of pipeline structures because of strong currents, shifting seabed and steep seabed slopes. Today, the cost of current offshore pipeline projects</w:t>
      </w:r>
      <w:r w:rsidR="00112A00">
        <w:t xml:space="preserve"> in deep waters</w:t>
      </w:r>
      <w:r w:rsidR="00EA2FB3">
        <w:t xml:space="preserve"> (the Ionian Sea, for instance)</w:t>
      </w:r>
      <w:r>
        <w:t xml:space="preserve"> is estimated to exceed $8.5 million per nautical mile.</w:t>
      </w:r>
    </w:p>
    <w:p w:rsidR="008523B1" w:rsidRDefault="00112A00" w:rsidP="00957D92">
      <w:r>
        <w:rPr>
          <w:shd w:val="clear" w:color="auto" w:fill="FFFFFF"/>
        </w:rPr>
        <w:t xml:space="preserve">Although it is impossible to find two identical gas subsea pipelines in the gas industry because technical factors as well as natural and climatic conditions are always different, capital charges typically make up at least 90% of the </w:t>
      </w:r>
      <w:r w:rsidR="00EA2FB3">
        <w:rPr>
          <w:shd w:val="clear" w:color="auto" w:fill="FFFFFF"/>
        </w:rPr>
        <w:t>construction cost of offshore pipelines. This cost</w:t>
      </w:r>
      <w:r>
        <w:rPr>
          <w:shd w:val="clear" w:color="auto" w:fill="FFFFFF"/>
        </w:rPr>
        <w:t xml:space="preserve"> depend</w:t>
      </w:r>
      <w:r w:rsidR="00EA2FB3">
        <w:rPr>
          <w:shd w:val="clear" w:color="auto" w:fill="FFFFFF"/>
        </w:rPr>
        <w:t>s</w:t>
      </w:r>
      <w:r>
        <w:rPr>
          <w:shd w:val="clear" w:color="auto" w:fill="FFFFFF"/>
        </w:rPr>
        <w:t xml:space="preserve"> on many factors such as geographic location and terrain, pipe diameter, operating pressure, distance, different labour and tax laws, etc., which are highly variable. </w:t>
      </w:r>
      <w:r w:rsidRPr="000929D2">
        <w:rPr>
          <w:shd w:val="clear" w:color="auto" w:fill="FFFFFF"/>
        </w:rPr>
        <w:t>The share of material and labour cost</w:t>
      </w:r>
      <w:r>
        <w:rPr>
          <w:shd w:val="clear" w:color="auto" w:fill="FFFFFF"/>
        </w:rPr>
        <w:t>s</w:t>
      </w:r>
      <w:r w:rsidRPr="000929D2">
        <w:rPr>
          <w:shd w:val="clear" w:color="auto" w:fill="FFFFFF"/>
        </w:rPr>
        <w:t xml:space="preserve"> dominates the pipeline construction cost, which is </w:t>
      </w:r>
      <w:r w:rsidR="00961B0A">
        <w:rPr>
          <w:shd w:val="clear" w:color="auto" w:fill="FFFFFF"/>
        </w:rPr>
        <w:t>more than</w:t>
      </w:r>
      <w:r w:rsidRPr="000929D2">
        <w:rPr>
          <w:shd w:val="clear" w:color="auto" w:fill="FFFFFF"/>
        </w:rPr>
        <w:t xml:space="preserve"> 7</w:t>
      </w:r>
      <w:r w:rsidR="00961B0A">
        <w:rPr>
          <w:shd w:val="clear" w:color="auto" w:fill="FFFFFF"/>
        </w:rPr>
        <w:t>0</w:t>
      </w:r>
      <w:r w:rsidRPr="000929D2">
        <w:rPr>
          <w:shd w:val="clear" w:color="auto" w:fill="FFFFFF"/>
        </w:rPr>
        <w:t>% of the total cost</w:t>
      </w:r>
      <w:r w:rsidR="00EA2FB3">
        <w:rPr>
          <w:shd w:val="clear" w:color="auto" w:fill="FFFFFF"/>
        </w:rPr>
        <w:t>, as can be seen in Table 1 where absolute values are obtained as average for different water depths along the Zöhr-Brindisi route</w:t>
      </w:r>
      <w:r w:rsidRPr="000929D2">
        <w:rPr>
          <w:shd w:val="clear" w:color="auto" w:fill="FFFFFF"/>
        </w:rPr>
        <w:t>.</w:t>
      </w:r>
      <w:r>
        <w:rPr>
          <w:shd w:val="clear" w:color="auto" w:fill="FFFFFF"/>
        </w:rPr>
        <w:t xml:space="preserve"> </w:t>
      </w:r>
    </w:p>
    <w:p w:rsidR="008523B1" w:rsidRDefault="008523B1" w:rsidP="008523B1">
      <w:pPr>
        <w:pStyle w:val="CaptionLong"/>
        <w:jc w:val="center"/>
        <w:rPr>
          <w:rFonts w:cs="Arial"/>
          <w:color w:val="111111"/>
          <w:szCs w:val="16"/>
          <w:shd w:val="clear" w:color="auto" w:fill="FFFFFF"/>
        </w:rPr>
      </w:pPr>
      <w:r>
        <w:rPr>
          <w:b/>
        </w:rPr>
        <w:t>Table 1.</w:t>
      </w:r>
      <w:r>
        <w:t xml:space="preserve"> </w:t>
      </w:r>
      <w:r w:rsidRPr="00112A00">
        <w:rPr>
          <w:rFonts w:cs="Arial"/>
          <w:color w:val="111111"/>
          <w:szCs w:val="16"/>
          <w:shd w:val="clear" w:color="auto" w:fill="FFFFFF"/>
        </w:rPr>
        <w:t>Estimated pipeline building costs per nautical mile and percentage of total</w:t>
      </w:r>
    </w:p>
    <w:tbl>
      <w:tblPr>
        <w:tblStyle w:val="TableGrid"/>
        <w:tblW w:w="0" w:type="auto"/>
        <w:tblInd w:w="421" w:type="dxa"/>
        <w:tblLook w:val="04A0" w:firstRow="1" w:lastRow="0" w:firstColumn="1" w:lastColumn="0" w:noHBand="0" w:noVBand="1"/>
      </w:tblPr>
      <w:tblGrid>
        <w:gridCol w:w="1271"/>
        <w:gridCol w:w="1276"/>
        <w:gridCol w:w="1276"/>
        <w:gridCol w:w="1134"/>
        <w:gridCol w:w="1134"/>
      </w:tblGrid>
      <w:tr w:rsidR="008523B1" w:rsidTr="00BD4DB0">
        <w:tc>
          <w:tcPr>
            <w:tcW w:w="1271" w:type="dxa"/>
          </w:tcPr>
          <w:p w:rsidR="008523B1" w:rsidRPr="007D785A" w:rsidRDefault="008523B1" w:rsidP="00BD4DB0">
            <w:pPr>
              <w:pStyle w:val="CaptionLong"/>
              <w:spacing w:before="0" w:after="0"/>
              <w:jc w:val="center"/>
              <w:rPr>
                <w:rFonts w:ascii="Times New Roman" w:hAnsi="Times New Roman" w:cs="Times New Roman"/>
                <w:b/>
                <w:color w:val="111111"/>
                <w:szCs w:val="16"/>
                <w:shd w:val="clear" w:color="auto" w:fill="FFFFFF"/>
              </w:rPr>
            </w:pPr>
            <w:r w:rsidRPr="007D785A">
              <w:rPr>
                <w:rFonts w:ascii="Times New Roman" w:hAnsi="Times New Roman" w:cs="Times New Roman"/>
                <w:b/>
                <w:szCs w:val="16"/>
              </w:rPr>
              <w:t>Material</w:t>
            </w:r>
          </w:p>
        </w:tc>
        <w:tc>
          <w:tcPr>
            <w:tcW w:w="1276" w:type="dxa"/>
          </w:tcPr>
          <w:p w:rsidR="008523B1" w:rsidRPr="007D785A" w:rsidRDefault="008523B1" w:rsidP="00BD4DB0">
            <w:pPr>
              <w:pStyle w:val="CaptionLong"/>
              <w:spacing w:before="0" w:after="0"/>
              <w:jc w:val="center"/>
              <w:rPr>
                <w:rFonts w:ascii="Times New Roman" w:hAnsi="Times New Roman" w:cs="Times New Roman"/>
                <w:b/>
                <w:color w:val="111111"/>
                <w:szCs w:val="16"/>
                <w:shd w:val="clear" w:color="auto" w:fill="FFFFFF"/>
              </w:rPr>
            </w:pPr>
            <w:r w:rsidRPr="007D785A">
              <w:rPr>
                <w:rFonts w:ascii="Times New Roman" w:hAnsi="Times New Roman" w:cs="Times New Roman"/>
                <w:b/>
                <w:szCs w:val="16"/>
              </w:rPr>
              <w:t>Labour</w:t>
            </w:r>
          </w:p>
        </w:tc>
        <w:tc>
          <w:tcPr>
            <w:tcW w:w="1276" w:type="dxa"/>
          </w:tcPr>
          <w:p w:rsidR="008523B1" w:rsidRPr="007D785A" w:rsidRDefault="008523B1" w:rsidP="00BD4DB0">
            <w:pPr>
              <w:pStyle w:val="CaptionLong"/>
              <w:spacing w:before="0" w:after="0"/>
              <w:jc w:val="center"/>
              <w:rPr>
                <w:rFonts w:ascii="Times New Roman" w:hAnsi="Times New Roman" w:cs="Times New Roman"/>
                <w:b/>
                <w:color w:val="111111"/>
                <w:szCs w:val="16"/>
                <w:shd w:val="clear" w:color="auto" w:fill="FFFFFF"/>
              </w:rPr>
            </w:pPr>
            <w:r w:rsidRPr="007D785A">
              <w:rPr>
                <w:rFonts w:ascii="Times New Roman" w:hAnsi="Times New Roman" w:cs="Times New Roman"/>
                <w:b/>
                <w:szCs w:val="16"/>
              </w:rPr>
              <w:t>Miscellaneous</w:t>
            </w:r>
          </w:p>
        </w:tc>
        <w:tc>
          <w:tcPr>
            <w:tcW w:w="1134" w:type="dxa"/>
          </w:tcPr>
          <w:p w:rsidR="008523B1" w:rsidRPr="007D785A" w:rsidRDefault="008523B1" w:rsidP="00BD4DB0">
            <w:pPr>
              <w:pStyle w:val="CaptionLong"/>
              <w:spacing w:before="0" w:after="0"/>
              <w:jc w:val="center"/>
              <w:rPr>
                <w:rFonts w:ascii="Times New Roman" w:hAnsi="Times New Roman" w:cs="Times New Roman"/>
                <w:b/>
                <w:color w:val="111111"/>
                <w:szCs w:val="16"/>
                <w:shd w:val="clear" w:color="auto" w:fill="FFFFFF"/>
              </w:rPr>
            </w:pPr>
            <w:r w:rsidRPr="007D785A">
              <w:rPr>
                <w:rFonts w:ascii="Times New Roman" w:hAnsi="Times New Roman" w:cs="Times New Roman"/>
                <w:b/>
                <w:color w:val="111111"/>
                <w:szCs w:val="16"/>
                <w:shd w:val="clear" w:color="auto" w:fill="FFFFFF"/>
              </w:rPr>
              <w:t>ROW</w:t>
            </w:r>
          </w:p>
        </w:tc>
        <w:tc>
          <w:tcPr>
            <w:tcW w:w="1134" w:type="dxa"/>
          </w:tcPr>
          <w:p w:rsidR="008523B1" w:rsidRPr="007D785A" w:rsidRDefault="008523B1" w:rsidP="00BD4DB0">
            <w:pPr>
              <w:pStyle w:val="CaptionLong"/>
              <w:spacing w:before="0" w:after="0"/>
              <w:jc w:val="center"/>
              <w:rPr>
                <w:rFonts w:ascii="Times New Roman" w:hAnsi="Times New Roman" w:cs="Times New Roman"/>
                <w:b/>
                <w:color w:val="111111"/>
                <w:szCs w:val="16"/>
                <w:shd w:val="clear" w:color="auto" w:fill="FFFFFF"/>
              </w:rPr>
            </w:pPr>
            <w:r w:rsidRPr="007D785A">
              <w:rPr>
                <w:rFonts w:ascii="Times New Roman" w:hAnsi="Times New Roman" w:cs="Times New Roman"/>
                <w:b/>
                <w:color w:val="111111"/>
                <w:szCs w:val="16"/>
                <w:shd w:val="clear" w:color="auto" w:fill="FFFFFF"/>
              </w:rPr>
              <w:t>Total</w:t>
            </w:r>
          </w:p>
        </w:tc>
      </w:tr>
      <w:tr w:rsidR="008523B1" w:rsidTr="00BD4DB0">
        <w:tc>
          <w:tcPr>
            <w:tcW w:w="1271" w:type="dxa"/>
          </w:tcPr>
          <w:p w:rsidR="008523B1" w:rsidRPr="00A741BB" w:rsidRDefault="008523B1" w:rsidP="00A741BB">
            <w:pPr>
              <w:pStyle w:val="Table"/>
              <w:jc w:val="center"/>
              <w:rPr>
                <w:rFonts w:ascii="Times New Roman" w:hAnsi="Times New Roman" w:cs="Times New Roman"/>
              </w:rPr>
            </w:pPr>
            <w:r w:rsidRPr="00A741BB">
              <w:rPr>
                <w:rFonts w:ascii="Times New Roman" w:hAnsi="Times New Roman" w:cs="Times New Roman"/>
              </w:rPr>
              <w:t>$1,280,000</w:t>
            </w:r>
          </w:p>
          <w:p w:rsidR="008523B1" w:rsidRPr="00A741BB" w:rsidRDefault="008523B1" w:rsidP="00A741BB">
            <w:pPr>
              <w:pStyle w:val="Table"/>
              <w:jc w:val="center"/>
              <w:rPr>
                <w:rFonts w:ascii="Times New Roman" w:hAnsi="Times New Roman" w:cs="Times New Roman"/>
              </w:rPr>
            </w:pPr>
            <w:r w:rsidRPr="00A741BB">
              <w:rPr>
                <w:rFonts w:ascii="Times New Roman" w:hAnsi="Times New Roman" w:cs="Times New Roman"/>
              </w:rPr>
              <w:t>(19%)</w:t>
            </w:r>
          </w:p>
        </w:tc>
        <w:tc>
          <w:tcPr>
            <w:tcW w:w="1276" w:type="dxa"/>
          </w:tcPr>
          <w:p w:rsidR="008523B1" w:rsidRPr="00A741BB" w:rsidRDefault="008523B1" w:rsidP="00A741BB">
            <w:pPr>
              <w:pStyle w:val="Table"/>
              <w:jc w:val="center"/>
              <w:rPr>
                <w:rFonts w:ascii="Times New Roman" w:hAnsi="Times New Roman" w:cs="Times New Roman"/>
              </w:rPr>
            </w:pPr>
            <w:r w:rsidRPr="00A741BB">
              <w:rPr>
                <w:rFonts w:ascii="Times New Roman" w:hAnsi="Times New Roman" w:cs="Times New Roman"/>
              </w:rPr>
              <w:t>$3,650,000</w:t>
            </w:r>
          </w:p>
          <w:p w:rsidR="008523B1" w:rsidRPr="00A741BB" w:rsidRDefault="008523B1" w:rsidP="00A741BB">
            <w:pPr>
              <w:pStyle w:val="Table"/>
              <w:jc w:val="center"/>
              <w:rPr>
                <w:rFonts w:ascii="Times New Roman" w:hAnsi="Times New Roman" w:cs="Times New Roman"/>
              </w:rPr>
            </w:pPr>
            <w:r w:rsidRPr="00A741BB">
              <w:rPr>
                <w:rFonts w:ascii="Times New Roman" w:hAnsi="Times New Roman" w:cs="Times New Roman"/>
              </w:rPr>
              <w:t>(54%)</w:t>
            </w:r>
          </w:p>
        </w:tc>
        <w:tc>
          <w:tcPr>
            <w:tcW w:w="1276" w:type="dxa"/>
          </w:tcPr>
          <w:p w:rsidR="008523B1" w:rsidRPr="00A741BB" w:rsidRDefault="008523B1" w:rsidP="00A741BB">
            <w:pPr>
              <w:pStyle w:val="Table"/>
              <w:jc w:val="center"/>
              <w:rPr>
                <w:rFonts w:ascii="Times New Roman" w:hAnsi="Times New Roman" w:cs="Times New Roman"/>
              </w:rPr>
            </w:pPr>
            <w:r w:rsidRPr="00A741BB">
              <w:rPr>
                <w:rFonts w:ascii="Times New Roman" w:hAnsi="Times New Roman" w:cs="Times New Roman"/>
              </w:rPr>
              <w:t>$1,620,000</w:t>
            </w:r>
          </w:p>
          <w:p w:rsidR="008523B1" w:rsidRPr="00A741BB" w:rsidRDefault="008523B1" w:rsidP="00A741BB">
            <w:pPr>
              <w:pStyle w:val="Table"/>
              <w:jc w:val="center"/>
              <w:rPr>
                <w:rFonts w:ascii="Times New Roman" w:hAnsi="Times New Roman" w:cs="Times New Roman"/>
              </w:rPr>
            </w:pPr>
            <w:r w:rsidRPr="00A741BB">
              <w:rPr>
                <w:rFonts w:ascii="Times New Roman" w:hAnsi="Times New Roman" w:cs="Times New Roman"/>
              </w:rPr>
              <w:t>(24%)</w:t>
            </w:r>
          </w:p>
        </w:tc>
        <w:tc>
          <w:tcPr>
            <w:tcW w:w="1134" w:type="dxa"/>
          </w:tcPr>
          <w:p w:rsidR="008523B1" w:rsidRPr="00A741BB" w:rsidRDefault="008523B1" w:rsidP="00A741BB">
            <w:pPr>
              <w:pStyle w:val="Table"/>
              <w:jc w:val="center"/>
              <w:rPr>
                <w:rFonts w:ascii="Times New Roman" w:hAnsi="Times New Roman" w:cs="Times New Roman"/>
              </w:rPr>
            </w:pPr>
            <w:r w:rsidRPr="00A741BB">
              <w:rPr>
                <w:rFonts w:ascii="Times New Roman" w:hAnsi="Times New Roman" w:cs="Times New Roman"/>
              </w:rPr>
              <w:t>$200,000</w:t>
            </w:r>
          </w:p>
          <w:p w:rsidR="008523B1" w:rsidRPr="00A741BB" w:rsidRDefault="008523B1" w:rsidP="00A741BB">
            <w:pPr>
              <w:pStyle w:val="Table"/>
              <w:jc w:val="center"/>
              <w:rPr>
                <w:rFonts w:ascii="Times New Roman" w:hAnsi="Times New Roman" w:cs="Times New Roman"/>
              </w:rPr>
            </w:pPr>
            <w:r w:rsidRPr="00A741BB">
              <w:rPr>
                <w:rFonts w:ascii="Times New Roman" w:hAnsi="Times New Roman" w:cs="Times New Roman"/>
              </w:rPr>
              <w:t>(3%)</w:t>
            </w:r>
          </w:p>
        </w:tc>
        <w:tc>
          <w:tcPr>
            <w:tcW w:w="1134" w:type="dxa"/>
          </w:tcPr>
          <w:p w:rsidR="008523B1" w:rsidRPr="00A741BB" w:rsidRDefault="008523B1" w:rsidP="00A741BB">
            <w:pPr>
              <w:pStyle w:val="Table"/>
              <w:jc w:val="center"/>
              <w:rPr>
                <w:rFonts w:ascii="Times New Roman" w:hAnsi="Times New Roman" w:cs="Times New Roman"/>
              </w:rPr>
            </w:pPr>
            <w:r w:rsidRPr="00A741BB">
              <w:rPr>
                <w:rFonts w:ascii="Times New Roman" w:hAnsi="Times New Roman" w:cs="Times New Roman"/>
              </w:rPr>
              <w:t>$6,750,000</w:t>
            </w:r>
          </w:p>
        </w:tc>
      </w:tr>
    </w:tbl>
    <w:p w:rsidR="008523B1" w:rsidRDefault="008523B1" w:rsidP="008523B1">
      <w:r>
        <w:rPr>
          <w:shd w:val="clear" w:color="auto" w:fill="FFFFFF"/>
        </w:rPr>
        <w:lastRenderedPageBreak/>
        <w:t>Miscellaneous cover surveying, engineering, supervision, administration and overheads, telecommunication equipment, freight, taxes, regulatory filing fees, interest, and contingencies. ROW include rights-of-way and damages, and are normally negligible, but can be assumed as 3% of the total construction cost.</w:t>
      </w:r>
      <w:r>
        <w:t xml:space="preserve"> </w:t>
      </w:r>
    </w:p>
    <w:p w:rsidR="00112A00" w:rsidRDefault="008A03C7" w:rsidP="008523B1">
      <w:r>
        <w:t>Pipeline operating costs mainly vary according to the number of compression stations, which requ</w:t>
      </w:r>
      <w:r w:rsidR="00385B11">
        <w:t>ire significant amounts of fuel</w:t>
      </w:r>
      <w:r>
        <w:t xml:space="preserve"> and labour costs. </w:t>
      </w:r>
      <w:r w:rsidR="00961B0A">
        <w:t>Compressor stations usually account for 20% of the total capital costs.</w:t>
      </w:r>
    </w:p>
    <w:p w:rsidR="00490148" w:rsidRPr="00957D92" w:rsidRDefault="00490148" w:rsidP="00957D92">
      <w:pPr>
        <w:rPr>
          <w:shd w:val="clear" w:color="auto" w:fill="FFFFFF"/>
        </w:rPr>
      </w:pPr>
      <w:r>
        <w:t>Improved pipeline techniques and use of much higher pressure h</w:t>
      </w:r>
      <w:r w:rsidR="008523B1">
        <w:t>a</w:t>
      </w:r>
      <w:r>
        <w:t>ve made deep water lines technically feasible as demonstrated by the Blue Stre</w:t>
      </w:r>
      <w:r w:rsidR="008523B1">
        <w:t>a</w:t>
      </w:r>
      <w:r>
        <w:t xml:space="preserve">m project. However, long-distance pipelines tend to be more sensitive </w:t>
      </w:r>
      <w:r w:rsidR="007A60F8">
        <w:t>to economies of scale than do LNG projects.</w:t>
      </w:r>
    </w:p>
    <w:p w:rsidR="00477A78" w:rsidRDefault="00477A78" w:rsidP="00477A78">
      <w:pPr>
        <w:pStyle w:val="Heading1"/>
        <w:ind w:left="426" w:hanging="426"/>
        <w:rPr>
          <w:szCs w:val="20"/>
        </w:rPr>
      </w:pPr>
      <w:r>
        <w:rPr>
          <w:szCs w:val="20"/>
        </w:rPr>
        <w:t>S</w:t>
      </w:r>
      <w:r w:rsidR="00F96429">
        <w:rPr>
          <w:szCs w:val="20"/>
        </w:rPr>
        <w:t>mall</w:t>
      </w:r>
      <w:r>
        <w:rPr>
          <w:szCs w:val="20"/>
        </w:rPr>
        <w:t xml:space="preserve"> S</w:t>
      </w:r>
      <w:r w:rsidR="00F96429">
        <w:rPr>
          <w:szCs w:val="20"/>
        </w:rPr>
        <w:t>cale</w:t>
      </w:r>
      <w:r>
        <w:rPr>
          <w:szCs w:val="20"/>
        </w:rPr>
        <w:t xml:space="preserve"> LNG</w:t>
      </w:r>
    </w:p>
    <w:p w:rsidR="00551C11" w:rsidRDefault="00551C11" w:rsidP="0046732F">
      <w:pPr>
        <w:ind w:firstLine="0"/>
      </w:pPr>
      <w:r w:rsidRPr="004D04A1">
        <w:t>What is small scale LNG (SSLNG)? The International Gas Union (IGU) defines small scale liquefaction and regasification facilities as plants with a</w:t>
      </w:r>
      <w:r>
        <w:t>n installed</w:t>
      </w:r>
      <w:r w:rsidRPr="004D04A1">
        <w:t xml:space="preserve"> capacity </w:t>
      </w:r>
      <w:r w:rsidR="0088197B">
        <w:t>under</w:t>
      </w:r>
      <w:r>
        <w:t xml:space="preserve"> </w:t>
      </w:r>
      <w:r w:rsidRPr="004D04A1">
        <w:t xml:space="preserve">1 </w:t>
      </w:r>
      <w:r w:rsidRPr="004D04A1">
        <w:rPr>
          <w:color w:val="000000"/>
          <w:shd w:val="clear" w:color="auto" w:fill="FFFFFF"/>
        </w:rPr>
        <w:t xml:space="preserve">million </w:t>
      </w:r>
      <w:r w:rsidR="00675DCF">
        <w:rPr>
          <w:color w:val="000000"/>
          <w:shd w:val="clear" w:color="auto" w:fill="FFFFFF"/>
        </w:rPr>
        <w:t>metric ton</w:t>
      </w:r>
      <w:r w:rsidRPr="004D04A1">
        <w:rPr>
          <w:color w:val="000000"/>
          <w:shd w:val="clear" w:color="auto" w:fill="FFFFFF"/>
        </w:rPr>
        <w:t>s per annum</w:t>
      </w:r>
      <w:r w:rsidRPr="004D04A1">
        <w:rPr>
          <w:rFonts w:ascii="Heebo Regular" w:hAnsi="Heebo Regular"/>
          <w:color w:val="000000"/>
          <w:shd w:val="clear" w:color="auto" w:fill="FFFFFF"/>
        </w:rPr>
        <w:t xml:space="preserve"> (</w:t>
      </w:r>
      <w:r w:rsidRPr="004D04A1">
        <w:t>mtpa</w:t>
      </w:r>
      <w:r w:rsidR="00CF049B">
        <w:t>).</w:t>
      </w:r>
      <w:r w:rsidRPr="004D04A1">
        <w:t xml:space="preserve"> In turn, SSLNG </w:t>
      </w:r>
      <w:r w:rsidR="00177CC2">
        <w:t>carrier</w:t>
      </w:r>
      <w:r w:rsidRPr="004D04A1">
        <w:t xml:space="preserve">s are defined as ships with an LNG storage capacity </w:t>
      </w:r>
      <w:r w:rsidR="005510C2">
        <w:t>set</w:t>
      </w:r>
      <w:r w:rsidRPr="004D04A1">
        <w:t xml:space="preserve"> to</w:t>
      </w:r>
      <w:r w:rsidR="005510C2">
        <w:t xml:space="preserve"> a maximum of</w:t>
      </w:r>
      <w:r w:rsidRPr="004D04A1">
        <w:t xml:space="preserve"> 30,000 m</w:t>
      </w:r>
      <w:r w:rsidRPr="004D04A1">
        <w:rPr>
          <w:vertAlign w:val="superscript"/>
        </w:rPr>
        <w:t>3</w:t>
      </w:r>
      <w:r w:rsidR="005510C2">
        <w:t>.</w:t>
      </w:r>
      <w:r w:rsidR="000E13F1" w:rsidRPr="000E13F1">
        <w:t xml:space="preserve"> </w:t>
      </w:r>
      <w:r w:rsidR="000E13F1">
        <w:t>The key challenge of the SSLNG technology relates to the capital costs due to the lack of economies of scale and expensive cryogenic material.</w:t>
      </w:r>
    </w:p>
    <w:p w:rsidR="00551C11" w:rsidRPr="004D04A1" w:rsidRDefault="00CF049B" w:rsidP="000E13F1">
      <w:r>
        <w:t xml:space="preserve">In recent years a relevant diffusion </w:t>
      </w:r>
      <w:r w:rsidR="00551C11" w:rsidRPr="004D04A1">
        <w:t xml:space="preserve">of </w:t>
      </w:r>
      <w:r w:rsidR="00930B71">
        <w:t>SSLNG</w:t>
      </w:r>
      <w:r w:rsidR="00551C11" w:rsidRPr="004D04A1">
        <w:t xml:space="preserve"> </w:t>
      </w:r>
      <w:r>
        <w:t>project</w:t>
      </w:r>
      <w:r w:rsidR="00551C11" w:rsidRPr="004D04A1">
        <w:t>s has emerged</w:t>
      </w:r>
      <w:r w:rsidR="00675DCF">
        <w:t xml:space="preserve"> even though </w:t>
      </w:r>
      <w:r>
        <w:t>this technology</w:t>
      </w:r>
      <w:r w:rsidR="00675DCF">
        <w:t xml:space="preserve"> can be relative</w:t>
      </w:r>
      <w:r>
        <w:t>ly</w:t>
      </w:r>
      <w:r w:rsidR="00675DCF">
        <w:t xml:space="preserve"> expensive</w:t>
      </w:r>
      <w:r w:rsidR="00551C11" w:rsidRPr="004D04A1">
        <w:t xml:space="preserve">. New liquefaction and distribution facilities are being built and operated worldwide, often </w:t>
      </w:r>
      <w:r>
        <w:t>supported</w:t>
      </w:r>
      <w:r w:rsidR="00551C11" w:rsidRPr="004D04A1">
        <w:t xml:space="preserve"> by national governments </w:t>
      </w:r>
      <w:r>
        <w:t xml:space="preserve">in order </w:t>
      </w:r>
      <w:r w:rsidR="00551C11" w:rsidRPr="004D04A1">
        <w:t xml:space="preserve">to become more independent of pipeline gas suppliers. </w:t>
      </w:r>
      <w:r w:rsidR="000E13F1">
        <w:t>As to Italy, a national decree was approved in Italy setting a 0.01% sulphur limit for navigation in the Italian waters of the Adriatic and Ionian seas (including EEZ), starting from 2018, although the enforcement is conditional on the approval of Croatia and Slovenia of equal or higher limits.</w:t>
      </w:r>
    </w:p>
    <w:p w:rsidR="008523B1" w:rsidRDefault="00CF049B" w:rsidP="008523B1">
      <w:r>
        <w:t>In the upstream, l</w:t>
      </w:r>
      <w:r w:rsidR="00551C11">
        <w:t xml:space="preserve">iquefaction </w:t>
      </w:r>
      <w:r w:rsidR="00C762DC">
        <w:t xml:space="preserve">construction </w:t>
      </w:r>
      <w:r w:rsidR="00930B71">
        <w:t xml:space="preserve">requires an investment of </w:t>
      </w:r>
      <w:r>
        <w:t>around 850</w:t>
      </w:r>
      <w:r w:rsidR="003556A5">
        <w:t xml:space="preserve"> </w:t>
      </w:r>
      <w:r w:rsidR="00675DCF">
        <w:t>m</w:t>
      </w:r>
      <w:r w:rsidR="00551C11">
        <w:t xml:space="preserve">illion dollars for a plant capable of handling </w:t>
      </w:r>
      <w:r w:rsidR="003556A5">
        <w:t>1 mtpa</w:t>
      </w:r>
      <w:r w:rsidR="00081872">
        <w:t xml:space="preserve"> according to comparative analysis of similar projects in Europe</w:t>
      </w:r>
      <w:r w:rsidR="00551C11">
        <w:t xml:space="preserve">. </w:t>
      </w:r>
      <w:r w:rsidR="00740AF6">
        <w:t>As to opex for the liquefaction activities expenses</w:t>
      </w:r>
      <w:r>
        <w:t>,</w:t>
      </w:r>
      <w:r w:rsidR="00740AF6">
        <w:t xml:space="preserve"> it </w:t>
      </w:r>
      <w:r>
        <w:t>figures up</w:t>
      </w:r>
      <w:r w:rsidR="00740AF6">
        <w:t xml:space="preserve"> at 17.5 million dollars per year.</w:t>
      </w:r>
      <w:r w:rsidR="00E919D2" w:rsidRPr="00E919D2">
        <w:t xml:space="preserve"> </w:t>
      </w:r>
      <w:r w:rsidR="00E919D2">
        <w:t>The expected repayment period is between 8 and 10 years</w:t>
      </w:r>
      <w:r w:rsidR="002D7649">
        <w:t xml:space="preserve"> </w:t>
      </w:r>
      <w:r w:rsidR="006A0FEC">
        <w:t>[22]</w:t>
      </w:r>
      <w:r w:rsidR="00E919D2">
        <w:t>.</w:t>
      </w:r>
      <w:r w:rsidR="00740AF6">
        <w:t xml:space="preserve"> </w:t>
      </w:r>
      <w:r w:rsidR="00C762DC">
        <w:t>In the midstream, each</w:t>
      </w:r>
      <w:r w:rsidR="00551C11">
        <w:t xml:space="preserve"> </w:t>
      </w:r>
      <w:r w:rsidR="00C762DC">
        <w:t>30,000 m</w:t>
      </w:r>
      <w:r w:rsidR="00C762DC" w:rsidRPr="003556A5">
        <w:rPr>
          <w:vertAlign w:val="superscript"/>
        </w:rPr>
        <w:t>3</w:t>
      </w:r>
      <w:r w:rsidR="00C762DC">
        <w:t xml:space="preserve"> </w:t>
      </w:r>
      <w:r w:rsidR="00551C11">
        <w:t>LNG ship</w:t>
      </w:r>
      <w:r w:rsidR="00C762DC">
        <w:t xml:space="preserve"> ((Type C tank) in the fleet would </w:t>
      </w:r>
      <w:r w:rsidR="00551C11">
        <w:t>cost</w:t>
      </w:r>
      <w:r w:rsidR="00675DCF">
        <w:t xml:space="preserve"> $85 million to $10</w:t>
      </w:r>
      <w:r w:rsidR="00551C11">
        <w:t>0 mill</w:t>
      </w:r>
      <w:r w:rsidR="00C762DC">
        <w:t>ion.</w:t>
      </w:r>
      <w:r w:rsidR="00DE7139">
        <w:t xml:space="preserve"> </w:t>
      </w:r>
      <w:r w:rsidR="000E13F1">
        <w:t>R</w:t>
      </w:r>
      <w:r w:rsidR="00551C11">
        <w:t xml:space="preserve">egasification and storage </w:t>
      </w:r>
      <w:r w:rsidR="000E13F1">
        <w:t>plants</w:t>
      </w:r>
      <w:r w:rsidR="00DE7139">
        <w:t xml:space="preserve"> (ship berthing, storage tanks, etc.)</w:t>
      </w:r>
      <w:r w:rsidR="000E13F1">
        <w:t xml:space="preserve"> would cost $</w:t>
      </w:r>
      <w:r w:rsidR="00551C11">
        <w:t>0.</w:t>
      </w:r>
      <w:r w:rsidR="00C762DC">
        <w:t>6</w:t>
      </w:r>
      <w:r w:rsidR="000E13F1">
        <w:t>-$</w:t>
      </w:r>
      <w:r w:rsidR="00551C11">
        <w:t>0.</w:t>
      </w:r>
      <w:r w:rsidR="00C762DC">
        <w:t>8</w:t>
      </w:r>
      <w:r w:rsidR="00551C11">
        <w:t>/mscf</w:t>
      </w:r>
      <w:r w:rsidR="00E919D2">
        <w:t>, being investment cost for a tank of 28,000 m</w:t>
      </w:r>
      <w:r w:rsidR="00E919D2" w:rsidRPr="005510C2">
        <w:rPr>
          <w:vertAlign w:val="superscript"/>
        </w:rPr>
        <w:t>3</w:t>
      </w:r>
      <w:r w:rsidR="00E919D2">
        <w:t xml:space="preserve"> as $60 million [</w:t>
      </w:r>
      <w:r w:rsidR="00843917">
        <w:t>2</w:t>
      </w:r>
      <w:r w:rsidR="006A0FEC">
        <w:t>3</w:t>
      </w:r>
      <w:r w:rsidR="00E919D2">
        <w:t>]</w:t>
      </w:r>
      <w:r w:rsidR="00551C11">
        <w:t>.</w:t>
      </w:r>
      <w:r w:rsidR="00E919D2" w:rsidRPr="00E919D2">
        <w:t xml:space="preserve"> </w:t>
      </w:r>
      <w:r w:rsidR="00E919D2">
        <w:t>The weighted average unit cost of onshore regasification is set to $285/tonne in 2018 [</w:t>
      </w:r>
      <w:r w:rsidR="00843917">
        <w:t>2</w:t>
      </w:r>
      <w:r w:rsidR="006A0FEC">
        <w:t>4</w:t>
      </w:r>
      <w:r w:rsidR="00E919D2">
        <w:t>].</w:t>
      </w:r>
      <w:r w:rsidR="00551C11">
        <w:t xml:space="preserve"> </w:t>
      </w:r>
      <w:r w:rsidR="008523B1">
        <w:t>Smaller terminals involve higher unit regasification costs.</w:t>
      </w:r>
    </w:p>
    <w:p w:rsidR="00C762DC" w:rsidRDefault="00C762DC" w:rsidP="00551C11">
      <w:r>
        <w:t xml:space="preserve">Table 2 gives </w:t>
      </w:r>
      <w:r w:rsidR="00716C42">
        <w:t>the energy unit total cost of SSLNG value chain together with the single components.</w:t>
      </w:r>
    </w:p>
    <w:p w:rsidR="00971CA5" w:rsidRDefault="00971CA5" w:rsidP="000E13F1">
      <w:r>
        <w:t xml:space="preserve">SSLNG </w:t>
      </w:r>
      <w:r w:rsidR="00716C42">
        <w:t xml:space="preserve">technology </w:t>
      </w:r>
      <w:r>
        <w:t xml:space="preserve">has higher </w:t>
      </w:r>
      <w:r w:rsidR="00716C42">
        <w:t xml:space="preserve">energy </w:t>
      </w:r>
      <w:r>
        <w:t xml:space="preserve">unit costs than for large scale LNG because it costs more to transport a cubic metre of gas in a small carrier compared with a large carrier </w:t>
      </w:r>
      <w:r w:rsidR="008B4277">
        <w:t>and</w:t>
      </w:r>
      <w:r>
        <w:t xml:space="preserve"> much more to store a cubic metre of LNG in a small bullet than a full size terminal tank</w:t>
      </w:r>
      <w:r w:rsidR="008B4277">
        <w:t>. However, the total cost increase</w:t>
      </w:r>
      <w:r>
        <w:t xml:space="preserve"> </w:t>
      </w:r>
      <w:r w:rsidR="008B4277">
        <w:t>can be reduced</w:t>
      </w:r>
      <w:r>
        <w:t xml:space="preserve"> if </w:t>
      </w:r>
      <w:r w:rsidR="008B4277">
        <w:t xml:space="preserve">SSLNG </w:t>
      </w:r>
      <w:r>
        <w:t xml:space="preserve">concept is properly chosen </w:t>
      </w:r>
      <w:r w:rsidR="00716C42">
        <w:t>through a</w:t>
      </w:r>
      <w:r>
        <w:t xml:space="preserve"> cost optimisation</w:t>
      </w:r>
      <w:r w:rsidR="00716C42">
        <w:t xml:space="preserve"> scheme</w:t>
      </w:r>
      <w:r>
        <w:t xml:space="preserve">, considering </w:t>
      </w:r>
      <w:r w:rsidR="005528E4">
        <w:t xml:space="preserve">simultaneously </w:t>
      </w:r>
      <w:r>
        <w:t>logistics, technologies and</w:t>
      </w:r>
      <w:r w:rsidR="008B4277">
        <w:t>,</w:t>
      </w:r>
      <w:r>
        <w:t xml:space="preserve"> if possible</w:t>
      </w:r>
      <w:r w:rsidR="008B4277">
        <w:t>,</w:t>
      </w:r>
      <w:r>
        <w:t xml:space="preserve"> existing available infrastructure.</w:t>
      </w:r>
    </w:p>
    <w:p w:rsidR="000E13F1" w:rsidRPr="009732D1" w:rsidRDefault="000E13F1" w:rsidP="0046732F">
      <w:pPr>
        <w:pStyle w:val="ListParagraph"/>
        <w:spacing w:before="100" w:after="80" w:line="264" w:lineRule="auto"/>
        <w:ind w:left="0"/>
        <w:contextualSpacing w:val="0"/>
        <w:jc w:val="center"/>
        <w:rPr>
          <w:rFonts w:ascii="Times New Roman" w:hAnsi="Times New Roman" w:cs="Times New Roman"/>
          <w:b/>
          <w:sz w:val="16"/>
          <w:szCs w:val="16"/>
        </w:rPr>
      </w:pPr>
      <w:r w:rsidRPr="009732D1">
        <w:rPr>
          <w:rFonts w:ascii="Times New Roman" w:hAnsi="Times New Roman" w:cs="Times New Roman"/>
          <w:b/>
          <w:sz w:val="16"/>
          <w:szCs w:val="16"/>
        </w:rPr>
        <w:t xml:space="preserve">Table </w:t>
      </w:r>
      <w:r>
        <w:rPr>
          <w:rFonts w:ascii="Times New Roman" w:hAnsi="Times New Roman" w:cs="Times New Roman"/>
          <w:b/>
          <w:sz w:val="16"/>
          <w:szCs w:val="16"/>
        </w:rPr>
        <w:t>2</w:t>
      </w:r>
      <w:r w:rsidRPr="009732D1">
        <w:rPr>
          <w:rFonts w:ascii="Times New Roman" w:hAnsi="Times New Roman" w:cs="Times New Roman"/>
          <w:b/>
          <w:sz w:val="16"/>
          <w:szCs w:val="16"/>
        </w:rPr>
        <w:t xml:space="preserve">. </w:t>
      </w:r>
      <w:r w:rsidRPr="009732D1">
        <w:rPr>
          <w:rFonts w:ascii="Times New Roman" w:hAnsi="Times New Roman" w:cs="Times New Roman"/>
          <w:sz w:val="16"/>
          <w:szCs w:val="16"/>
        </w:rPr>
        <w:t>SSLNG value chain</w:t>
      </w:r>
    </w:p>
    <w:tbl>
      <w:tblPr>
        <w:tblStyle w:val="TableGrid"/>
        <w:tblW w:w="6238" w:type="dxa"/>
        <w:tblInd w:w="421" w:type="dxa"/>
        <w:tblLayout w:type="fixed"/>
        <w:tblLook w:val="04A0" w:firstRow="1" w:lastRow="0" w:firstColumn="1" w:lastColumn="0" w:noHBand="0" w:noVBand="1"/>
      </w:tblPr>
      <w:tblGrid>
        <w:gridCol w:w="1417"/>
        <w:gridCol w:w="1418"/>
        <w:gridCol w:w="1985"/>
        <w:gridCol w:w="1418"/>
      </w:tblGrid>
      <w:tr w:rsidR="000E13F1" w:rsidRPr="009732D1" w:rsidTr="00BD4DB0">
        <w:tc>
          <w:tcPr>
            <w:tcW w:w="1417" w:type="dxa"/>
          </w:tcPr>
          <w:p w:rsidR="000E13F1" w:rsidRPr="009732D1" w:rsidRDefault="000E13F1" w:rsidP="00BD4DB0">
            <w:pPr>
              <w:pStyle w:val="ListParagraph"/>
              <w:spacing w:after="0" w:line="240" w:lineRule="auto"/>
              <w:ind w:left="0"/>
              <w:contextualSpacing w:val="0"/>
              <w:jc w:val="center"/>
              <w:rPr>
                <w:rFonts w:ascii="Times New Roman" w:hAnsi="Times New Roman" w:cs="Times New Roman"/>
                <w:b/>
                <w:sz w:val="16"/>
                <w:szCs w:val="16"/>
              </w:rPr>
            </w:pPr>
            <w:r w:rsidRPr="009732D1">
              <w:rPr>
                <w:rFonts w:ascii="Times New Roman" w:hAnsi="Times New Roman" w:cs="Times New Roman"/>
                <w:b/>
                <w:sz w:val="16"/>
                <w:szCs w:val="16"/>
              </w:rPr>
              <w:t>Liquefaction</w:t>
            </w:r>
          </w:p>
        </w:tc>
        <w:tc>
          <w:tcPr>
            <w:tcW w:w="1418" w:type="dxa"/>
          </w:tcPr>
          <w:p w:rsidR="000E13F1" w:rsidRPr="009732D1" w:rsidRDefault="000E13F1" w:rsidP="00BD4DB0">
            <w:pPr>
              <w:pStyle w:val="ListParagraph"/>
              <w:spacing w:after="0" w:line="240" w:lineRule="auto"/>
              <w:ind w:left="0"/>
              <w:contextualSpacing w:val="0"/>
              <w:jc w:val="center"/>
              <w:rPr>
                <w:rFonts w:ascii="Times New Roman" w:hAnsi="Times New Roman" w:cs="Times New Roman"/>
                <w:b/>
                <w:sz w:val="16"/>
                <w:szCs w:val="16"/>
              </w:rPr>
            </w:pPr>
            <w:r w:rsidRPr="009732D1">
              <w:rPr>
                <w:rFonts w:ascii="Times New Roman" w:hAnsi="Times New Roman" w:cs="Times New Roman"/>
                <w:b/>
                <w:sz w:val="16"/>
                <w:szCs w:val="16"/>
              </w:rPr>
              <w:t>Shipping</w:t>
            </w:r>
          </w:p>
        </w:tc>
        <w:tc>
          <w:tcPr>
            <w:tcW w:w="1985" w:type="dxa"/>
          </w:tcPr>
          <w:p w:rsidR="000E13F1" w:rsidRPr="009732D1" w:rsidRDefault="000E13F1" w:rsidP="00BD4DB0">
            <w:pPr>
              <w:pStyle w:val="ListParagraph"/>
              <w:spacing w:after="0" w:line="240" w:lineRule="auto"/>
              <w:ind w:left="0"/>
              <w:contextualSpacing w:val="0"/>
              <w:jc w:val="center"/>
              <w:rPr>
                <w:rFonts w:ascii="Times New Roman" w:hAnsi="Times New Roman" w:cs="Times New Roman"/>
                <w:b/>
                <w:sz w:val="16"/>
                <w:szCs w:val="16"/>
              </w:rPr>
            </w:pPr>
            <w:r w:rsidRPr="009732D1">
              <w:rPr>
                <w:rFonts w:ascii="Times New Roman" w:hAnsi="Times New Roman" w:cs="Times New Roman"/>
                <w:b/>
                <w:sz w:val="16"/>
                <w:szCs w:val="16"/>
              </w:rPr>
              <w:t>Regasification &amp;Storage</w:t>
            </w:r>
          </w:p>
        </w:tc>
        <w:tc>
          <w:tcPr>
            <w:tcW w:w="1418" w:type="dxa"/>
          </w:tcPr>
          <w:p w:rsidR="000E13F1" w:rsidRPr="009732D1" w:rsidRDefault="000E13F1" w:rsidP="00BD4DB0">
            <w:pPr>
              <w:pStyle w:val="ListParagraph"/>
              <w:spacing w:after="0" w:line="240" w:lineRule="auto"/>
              <w:ind w:left="0"/>
              <w:contextualSpacing w:val="0"/>
              <w:jc w:val="center"/>
              <w:rPr>
                <w:rFonts w:ascii="Times New Roman" w:hAnsi="Times New Roman" w:cs="Times New Roman"/>
                <w:b/>
                <w:sz w:val="16"/>
                <w:szCs w:val="16"/>
              </w:rPr>
            </w:pPr>
            <w:r w:rsidRPr="009732D1">
              <w:rPr>
                <w:rFonts w:ascii="Times New Roman" w:hAnsi="Times New Roman" w:cs="Times New Roman"/>
                <w:b/>
                <w:sz w:val="16"/>
                <w:szCs w:val="16"/>
              </w:rPr>
              <w:t>Total</w:t>
            </w:r>
          </w:p>
        </w:tc>
      </w:tr>
      <w:tr w:rsidR="000E13F1" w:rsidRPr="009732D1" w:rsidTr="00BD4DB0">
        <w:tc>
          <w:tcPr>
            <w:tcW w:w="1417" w:type="dxa"/>
          </w:tcPr>
          <w:p w:rsidR="000E13F1" w:rsidRPr="009732D1" w:rsidRDefault="000E13F1" w:rsidP="00BD4DB0">
            <w:pPr>
              <w:pStyle w:val="ListParagraph"/>
              <w:spacing w:after="0" w:line="24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$1.4-$2.1</w:t>
            </w:r>
            <w:r w:rsidRPr="009732D1">
              <w:rPr>
                <w:rFonts w:ascii="Times New Roman" w:hAnsi="Times New Roman" w:cs="Times New Roman"/>
                <w:sz w:val="16"/>
                <w:szCs w:val="16"/>
              </w:rPr>
              <w:t>/mmBtu</w:t>
            </w:r>
          </w:p>
        </w:tc>
        <w:tc>
          <w:tcPr>
            <w:tcW w:w="1418" w:type="dxa"/>
          </w:tcPr>
          <w:p w:rsidR="000E13F1" w:rsidRPr="009732D1" w:rsidRDefault="000E13F1" w:rsidP="00BD4DB0">
            <w:pPr>
              <w:pStyle w:val="ListParagraph"/>
              <w:spacing w:after="0" w:line="240" w:lineRule="auto"/>
              <w:ind w:left="0"/>
              <w:contextualSpacing w:val="0"/>
              <w:jc w:val="center"/>
              <w:rPr>
                <w:rFonts w:ascii="Times New Roman" w:hAnsi="Times New Roman" w:cs="Times New Roman"/>
                <w:sz w:val="16"/>
                <w:szCs w:val="16"/>
              </w:rPr>
            </w:pPr>
            <w:r w:rsidRPr="009732D1">
              <w:rPr>
                <w:rFonts w:ascii="Times New Roman" w:hAnsi="Times New Roman" w:cs="Times New Roman"/>
                <w:sz w:val="16"/>
                <w:szCs w:val="16"/>
              </w:rPr>
              <w:t>$</w:t>
            </w:r>
            <w:r>
              <w:rPr>
                <w:rFonts w:ascii="Times New Roman" w:hAnsi="Times New Roman" w:cs="Times New Roman"/>
                <w:sz w:val="16"/>
                <w:szCs w:val="16"/>
              </w:rPr>
              <w:t>1.0</w:t>
            </w:r>
            <w:r w:rsidRPr="009732D1">
              <w:rPr>
                <w:rFonts w:ascii="Times New Roman" w:hAnsi="Times New Roman" w:cs="Times New Roman"/>
                <w:sz w:val="16"/>
                <w:szCs w:val="16"/>
              </w:rPr>
              <w:t>-$1.</w:t>
            </w:r>
            <w:r>
              <w:rPr>
                <w:rFonts w:ascii="Times New Roman" w:hAnsi="Times New Roman" w:cs="Times New Roman"/>
                <w:sz w:val="16"/>
                <w:szCs w:val="16"/>
              </w:rPr>
              <w:t>2</w:t>
            </w:r>
            <w:r w:rsidRPr="009732D1">
              <w:rPr>
                <w:rFonts w:ascii="Times New Roman" w:hAnsi="Times New Roman" w:cs="Times New Roman"/>
                <w:sz w:val="16"/>
                <w:szCs w:val="16"/>
              </w:rPr>
              <w:t>/mmBtu</w:t>
            </w:r>
          </w:p>
        </w:tc>
        <w:tc>
          <w:tcPr>
            <w:tcW w:w="1985" w:type="dxa"/>
          </w:tcPr>
          <w:p w:rsidR="000E13F1" w:rsidRPr="009732D1" w:rsidRDefault="000E13F1" w:rsidP="00BD4DB0">
            <w:pPr>
              <w:pStyle w:val="ListParagraph"/>
              <w:spacing w:after="0" w:line="240" w:lineRule="auto"/>
              <w:ind w:left="0"/>
              <w:contextualSpacing w:val="0"/>
              <w:jc w:val="center"/>
              <w:rPr>
                <w:rFonts w:ascii="Times New Roman" w:hAnsi="Times New Roman" w:cs="Times New Roman"/>
                <w:sz w:val="16"/>
                <w:szCs w:val="16"/>
              </w:rPr>
            </w:pPr>
            <w:r w:rsidRPr="009732D1">
              <w:rPr>
                <w:rFonts w:ascii="Times New Roman" w:hAnsi="Times New Roman" w:cs="Times New Roman"/>
                <w:sz w:val="16"/>
                <w:szCs w:val="16"/>
              </w:rPr>
              <w:t>$0.</w:t>
            </w:r>
            <w:r>
              <w:rPr>
                <w:rFonts w:ascii="Times New Roman" w:hAnsi="Times New Roman" w:cs="Times New Roman"/>
                <w:sz w:val="16"/>
                <w:szCs w:val="16"/>
              </w:rPr>
              <w:t>6</w:t>
            </w:r>
            <w:r w:rsidRPr="009732D1">
              <w:rPr>
                <w:rFonts w:ascii="Times New Roman" w:hAnsi="Times New Roman" w:cs="Times New Roman"/>
                <w:sz w:val="16"/>
                <w:szCs w:val="16"/>
              </w:rPr>
              <w:t>-$0.</w:t>
            </w:r>
            <w:r>
              <w:rPr>
                <w:rFonts w:ascii="Times New Roman" w:hAnsi="Times New Roman" w:cs="Times New Roman"/>
                <w:sz w:val="16"/>
                <w:szCs w:val="16"/>
              </w:rPr>
              <w:t>8</w:t>
            </w:r>
            <w:r w:rsidRPr="009732D1">
              <w:rPr>
                <w:rFonts w:ascii="Times New Roman" w:hAnsi="Times New Roman" w:cs="Times New Roman"/>
                <w:sz w:val="16"/>
                <w:szCs w:val="16"/>
              </w:rPr>
              <w:t>/mmBtu</w:t>
            </w:r>
          </w:p>
        </w:tc>
        <w:tc>
          <w:tcPr>
            <w:tcW w:w="1418" w:type="dxa"/>
          </w:tcPr>
          <w:p w:rsidR="000E13F1" w:rsidRPr="009732D1" w:rsidRDefault="000E13F1" w:rsidP="00BD4DB0">
            <w:pPr>
              <w:pStyle w:val="ListParagraph"/>
              <w:spacing w:after="0" w:line="24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$3.0</w:t>
            </w:r>
            <w:r w:rsidRPr="009732D1">
              <w:rPr>
                <w:rFonts w:ascii="Times New Roman" w:hAnsi="Times New Roman" w:cs="Times New Roman"/>
                <w:sz w:val="16"/>
                <w:szCs w:val="16"/>
              </w:rPr>
              <w:t>-$</w:t>
            </w:r>
            <w:r>
              <w:rPr>
                <w:rFonts w:ascii="Times New Roman" w:hAnsi="Times New Roman" w:cs="Times New Roman"/>
                <w:sz w:val="16"/>
                <w:szCs w:val="16"/>
              </w:rPr>
              <w:t>4.1</w:t>
            </w:r>
            <w:r w:rsidRPr="009732D1">
              <w:rPr>
                <w:rFonts w:ascii="Times New Roman" w:hAnsi="Times New Roman" w:cs="Times New Roman"/>
                <w:sz w:val="16"/>
                <w:szCs w:val="16"/>
              </w:rPr>
              <w:t>/mmBtu</w:t>
            </w:r>
          </w:p>
        </w:tc>
      </w:tr>
    </w:tbl>
    <w:p w:rsidR="00326FF9" w:rsidRPr="004B2E9B" w:rsidRDefault="00F31879" w:rsidP="006B449C">
      <w:pPr>
        <w:pStyle w:val="Heading1"/>
        <w:spacing w:before="360" w:after="120"/>
        <w:ind w:left="425" w:hanging="425"/>
        <w:rPr>
          <w:szCs w:val="20"/>
        </w:rPr>
      </w:pPr>
      <w:r>
        <w:rPr>
          <w:szCs w:val="20"/>
        </w:rPr>
        <w:lastRenderedPageBreak/>
        <w:t>C</w:t>
      </w:r>
      <w:r w:rsidR="00F96429">
        <w:rPr>
          <w:szCs w:val="20"/>
        </w:rPr>
        <w:t>ase</w:t>
      </w:r>
      <w:r>
        <w:rPr>
          <w:szCs w:val="20"/>
        </w:rPr>
        <w:t xml:space="preserve"> S</w:t>
      </w:r>
      <w:r w:rsidR="00F96429">
        <w:rPr>
          <w:szCs w:val="20"/>
        </w:rPr>
        <w:t>tudy</w:t>
      </w:r>
      <w:r>
        <w:rPr>
          <w:szCs w:val="20"/>
        </w:rPr>
        <w:t>:</w:t>
      </w:r>
      <w:r w:rsidR="00326FF9" w:rsidRPr="004B2E9B">
        <w:rPr>
          <w:szCs w:val="20"/>
        </w:rPr>
        <w:t xml:space="preserve"> E</w:t>
      </w:r>
      <w:r w:rsidR="00F96429">
        <w:rPr>
          <w:szCs w:val="20"/>
        </w:rPr>
        <w:t xml:space="preserve">xport of </w:t>
      </w:r>
      <w:r>
        <w:rPr>
          <w:szCs w:val="20"/>
        </w:rPr>
        <w:t>N</w:t>
      </w:r>
      <w:r w:rsidR="00F96429">
        <w:rPr>
          <w:szCs w:val="20"/>
        </w:rPr>
        <w:t>atural Gas from</w:t>
      </w:r>
      <w:r w:rsidR="00326FF9">
        <w:rPr>
          <w:szCs w:val="20"/>
        </w:rPr>
        <w:t xml:space="preserve"> </w:t>
      </w:r>
      <w:proofErr w:type="spellStart"/>
      <w:r w:rsidR="00326FF9">
        <w:rPr>
          <w:szCs w:val="20"/>
        </w:rPr>
        <w:t>Z</w:t>
      </w:r>
      <w:r w:rsidR="00F96429">
        <w:rPr>
          <w:szCs w:val="20"/>
        </w:rPr>
        <w:t>ö</w:t>
      </w:r>
      <w:r w:rsidR="00F96429">
        <w:rPr>
          <w:rFonts w:cs="Times New Roman"/>
          <w:szCs w:val="20"/>
        </w:rPr>
        <w:t>hr</w:t>
      </w:r>
      <w:proofErr w:type="spellEnd"/>
      <w:r w:rsidR="00326FF9">
        <w:rPr>
          <w:szCs w:val="20"/>
        </w:rPr>
        <w:t xml:space="preserve"> </w:t>
      </w:r>
      <w:r w:rsidR="00F96429">
        <w:rPr>
          <w:szCs w:val="20"/>
        </w:rPr>
        <w:t>to</w:t>
      </w:r>
      <w:r w:rsidR="00326FF9">
        <w:rPr>
          <w:szCs w:val="20"/>
        </w:rPr>
        <w:t xml:space="preserve"> </w:t>
      </w:r>
      <w:proofErr w:type="spellStart"/>
      <w:r w:rsidR="00326FF9">
        <w:rPr>
          <w:szCs w:val="20"/>
        </w:rPr>
        <w:t>B</w:t>
      </w:r>
      <w:r w:rsidR="00F96429">
        <w:rPr>
          <w:szCs w:val="20"/>
        </w:rPr>
        <w:t>rindisi</w:t>
      </w:r>
      <w:proofErr w:type="spellEnd"/>
    </w:p>
    <w:p w:rsidR="00326FF9" w:rsidRDefault="00326FF9" w:rsidP="0046732F">
      <w:pPr>
        <w:ind w:firstLine="0"/>
      </w:pPr>
      <w:r>
        <w:t xml:space="preserve">Typically, CNG will compete with other </w:t>
      </w:r>
      <w:r w:rsidR="00DE7139">
        <w:t>means</w:t>
      </w:r>
      <w:r>
        <w:t xml:space="preserve"> for exporting natural gas, i.e. pipelines, LNG, and SSLNG. LNG and different technologies of pressure vessels fitted on CNG ships </w:t>
      </w:r>
      <w:r w:rsidR="00FD694D">
        <w:t xml:space="preserve">are compared first </w:t>
      </w:r>
      <w:r>
        <w:t>o</w:t>
      </w:r>
      <w:r w:rsidR="00FD694D">
        <w:t>ver</w:t>
      </w:r>
      <w:r>
        <w:t xml:space="preserve"> the proposed Z</w:t>
      </w:r>
      <w:r w:rsidR="00922B88">
        <w:rPr>
          <w:szCs w:val="20"/>
        </w:rPr>
        <w:t>ö</w:t>
      </w:r>
      <w:r>
        <w:t xml:space="preserve">hr-Brindisi project </w:t>
      </w:r>
      <w:r w:rsidR="00FD694D">
        <w:t xml:space="preserve">with </w:t>
      </w:r>
      <w:r>
        <w:t>1,000 nm distance between suppl</w:t>
      </w:r>
      <w:r w:rsidR="00DE7139">
        <w:t>ier</w:t>
      </w:r>
      <w:r>
        <w:t xml:space="preserve"> and </w:t>
      </w:r>
      <w:r w:rsidR="00900691">
        <w:t>customer</w:t>
      </w:r>
      <w:r w:rsidR="00514E4B">
        <w:t xml:space="preserve"> that will receive around 1 </w:t>
      </w:r>
      <w:r w:rsidR="00900691">
        <w:t>mtpa</w:t>
      </w:r>
      <w:r>
        <w:t>. T</w:t>
      </w:r>
      <w:r w:rsidR="00FE54DA">
        <w:t>hen the CNG solution</w:t>
      </w:r>
      <w:r w:rsidR="00FD694D">
        <w:t>s</w:t>
      </w:r>
      <w:r w:rsidR="00FE54DA">
        <w:t xml:space="preserve"> </w:t>
      </w:r>
      <w:r w:rsidR="00FD694D">
        <w:t>are</w:t>
      </w:r>
      <w:r>
        <w:t xml:space="preserve"> </w:t>
      </w:r>
      <w:r w:rsidR="00FD694D">
        <w:t xml:space="preserve">also </w:t>
      </w:r>
      <w:r>
        <w:t>compared to subsea</w:t>
      </w:r>
      <w:r w:rsidR="00FE54DA">
        <w:t xml:space="preserve"> pipeline and SSLNG</w:t>
      </w:r>
      <w:r>
        <w:t xml:space="preserve">. It is assumed that the ship owners own the LNG, SSLNG and CNG ships. </w:t>
      </w:r>
      <w:r w:rsidR="00F31879">
        <w:t>As</w:t>
      </w:r>
      <w:r>
        <w:t xml:space="preserve"> there is no difference in </w:t>
      </w:r>
      <w:r w:rsidR="00F31879">
        <w:t xml:space="preserve">costs for </w:t>
      </w:r>
      <w:r>
        <w:t xml:space="preserve">the </w:t>
      </w:r>
      <w:r w:rsidR="00F31879">
        <w:t>exploration</w:t>
      </w:r>
      <w:r>
        <w:t xml:space="preserve"> &amp; production </w:t>
      </w:r>
      <w:r w:rsidR="00F31879">
        <w:t xml:space="preserve">phases between </w:t>
      </w:r>
      <w:r w:rsidR="00FD694D">
        <w:t>the competitive</w:t>
      </w:r>
      <w:r w:rsidR="00F31879">
        <w:t xml:space="preserve"> technologies, they are not considered in the</w:t>
      </w:r>
      <w:r w:rsidR="00FD694D">
        <w:t xml:space="preserve"> chain total costs</w:t>
      </w:r>
      <w:r>
        <w:t xml:space="preserve">. </w:t>
      </w:r>
      <w:r w:rsidR="00514E4B">
        <w:t xml:space="preserve">The scenario assumes that the downstream supplier and upstream producer have signed a long-term contract with “take-or-pay” </w:t>
      </w:r>
      <w:r w:rsidR="00514E4B" w:rsidRPr="00F248B6">
        <w:t>obligations</w:t>
      </w:r>
      <w:r w:rsidR="00514E4B">
        <w:t xml:space="preserve">. </w:t>
      </w:r>
    </w:p>
    <w:p w:rsidR="00514E4B" w:rsidRDefault="00326FF9" w:rsidP="00514E4B">
      <w:r>
        <w:t xml:space="preserve">Specific cost estimating models </w:t>
      </w:r>
      <w:r w:rsidR="00CD39E9">
        <w:t xml:space="preserve">have been developed in-house </w:t>
      </w:r>
      <w:r>
        <w:t>as a basis of calculated results. LNG and SSLNG receiving terminals have many machinery items in common and the</w:t>
      </w:r>
      <w:r w:rsidR="00CD39E9">
        <w:t>ir</w:t>
      </w:r>
      <w:r>
        <w:t xml:space="preserve"> costs </w:t>
      </w:r>
      <w:r w:rsidR="00CD39E9">
        <w:t>are kept constant</w:t>
      </w:r>
      <w:r>
        <w:t xml:space="preserve"> throughout the comparison, being independent </w:t>
      </w:r>
      <w:r w:rsidR="00ED428F">
        <w:t xml:space="preserve">the </w:t>
      </w:r>
      <w:r w:rsidR="00CD39E9">
        <w:t>on the ship size. T</w:t>
      </w:r>
      <w:r>
        <w:t xml:space="preserve">he financial model for each technological </w:t>
      </w:r>
      <w:r w:rsidR="00CD39E9">
        <w:t xml:space="preserve">option </w:t>
      </w:r>
      <w:r>
        <w:t xml:space="preserve">comprises corporate tax rate of 30%, no depreciation value, 60% </w:t>
      </w:r>
      <w:r>
        <w:rPr>
          <w:lang w:val="en-US"/>
        </w:rPr>
        <w:t>debt</w:t>
      </w:r>
      <w:r w:rsidRPr="00A17CC5">
        <w:t xml:space="preserve"> </w:t>
      </w:r>
      <w:r>
        <w:t xml:space="preserve">capital at 6.5 </w:t>
      </w:r>
      <w:r w:rsidRPr="00D7338E">
        <w:rPr>
          <w:lang w:val="en-US"/>
        </w:rPr>
        <w:t xml:space="preserve">interest </w:t>
      </w:r>
      <w:r>
        <w:rPr>
          <w:lang w:val="en-US"/>
        </w:rPr>
        <w:t>rate, payback period of 8 years (principal and interest)</w:t>
      </w:r>
      <w:r w:rsidR="00FD694D">
        <w:rPr>
          <w:lang w:val="en-US"/>
        </w:rPr>
        <w:t>,</w:t>
      </w:r>
      <w:r>
        <w:t xml:space="preserve"> and 12% IRR as reasonable project return.</w:t>
      </w:r>
    </w:p>
    <w:p w:rsidR="00326FF9" w:rsidRDefault="005C573C" w:rsidP="006B449C">
      <w:pPr>
        <w:pStyle w:val="Heading2"/>
        <w:spacing w:after="120"/>
        <w:ind w:left="0"/>
        <w:rPr>
          <w:lang w:eastAsia="en-US"/>
        </w:rPr>
      </w:pPr>
      <w:r>
        <w:rPr>
          <w:lang w:eastAsia="en-US"/>
        </w:rPr>
        <w:t xml:space="preserve">Comparison between </w:t>
      </w:r>
      <w:r w:rsidR="00326FF9">
        <w:rPr>
          <w:lang w:eastAsia="en-US"/>
        </w:rPr>
        <w:t xml:space="preserve">CNG </w:t>
      </w:r>
      <w:r>
        <w:rPr>
          <w:lang w:eastAsia="en-US"/>
        </w:rPr>
        <w:t>and</w:t>
      </w:r>
      <w:r w:rsidR="00326FF9">
        <w:rPr>
          <w:lang w:eastAsia="en-US"/>
        </w:rPr>
        <w:t xml:space="preserve"> LNG</w:t>
      </w:r>
    </w:p>
    <w:p w:rsidR="00326FF9" w:rsidRDefault="00514E4B" w:rsidP="008D6866">
      <w:pPr>
        <w:ind w:firstLine="0"/>
      </w:pPr>
      <w:r>
        <w:rPr>
          <w:szCs w:val="20"/>
        </w:rPr>
        <w:t xml:space="preserve">Figure 2 </w:t>
      </w:r>
      <w:r w:rsidR="00614B29">
        <w:rPr>
          <w:szCs w:val="20"/>
        </w:rPr>
        <w:t>illustrates the comparative assessment between LNG and CNG technologies</w:t>
      </w:r>
      <w:r w:rsidR="00614B29">
        <w:t xml:space="preserve"> for two different expected rate of return. </w:t>
      </w:r>
      <w:r w:rsidR="00864344" w:rsidRPr="004D04A1">
        <w:t>As gas volumes increase, tariffs logically decline.</w:t>
      </w:r>
      <w:r w:rsidR="00864344">
        <w:t xml:space="preserve"> </w:t>
      </w:r>
      <w:r w:rsidR="00614B29">
        <w:t>It is clear how the tariff dramatically increases for low gas volume</w:t>
      </w:r>
      <w:r w:rsidR="00447457">
        <w:t>s</w:t>
      </w:r>
      <w:r w:rsidR="00614B29">
        <w:t xml:space="preserve">, e.g. </w:t>
      </w:r>
      <w:r w:rsidR="004D25BE">
        <w:t xml:space="preserve">for less than </w:t>
      </w:r>
      <w:r w:rsidR="00447457">
        <w:t xml:space="preserve">     </w:t>
      </w:r>
      <w:r w:rsidR="004D25BE">
        <w:t xml:space="preserve">2 bscm/y, for all the marine transportation modes. </w:t>
      </w:r>
      <w:r w:rsidR="008D6866">
        <w:t>It goes without saying that LNG chain cannot be considered at all a solution for short distances as it is the case in the internal Mediterranean gas market.</w:t>
      </w:r>
    </w:p>
    <w:p w:rsidR="00AA53D2" w:rsidRPr="00F07DF2" w:rsidRDefault="00326FF9" w:rsidP="000E13F1">
      <w:pPr>
        <w:spacing w:before="80" w:line="276" w:lineRule="auto"/>
        <w:ind w:firstLine="0"/>
        <w:jc w:val="center"/>
        <w:rPr>
          <w:noProof/>
          <w:lang w:eastAsia="en-GB"/>
        </w:rPr>
      </w:pPr>
      <w:r w:rsidRPr="00D55364">
        <w:rPr>
          <w:noProof/>
          <w:lang w:val="it-IT" w:eastAsia="it-IT"/>
        </w:rPr>
        <w:drawing>
          <wp:inline distT="0" distB="0" distL="0" distR="0" wp14:anchorId="7B2C3F8D" wp14:editId="6B8EF3A4">
            <wp:extent cx="2241019" cy="1576445"/>
            <wp:effectExtent l="0" t="0" r="6985" b="5080"/>
            <wp:docPr id="1" name="Picture 1" descr="D:\cng\graphs_nav\tariffs_nm1000_ir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ng\graphs_nav\tariffs_nm1000_irr1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3516" cy="1711857"/>
                    </a:xfrm>
                    <a:prstGeom prst="rect">
                      <a:avLst/>
                    </a:prstGeom>
                    <a:noFill/>
                    <a:ln>
                      <a:noFill/>
                    </a:ln>
                  </pic:spPr>
                </pic:pic>
              </a:graphicData>
            </a:graphic>
          </wp:inline>
        </w:drawing>
      </w:r>
    </w:p>
    <w:p w:rsidR="00326FF9" w:rsidRDefault="00326FF9" w:rsidP="00AA53D2">
      <w:pPr>
        <w:spacing w:after="40"/>
        <w:ind w:firstLine="0"/>
        <w:jc w:val="center"/>
        <w:rPr>
          <w:noProof/>
          <w:lang w:eastAsia="en-GB"/>
        </w:rPr>
      </w:pPr>
      <w:r w:rsidRPr="00D55364">
        <w:rPr>
          <w:noProof/>
          <w:lang w:val="it-IT" w:eastAsia="it-IT"/>
        </w:rPr>
        <w:drawing>
          <wp:inline distT="0" distB="0" distL="0" distR="0" wp14:anchorId="6625B850" wp14:editId="501CB7E4">
            <wp:extent cx="2237660" cy="1574082"/>
            <wp:effectExtent l="0" t="0" r="0" b="7620"/>
            <wp:docPr id="5" name="Picture 5" descr="D:\cng\graphs_nav\tariffs_nm1000_ir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ng\graphs_nav\tariffs_nm1000_irr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0914" cy="1702992"/>
                    </a:xfrm>
                    <a:prstGeom prst="rect">
                      <a:avLst/>
                    </a:prstGeom>
                    <a:noFill/>
                    <a:ln>
                      <a:noFill/>
                    </a:ln>
                  </pic:spPr>
                </pic:pic>
              </a:graphicData>
            </a:graphic>
          </wp:inline>
        </w:drawing>
      </w:r>
    </w:p>
    <w:p w:rsidR="00326FF9" w:rsidRDefault="00326FF9" w:rsidP="00326FF9">
      <w:pPr>
        <w:spacing w:after="80"/>
        <w:ind w:firstLine="0"/>
        <w:jc w:val="center"/>
        <w:rPr>
          <w:sz w:val="16"/>
          <w:szCs w:val="16"/>
        </w:rPr>
      </w:pPr>
      <w:r w:rsidRPr="00D315C4">
        <w:rPr>
          <w:b/>
          <w:sz w:val="16"/>
          <w:szCs w:val="16"/>
        </w:rPr>
        <w:t xml:space="preserve">Figure </w:t>
      </w:r>
      <w:r>
        <w:rPr>
          <w:b/>
          <w:sz w:val="16"/>
          <w:szCs w:val="16"/>
        </w:rPr>
        <w:t>2</w:t>
      </w:r>
      <w:r w:rsidRPr="00D315C4">
        <w:rPr>
          <w:b/>
          <w:sz w:val="16"/>
          <w:szCs w:val="16"/>
        </w:rPr>
        <w:t>.</w:t>
      </w:r>
      <w:r w:rsidRPr="00D315C4">
        <w:rPr>
          <w:sz w:val="16"/>
          <w:szCs w:val="16"/>
        </w:rPr>
        <w:t xml:space="preserve"> </w:t>
      </w:r>
      <w:r>
        <w:rPr>
          <w:sz w:val="16"/>
          <w:szCs w:val="16"/>
        </w:rPr>
        <w:t>Comparison of total tariff among CNG and LNG marine transport</w:t>
      </w:r>
    </w:p>
    <w:p w:rsidR="00326FF9" w:rsidRDefault="002560B9" w:rsidP="00326FF9">
      <w:pPr>
        <w:pStyle w:val="Heading2"/>
        <w:ind w:left="0"/>
        <w:rPr>
          <w:lang w:eastAsia="en-US"/>
        </w:rPr>
      </w:pPr>
      <w:r>
        <w:rPr>
          <w:lang w:eastAsia="en-US"/>
        </w:rPr>
        <w:lastRenderedPageBreak/>
        <w:t>Comparative Assessment of Natural Gas Transport Technologies</w:t>
      </w:r>
    </w:p>
    <w:p w:rsidR="00326FF9" w:rsidRDefault="00BB4D35" w:rsidP="00326FF9">
      <w:pPr>
        <w:ind w:firstLine="0"/>
      </w:pPr>
      <w:r>
        <w:t xml:space="preserve">The following summarizes the comparative assessment of all the technologies considered in this paper. </w:t>
      </w:r>
      <w:r w:rsidR="00326FF9">
        <w:t>For the pipeline solution, assumption is made that the quantity of imported gas is such that the pipeline is working at full capacity to meet both the domestic and industrial demand.</w:t>
      </w:r>
      <w:r w:rsidR="00E504D0">
        <w:t xml:space="preserve"> For the LNG ships, the typical service speed was assumed as 19 knots.</w:t>
      </w:r>
    </w:p>
    <w:p w:rsidR="00326FF9" w:rsidRDefault="00326FF9" w:rsidP="00BB4D35">
      <w:r>
        <w:t>In the case of the SSLNG chain the process starts at a large scale liquefaction facility with break bulk, loads LNG into small scale carriers (30,000m</w:t>
      </w:r>
      <w:r w:rsidRPr="00A71A37">
        <w:rPr>
          <w:vertAlign w:val="superscript"/>
        </w:rPr>
        <w:t>3</w:t>
      </w:r>
      <w:r>
        <w:t xml:space="preserve">), transports LNG to a receiving terminal and stores LNG in small scale tanks to be </w:t>
      </w:r>
      <w:proofErr w:type="spellStart"/>
      <w:r>
        <w:t>regasified</w:t>
      </w:r>
      <w:proofErr w:type="spellEnd"/>
      <w:r>
        <w:t>.</w:t>
      </w:r>
    </w:p>
    <w:p w:rsidR="00326FF9" w:rsidRPr="00326FF9" w:rsidRDefault="00514E4B" w:rsidP="00326FF9">
      <w:r>
        <w:t>Results are expressed through value chain tariffs unitized on a</w:t>
      </w:r>
      <w:r w:rsidR="00447457">
        <w:t>n</w:t>
      </w:r>
      <w:r>
        <w:t xml:space="preserve"> mmBtu basis. </w:t>
      </w:r>
      <w:r w:rsidR="00326FF9">
        <w:t>The quantitative analysis for the available technologi</w:t>
      </w:r>
      <w:r w:rsidR="00E504D0">
        <w:t xml:space="preserve">es lends itself to a ranking </w:t>
      </w:r>
      <w:r w:rsidR="00326FF9">
        <w:t>easily readable in the bar diagram given in Figure 3.</w:t>
      </w:r>
    </w:p>
    <w:p w:rsidR="00326FF9" w:rsidRDefault="00514E4B" w:rsidP="00326FF9">
      <w:pPr>
        <w:spacing w:before="80"/>
        <w:jc w:val="center"/>
      </w:pPr>
      <w:r w:rsidRPr="00514E4B">
        <w:rPr>
          <w:noProof/>
          <w:lang w:val="it-IT" w:eastAsia="it-IT"/>
        </w:rPr>
        <w:drawing>
          <wp:inline distT="0" distB="0" distL="0" distR="0">
            <wp:extent cx="3122317" cy="1492633"/>
            <wp:effectExtent l="0" t="0" r="1905" b="0"/>
            <wp:docPr id="3" name="Picture 3" descr="D:\cng\graphs_nav\tariffs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ng\graphs_nav\tariffs_ba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9108" cy="1505440"/>
                    </a:xfrm>
                    <a:prstGeom prst="rect">
                      <a:avLst/>
                    </a:prstGeom>
                    <a:noFill/>
                    <a:ln>
                      <a:noFill/>
                    </a:ln>
                  </pic:spPr>
                </pic:pic>
              </a:graphicData>
            </a:graphic>
          </wp:inline>
        </w:drawing>
      </w:r>
    </w:p>
    <w:p w:rsidR="00326FF9" w:rsidRPr="004606BF" w:rsidRDefault="00326FF9" w:rsidP="00326FF9">
      <w:pPr>
        <w:jc w:val="center"/>
        <w:rPr>
          <w:sz w:val="16"/>
          <w:szCs w:val="16"/>
        </w:rPr>
      </w:pPr>
      <w:r w:rsidRPr="0046732F">
        <w:rPr>
          <w:b/>
          <w:sz w:val="16"/>
          <w:szCs w:val="16"/>
        </w:rPr>
        <w:t>Figure 3.</w:t>
      </w:r>
      <w:r w:rsidRPr="004606BF">
        <w:rPr>
          <w:sz w:val="16"/>
          <w:szCs w:val="16"/>
        </w:rPr>
        <w:t xml:space="preserve"> Comparison of </w:t>
      </w:r>
      <w:r>
        <w:rPr>
          <w:sz w:val="16"/>
          <w:szCs w:val="16"/>
        </w:rPr>
        <w:t xml:space="preserve">gas </w:t>
      </w:r>
      <w:r w:rsidR="00203670">
        <w:rPr>
          <w:sz w:val="16"/>
          <w:szCs w:val="16"/>
        </w:rPr>
        <w:t>delivering</w:t>
      </w:r>
      <w:r>
        <w:rPr>
          <w:sz w:val="16"/>
          <w:szCs w:val="16"/>
        </w:rPr>
        <w:t xml:space="preserve"> </w:t>
      </w:r>
      <w:r w:rsidRPr="004606BF">
        <w:rPr>
          <w:sz w:val="16"/>
          <w:szCs w:val="16"/>
        </w:rPr>
        <w:t xml:space="preserve">tariffs for </w:t>
      </w:r>
      <w:r>
        <w:rPr>
          <w:sz w:val="16"/>
          <w:szCs w:val="16"/>
        </w:rPr>
        <w:t>different technologies</w:t>
      </w:r>
    </w:p>
    <w:p w:rsidR="004B2E9B" w:rsidRPr="00F248B6" w:rsidRDefault="004B2E9B" w:rsidP="00BB4D35">
      <w:pPr>
        <w:pStyle w:val="Heading1"/>
        <w:spacing w:before="360"/>
        <w:ind w:left="425" w:hanging="425"/>
        <w:rPr>
          <w:szCs w:val="20"/>
        </w:rPr>
      </w:pPr>
      <w:r w:rsidRPr="00F248B6">
        <w:rPr>
          <w:szCs w:val="20"/>
        </w:rPr>
        <w:t>C</w:t>
      </w:r>
      <w:r w:rsidR="008138E0">
        <w:rPr>
          <w:szCs w:val="20"/>
        </w:rPr>
        <w:t>onclusions</w:t>
      </w:r>
    </w:p>
    <w:p w:rsidR="004B2E9B" w:rsidRDefault="004B2E9B" w:rsidP="00F248B6">
      <w:pPr>
        <w:ind w:firstLine="0"/>
      </w:pPr>
      <w:r>
        <w:t>The uncertainties and complexity of the LNG and pipeline marketplace due to the geopolitically risky areas of the Middle East should encourage gas companies to diversify the planned exports to South Europe regional markets in order to achieve an early monetisation of the natural gas finds in Z</w:t>
      </w:r>
      <w:r w:rsidR="00922B88">
        <w:rPr>
          <w:szCs w:val="20"/>
        </w:rPr>
        <w:t>ö</w:t>
      </w:r>
      <w:r>
        <w:t>hr giant field. Such markets, situated within a range of up to 2,000 nautical miles, include Italy, Croatia, Spain, France, and even islands in the Aegean and Ionian Seas. Some of these markets do not have a large enough profile to sustain the commercial viability of LNG supply chain or to justify the long-term and huge investment for offshore pipelines. These markets c</w:t>
      </w:r>
      <w:r w:rsidR="00AC6561">
        <w:t>ould</w:t>
      </w:r>
      <w:r>
        <w:t xml:space="preserve"> easily be accessed using marine CNG which is a flexible and versatile technology. Indeed, even though no one had the courage to implement a marine CNG project so far, this technology undoubtedly presents </w:t>
      </w:r>
      <w:r w:rsidR="00AC6561">
        <w:t>many</w:t>
      </w:r>
      <w:r>
        <w:t xml:space="preserve"> advantages: lower costs for the total supply chain, fat, and low footprint.</w:t>
      </w:r>
    </w:p>
    <w:p w:rsidR="004B2E9B" w:rsidRDefault="00F248B6" w:rsidP="00F248B6">
      <w:r>
        <w:t>That is why</w:t>
      </w:r>
      <w:r w:rsidR="004B2E9B">
        <w:t xml:space="preserve"> the</w:t>
      </w:r>
      <w:r w:rsidR="004B2E9B" w:rsidRPr="004D04A1">
        <w:t xml:space="preserve"> primary objective of this paper was to </w:t>
      </w:r>
      <w:r w:rsidR="00465093">
        <w:t xml:space="preserve">analyse </w:t>
      </w:r>
      <w:r w:rsidR="00961B0A">
        <w:t>different t</w:t>
      </w:r>
      <w:r w:rsidR="00465093">
        <w:t>echnological solutions for transporting natural gas and to find</w:t>
      </w:r>
      <w:r w:rsidR="004B2E9B" w:rsidRPr="004D04A1">
        <w:t xml:space="preserve"> whether CNG marine transportation is a viable solution within the Mediterranean </w:t>
      </w:r>
      <w:r w:rsidR="004B2E9B">
        <w:t>Basin</w:t>
      </w:r>
      <w:r w:rsidR="004B2E9B" w:rsidRPr="004D04A1">
        <w:t xml:space="preserve">. </w:t>
      </w:r>
      <w:r w:rsidR="009732D1">
        <w:t>The overall tariff</w:t>
      </w:r>
      <w:r w:rsidR="004B2E9B" w:rsidRPr="004D04A1">
        <w:t xml:space="preserve"> for delivering an energy unit of gas </w:t>
      </w:r>
      <w:r w:rsidR="00864344">
        <w:t>in a possible Mediterranean crossing (</w:t>
      </w:r>
      <w:r w:rsidR="009732D1">
        <w:t>from Z</w:t>
      </w:r>
      <w:r w:rsidR="00922B88">
        <w:rPr>
          <w:szCs w:val="20"/>
        </w:rPr>
        <w:t>ö</w:t>
      </w:r>
      <w:r w:rsidR="009732D1">
        <w:t>hr to Brindisi</w:t>
      </w:r>
      <w:r w:rsidR="00864344">
        <w:t>)</w:t>
      </w:r>
      <w:r w:rsidR="009732D1">
        <w:t xml:space="preserve"> </w:t>
      </w:r>
      <w:r w:rsidR="004B2E9B" w:rsidRPr="004D04A1">
        <w:t>w</w:t>
      </w:r>
      <w:r w:rsidR="009732D1">
        <w:t>as</w:t>
      </w:r>
      <w:r w:rsidR="004B2E9B" w:rsidRPr="004D04A1">
        <w:t xml:space="preserve"> assessed putting in competition </w:t>
      </w:r>
      <w:r w:rsidR="00864344">
        <w:t>four</w:t>
      </w:r>
      <w:r w:rsidR="004B2E9B">
        <w:t xml:space="preserve"> </w:t>
      </w:r>
      <w:r w:rsidR="004B2E9B" w:rsidRPr="004D04A1">
        <w:t xml:space="preserve">technologies, namely </w:t>
      </w:r>
      <w:r w:rsidR="00864344">
        <w:t xml:space="preserve">LNG, </w:t>
      </w:r>
      <w:r w:rsidR="009732D1">
        <w:t>SSLNG, CNG</w:t>
      </w:r>
      <w:r w:rsidR="00864344">
        <w:t>,</w:t>
      </w:r>
      <w:r w:rsidR="009732D1">
        <w:t xml:space="preserve"> and pipelines. It </w:t>
      </w:r>
      <w:r w:rsidR="004B2E9B" w:rsidRPr="004D04A1">
        <w:t xml:space="preserve">has been highlighted that </w:t>
      </w:r>
      <w:r w:rsidR="00B9638A">
        <w:t xml:space="preserve">in what might be termed “actual transport competition”, </w:t>
      </w:r>
      <w:r w:rsidR="004B2E9B" w:rsidRPr="004D04A1">
        <w:t>the CNG chain is absolutely the most economical one.</w:t>
      </w:r>
      <w:r w:rsidR="004B2E9B">
        <w:t xml:space="preserve"> </w:t>
      </w:r>
    </w:p>
    <w:p w:rsidR="0080399B" w:rsidRDefault="0080399B" w:rsidP="00F248B6">
      <w:r>
        <w:t>Marine CNG should find good applications in complementing offshore gas gathering and floating production systems</w:t>
      </w:r>
      <w:r w:rsidR="00864054">
        <w:t xml:space="preserve"> adding value</w:t>
      </w:r>
      <w:r>
        <w:t>,</w:t>
      </w:r>
      <w:r w:rsidR="00864054">
        <w:t xml:space="preserve"> to FNLG and onshore LNG plants without high terminal capital expenditure,</w:t>
      </w:r>
      <w:r>
        <w:t xml:space="preserve"> but can stand on its own too. Delivery </w:t>
      </w:r>
      <w:r>
        <w:lastRenderedPageBreak/>
        <w:t xml:space="preserve">system commercial </w:t>
      </w:r>
      <w:r w:rsidR="001D7F55">
        <w:t>convenience</w:t>
      </w:r>
      <w:r>
        <w:t xml:space="preserve"> is estimated up to 2,000-2,500 nm.</w:t>
      </w:r>
      <w:r w:rsidR="001D7F55">
        <w:t xml:space="preserve"> Marine CNG is particularly advantageous at short distances: when supplying 500 MW of power generation capacity, savings of about $50 million per year can be achieved</w:t>
      </w:r>
      <w:r w:rsidR="00B9638A">
        <w:t xml:space="preserve"> with respect to whichever alternative technology</w:t>
      </w:r>
      <w:r w:rsidR="001D7F55">
        <w:t>.</w:t>
      </w:r>
    </w:p>
    <w:p w:rsidR="00D25D14" w:rsidRPr="004D04A1" w:rsidRDefault="004B2E9B" w:rsidP="009732D1">
      <w:r>
        <w:t xml:space="preserve">Nevertheless, it must be pointed out that </w:t>
      </w:r>
      <w:r w:rsidR="00AC6561">
        <w:t>also</w:t>
      </w:r>
      <w:r>
        <w:t xml:space="preserve"> </w:t>
      </w:r>
      <w:r w:rsidR="00AC6561">
        <w:t>adoption</w:t>
      </w:r>
      <w:r>
        <w:t xml:space="preserve"> of </w:t>
      </w:r>
      <w:r w:rsidR="00AC6561">
        <w:t xml:space="preserve">a </w:t>
      </w:r>
      <w:r>
        <w:t xml:space="preserve">CNG </w:t>
      </w:r>
      <w:r w:rsidR="00AC6561">
        <w:t>chain strategy</w:t>
      </w:r>
      <w:r>
        <w:t xml:space="preserve"> would depend on secu</w:t>
      </w:r>
      <w:r w:rsidR="00AC6561">
        <w:t xml:space="preserve">ring </w:t>
      </w:r>
      <w:r>
        <w:t>long-term contracts (not less than 10 years). Only national states could be able to secure such contracts in the framework of solid energy plans.</w:t>
      </w:r>
      <w:r w:rsidR="00B9638A">
        <w:t xml:space="preserve"> In this respect, Italian and European politicians and decision makers must evaluate not only the economic viability and risks of whichever solution, but also take into account the negative im</w:t>
      </w:r>
      <w:r w:rsidR="00AC6561">
        <w:t>plications of political turn points</w:t>
      </w:r>
      <w:r w:rsidR="00B9638A">
        <w:t xml:space="preserve">, trade embargos and terrorist </w:t>
      </w:r>
      <w:r w:rsidR="00AC6561">
        <w:t>threats.</w:t>
      </w:r>
    </w:p>
    <w:p w:rsidR="00F20205" w:rsidRDefault="00B05D6E" w:rsidP="00843917">
      <w:pPr>
        <w:pStyle w:val="HeadingUnn1"/>
        <w:spacing w:before="240"/>
      </w:pPr>
      <w:r>
        <w:t>References</w:t>
      </w:r>
    </w:p>
    <w:p w:rsidR="00F20205" w:rsidRPr="006B449C" w:rsidRDefault="00F20205" w:rsidP="00F20205">
      <w:pPr>
        <w:pStyle w:val="References"/>
        <w:numPr>
          <w:ilvl w:val="0"/>
          <w:numId w:val="7"/>
        </w:numPr>
        <w:tabs>
          <w:tab w:val="clear" w:pos="255"/>
        </w:tabs>
        <w:ind w:left="426" w:hanging="426"/>
        <w:rPr>
          <w:szCs w:val="16"/>
        </w:rPr>
      </w:pPr>
      <w:r w:rsidRPr="00DE4DD8">
        <w:rPr>
          <w:szCs w:val="16"/>
        </w:rPr>
        <w:t xml:space="preserve">Energy </w:t>
      </w:r>
      <w:r w:rsidRPr="006B449C">
        <w:rPr>
          <w:szCs w:val="16"/>
        </w:rPr>
        <w:t xml:space="preserve">Information Administration (IEA), </w:t>
      </w:r>
      <w:r w:rsidRPr="006B449C">
        <w:rPr>
          <w:i/>
          <w:szCs w:val="16"/>
        </w:rPr>
        <w:t>International Energy Annual 2016</w:t>
      </w:r>
      <w:r w:rsidRPr="006B449C">
        <w:rPr>
          <w:szCs w:val="16"/>
        </w:rPr>
        <w:t>, DOE/EIA-0219 (2016).</w:t>
      </w:r>
    </w:p>
    <w:p w:rsidR="00F20205" w:rsidRPr="006B449C" w:rsidRDefault="00BE3BFB" w:rsidP="00BE3BFB">
      <w:pPr>
        <w:pStyle w:val="References"/>
        <w:numPr>
          <w:ilvl w:val="0"/>
          <w:numId w:val="7"/>
        </w:numPr>
        <w:tabs>
          <w:tab w:val="clear" w:pos="255"/>
        </w:tabs>
        <w:ind w:left="426" w:hanging="426"/>
      </w:pPr>
      <w:r w:rsidRPr="006B449C">
        <w:t xml:space="preserve">Ministry of Economic Development: </w:t>
      </w:r>
      <w:r w:rsidRPr="006B449C">
        <w:rPr>
          <w:i/>
        </w:rPr>
        <w:t>Italy’s National Energy Strategy</w:t>
      </w:r>
      <w:r w:rsidRPr="006B449C">
        <w:t>, Rome (2017).</w:t>
      </w:r>
    </w:p>
    <w:p w:rsidR="00BE3BFB" w:rsidRPr="006B449C" w:rsidRDefault="00BE3BFB" w:rsidP="00BE3BFB">
      <w:pPr>
        <w:pStyle w:val="References"/>
        <w:numPr>
          <w:ilvl w:val="0"/>
          <w:numId w:val="7"/>
        </w:numPr>
        <w:tabs>
          <w:tab w:val="clear" w:pos="255"/>
        </w:tabs>
        <w:ind w:left="426" w:hanging="426"/>
      </w:pPr>
      <w:r w:rsidRPr="006B449C">
        <w:t xml:space="preserve">A. </w:t>
      </w:r>
      <w:proofErr w:type="spellStart"/>
      <w:r w:rsidRPr="006B449C">
        <w:t>Aspelund</w:t>
      </w:r>
      <w:proofErr w:type="spellEnd"/>
      <w:r w:rsidRPr="006B449C">
        <w:t xml:space="preserve">, T. </w:t>
      </w:r>
      <w:proofErr w:type="spellStart"/>
      <w:r w:rsidRPr="006B449C">
        <w:t>Gundersen</w:t>
      </w:r>
      <w:proofErr w:type="spellEnd"/>
      <w:r w:rsidRPr="006B449C">
        <w:t xml:space="preserve">: The Liquefied Energy Chain, </w:t>
      </w:r>
      <w:r w:rsidRPr="006B449C">
        <w:rPr>
          <w:i/>
        </w:rPr>
        <w:t>1</w:t>
      </w:r>
      <w:r w:rsidRPr="006B449C">
        <w:rPr>
          <w:i/>
          <w:vertAlign w:val="superscript"/>
        </w:rPr>
        <w:t>st</w:t>
      </w:r>
      <w:r w:rsidRPr="006B449C">
        <w:rPr>
          <w:i/>
        </w:rPr>
        <w:t xml:space="preserve"> Annual Gas Processing Symposium</w:t>
      </w:r>
      <w:r w:rsidRPr="006B449C">
        <w:t xml:space="preserve"> (2009), Doha, Qatar, Elsevier B.V.</w:t>
      </w:r>
    </w:p>
    <w:p w:rsidR="00BE3BFB" w:rsidRPr="006B449C" w:rsidRDefault="00BE3BFB" w:rsidP="00BE3BFB">
      <w:pPr>
        <w:pStyle w:val="References"/>
        <w:numPr>
          <w:ilvl w:val="0"/>
          <w:numId w:val="7"/>
        </w:numPr>
        <w:tabs>
          <w:tab w:val="clear" w:pos="255"/>
        </w:tabs>
        <w:ind w:left="426" w:hanging="426"/>
      </w:pPr>
      <w:r w:rsidRPr="006B449C">
        <w:t xml:space="preserve">J.H. Cho, H. </w:t>
      </w:r>
      <w:proofErr w:type="spellStart"/>
      <w:r w:rsidRPr="006B449C">
        <w:t>Kotzot</w:t>
      </w:r>
      <w:proofErr w:type="spellEnd"/>
      <w:r w:rsidRPr="006B449C">
        <w:t xml:space="preserve">, F. </w:t>
      </w:r>
      <w:proofErr w:type="spellStart"/>
      <w:r w:rsidRPr="006B449C">
        <w:t>DelaVega</w:t>
      </w:r>
      <w:proofErr w:type="spellEnd"/>
      <w:r w:rsidRPr="006B449C">
        <w:t xml:space="preserve">, C. </w:t>
      </w:r>
      <w:proofErr w:type="spellStart"/>
      <w:r w:rsidRPr="006B449C">
        <w:t>Durr</w:t>
      </w:r>
      <w:proofErr w:type="spellEnd"/>
      <w:r w:rsidRPr="006B449C">
        <w:t xml:space="preserve">: Large LNG Carrier Poses Economic Advantages and Technical Challenges, </w:t>
      </w:r>
      <w:r w:rsidRPr="006B449C">
        <w:rPr>
          <w:i/>
        </w:rPr>
        <w:t>Oil and Gas Journal</w:t>
      </w:r>
      <w:r w:rsidRPr="006B449C">
        <w:t xml:space="preserve">, </w:t>
      </w:r>
      <w:r w:rsidRPr="006B449C">
        <w:rPr>
          <w:b/>
        </w:rPr>
        <w:t>2</w:t>
      </w:r>
      <w:r w:rsidRPr="006B449C">
        <w:t xml:space="preserve"> (2005).</w:t>
      </w:r>
    </w:p>
    <w:p w:rsidR="00BE3BFB" w:rsidRPr="006B449C" w:rsidRDefault="00BE3BFB" w:rsidP="00BE3BFB">
      <w:pPr>
        <w:pStyle w:val="References"/>
        <w:numPr>
          <w:ilvl w:val="0"/>
          <w:numId w:val="7"/>
        </w:numPr>
        <w:tabs>
          <w:tab w:val="clear" w:pos="255"/>
        </w:tabs>
        <w:ind w:left="426" w:hanging="426"/>
        <w:rPr>
          <w:szCs w:val="16"/>
        </w:rPr>
      </w:pPr>
      <w:r w:rsidRPr="006B449C">
        <w:rPr>
          <w:szCs w:val="16"/>
        </w:rPr>
        <w:t>E.D. Garcia-</w:t>
      </w:r>
      <w:proofErr w:type="spellStart"/>
      <w:r w:rsidRPr="006B449C">
        <w:rPr>
          <w:szCs w:val="16"/>
        </w:rPr>
        <w:t>Cuerva</w:t>
      </w:r>
      <w:proofErr w:type="spellEnd"/>
      <w:r w:rsidRPr="006B449C">
        <w:rPr>
          <w:szCs w:val="16"/>
        </w:rPr>
        <w:t xml:space="preserve">, F. </w:t>
      </w:r>
      <w:proofErr w:type="spellStart"/>
      <w:r w:rsidRPr="006B449C">
        <w:rPr>
          <w:szCs w:val="16"/>
        </w:rPr>
        <w:t>Sanz</w:t>
      </w:r>
      <w:proofErr w:type="spellEnd"/>
      <w:r w:rsidRPr="006B449C">
        <w:rPr>
          <w:szCs w:val="16"/>
        </w:rPr>
        <w:t xml:space="preserve"> </w:t>
      </w:r>
      <w:proofErr w:type="spellStart"/>
      <w:r w:rsidRPr="006B449C">
        <w:rPr>
          <w:szCs w:val="16"/>
        </w:rPr>
        <w:t>Sobrino</w:t>
      </w:r>
      <w:proofErr w:type="spellEnd"/>
      <w:r w:rsidRPr="006B449C">
        <w:rPr>
          <w:szCs w:val="16"/>
        </w:rPr>
        <w:t xml:space="preserve">: A New Business Approach to Conventional Small Scale LNG, </w:t>
      </w:r>
      <w:r w:rsidRPr="006B449C">
        <w:rPr>
          <w:i/>
          <w:szCs w:val="16"/>
        </w:rPr>
        <w:t>IGU 24</w:t>
      </w:r>
      <w:r w:rsidRPr="006B449C">
        <w:rPr>
          <w:i/>
          <w:szCs w:val="16"/>
          <w:vertAlign w:val="superscript"/>
        </w:rPr>
        <w:t>th</w:t>
      </w:r>
      <w:r w:rsidRPr="006B449C">
        <w:rPr>
          <w:i/>
          <w:szCs w:val="16"/>
        </w:rPr>
        <w:t xml:space="preserve"> World Gas Conference</w:t>
      </w:r>
      <w:r w:rsidRPr="006B449C">
        <w:rPr>
          <w:szCs w:val="16"/>
        </w:rPr>
        <w:t xml:space="preserve"> (2009).</w:t>
      </w:r>
    </w:p>
    <w:p w:rsidR="00BE3BFB" w:rsidRPr="006B449C" w:rsidRDefault="00314FD7" w:rsidP="00314FD7">
      <w:pPr>
        <w:pStyle w:val="References"/>
        <w:numPr>
          <w:ilvl w:val="0"/>
          <w:numId w:val="7"/>
        </w:numPr>
        <w:tabs>
          <w:tab w:val="clear" w:pos="255"/>
        </w:tabs>
        <w:ind w:left="426" w:hanging="426"/>
      </w:pPr>
      <w:r w:rsidRPr="006B449C">
        <w:t xml:space="preserve">L. </w:t>
      </w:r>
      <w:proofErr w:type="spellStart"/>
      <w:r w:rsidRPr="006B449C">
        <w:t>Chernyavs’ka</w:t>
      </w:r>
      <w:proofErr w:type="spellEnd"/>
      <w:r w:rsidRPr="006B449C">
        <w:t xml:space="preserve">, S. </w:t>
      </w:r>
      <w:proofErr w:type="spellStart"/>
      <w:r w:rsidRPr="006B449C">
        <w:t>Dorigoni</w:t>
      </w:r>
      <w:proofErr w:type="spellEnd"/>
      <w:r w:rsidRPr="006B449C">
        <w:t>: Transportation Modes of Natural Gas and Liberalization of Markets in Europe: Pipeline or LNG? (</w:t>
      </w:r>
      <w:proofErr w:type="gramStart"/>
      <w:r w:rsidRPr="006B449C">
        <w:t>in</w:t>
      </w:r>
      <w:proofErr w:type="gramEnd"/>
      <w:r w:rsidRPr="006B449C">
        <w:t xml:space="preserve"> Italian), </w:t>
      </w:r>
      <w:proofErr w:type="spellStart"/>
      <w:r w:rsidRPr="006B449C">
        <w:rPr>
          <w:i/>
        </w:rPr>
        <w:t>Economia</w:t>
      </w:r>
      <w:proofErr w:type="spellEnd"/>
      <w:r w:rsidRPr="006B449C">
        <w:rPr>
          <w:i/>
        </w:rPr>
        <w:t xml:space="preserve"> </w:t>
      </w:r>
      <w:proofErr w:type="spellStart"/>
      <w:r w:rsidRPr="006B449C">
        <w:rPr>
          <w:i/>
        </w:rPr>
        <w:t>delle</w:t>
      </w:r>
      <w:proofErr w:type="spellEnd"/>
      <w:r w:rsidRPr="006B449C">
        <w:rPr>
          <w:i/>
        </w:rPr>
        <w:t xml:space="preserve"> </w:t>
      </w:r>
      <w:proofErr w:type="spellStart"/>
      <w:r w:rsidRPr="006B449C">
        <w:rPr>
          <w:i/>
        </w:rPr>
        <w:t>Fonti</w:t>
      </w:r>
      <w:proofErr w:type="spellEnd"/>
      <w:r w:rsidRPr="006B449C">
        <w:rPr>
          <w:i/>
        </w:rPr>
        <w:t xml:space="preserve"> di </w:t>
      </w:r>
      <w:proofErr w:type="spellStart"/>
      <w:r w:rsidRPr="006B449C">
        <w:rPr>
          <w:i/>
        </w:rPr>
        <w:t>Energia</w:t>
      </w:r>
      <w:proofErr w:type="spellEnd"/>
      <w:r w:rsidRPr="006B449C">
        <w:rPr>
          <w:i/>
        </w:rPr>
        <w:t xml:space="preserve"> e </w:t>
      </w:r>
      <w:proofErr w:type="spellStart"/>
      <w:r w:rsidRPr="006B449C">
        <w:rPr>
          <w:i/>
        </w:rPr>
        <w:t>dell’Ambiente</w:t>
      </w:r>
      <w:proofErr w:type="spellEnd"/>
      <w:r w:rsidRPr="006B449C">
        <w:t xml:space="preserve">, </w:t>
      </w:r>
      <w:r w:rsidRPr="006B449C">
        <w:rPr>
          <w:b/>
        </w:rPr>
        <w:t>2</w:t>
      </w:r>
      <w:r w:rsidRPr="006B449C">
        <w:t xml:space="preserve"> (2003).</w:t>
      </w:r>
    </w:p>
    <w:p w:rsidR="00BE3BFB" w:rsidRPr="006B449C" w:rsidRDefault="00BE3BFB" w:rsidP="00BE3BFB">
      <w:pPr>
        <w:pStyle w:val="References"/>
        <w:numPr>
          <w:ilvl w:val="0"/>
          <w:numId w:val="7"/>
        </w:numPr>
        <w:tabs>
          <w:tab w:val="clear" w:pos="255"/>
        </w:tabs>
        <w:ind w:left="426" w:hanging="426"/>
      </w:pPr>
      <w:r w:rsidRPr="006B449C">
        <w:t xml:space="preserve">P. </w:t>
      </w:r>
      <w:proofErr w:type="spellStart"/>
      <w:r w:rsidRPr="006B449C">
        <w:t>Lothe</w:t>
      </w:r>
      <w:proofErr w:type="spellEnd"/>
      <w:r w:rsidRPr="006B449C">
        <w:t xml:space="preserve">, N.K. </w:t>
      </w:r>
      <w:proofErr w:type="spellStart"/>
      <w:proofErr w:type="gramStart"/>
      <w:r w:rsidRPr="006B449C">
        <w:t>Str</w:t>
      </w:r>
      <w:proofErr w:type="spellEnd"/>
      <w:proofErr w:type="gramEnd"/>
      <m:oMath>
        <m:r>
          <m:rPr>
            <m:sty m:val="p"/>
          </m:rPr>
          <w:rPr>
            <w:rFonts w:ascii="Cambria Math" w:hAnsi="Cambria Math"/>
          </w:rPr>
          <m:t>ø</m:t>
        </m:r>
      </m:oMath>
      <w:r w:rsidRPr="006B449C">
        <w:t>m: Pressurized Natural Gas – Next Generation Marine Gas Transport Solution,</w:t>
      </w:r>
      <w:r w:rsidRPr="006B449C">
        <w:rPr>
          <w:i/>
        </w:rPr>
        <w:t xml:space="preserve"> Offshore Technology Conference</w:t>
      </w:r>
      <w:r w:rsidRPr="006B449C">
        <w:t>, Houston (2007).</w:t>
      </w:r>
    </w:p>
    <w:p w:rsidR="00BE3BFB" w:rsidRPr="006B449C" w:rsidRDefault="00BE3BFB" w:rsidP="00BE3BFB">
      <w:pPr>
        <w:pStyle w:val="References"/>
        <w:numPr>
          <w:ilvl w:val="0"/>
          <w:numId w:val="7"/>
        </w:numPr>
        <w:tabs>
          <w:tab w:val="clear" w:pos="85"/>
          <w:tab w:val="clear" w:pos="255"/>
        </w:tabs>
        <w:ind w:left="426" w:hanging="426"/>
      </w:pPr>
      <w:r w:rsidRPr="006B449C">
        <w:rPr>
          <w:shd w:val="clear" w:color="auto" w:fill="FFFFFF"/>
        </w:rPr>
        <w:t xml:space="preserve">D. </w:t>
      </w:r>
      <w:proofErr w:type="spellStart"/>
      <w:r w:rsidRPr="006B449C">
        <w:rPr>
          <w:shd w:val="clear" w:color="auto" w:fill="FFFFFF"/>
        </w:rPr>
        <w:t>Stenning</w:t>
      </w:r>
      <w:proofErr w:type="spellEnd"/>
      <w:r w:rsidRPr="006B449C">
        <w:rPr>
          <w:shd w:val="clear" w:color="auto" w:fill="FFFFFF"/>
        </w:rPr>
        <w:t xml:space="preserve">: The </w:t>
      </w:r>
      <w:proofErr w:type="spellStart"/>
      <w:r w:rsidRPr="006B449C">
        <w:rPr>
          <w:shd w:val="clear" w:color="auto" w:fill="FFFFFF"/>
        </w:rPr>
        <w:t>Coselle</w:t>
      </w:r>
      <w:proofErr w:type="spellEnd"/>
      <w:r w:rsidRPr="006B449C">
        <w:rPr>
          <w:shd w:val="clear" w:color="auto" w:fill="FFFFFF"/>
        </w:rPr>
        <w:t xml:space="preserve"> CNG Carrier: A New Way to Ship Natural Gas by Sea, </w:t>
      </w:r>
      <w:r w:rsidRPr="006B449C">
        <w:rPr>
          <w:i/>
          <w:shd w:val="clear" w:color="auto" w:fill="FFFFFF"/>
        </w:rPr>
        <w:t>NOIA Conference</w:t>
      </w:r>
      <w:r w:rsidRPr="006B449C">
        <w:rPr>
          <w:shd w:val="clear" w:color="auto" w:fill="FFFFFF"/>
        </w:rPr>
        <w:t>, Newfoundland (1999).</w:t>
      </w:r>
    </w:p>
    <w:p w:rsidR="00BE3BFB" w:rsidRPr="006B449C" w:rsidRDefault="00BE3BFB" w:rsidP="00BE3BFB">
      <w:pPr>
        <w:pStyle w:val="References"/>
        <w:numPr>
          <w:ilvl w:val="0"/>
          <w:numId w:val="7"/>
        </w:numPr>
        <w:tabs>
          <w:tab w:val="clear" w:pos="255"/>
          <w:tab w:val="num" w:pos="426"/>
        </w:tabs>
        <w:ind w:left="426" w:hanging="426"/>
        <w:rPr>
          <w:szCs w:val="16"/>
        </w:rPr>
      </w:pPr>
      <w:bookmarkStart w:id="0" w:name="_GoBack"/>
      <w:bookmarkEnd w:id="0"/>
      <w:r w:rsidRPr="006B449C">
        <w:t xml:space="preserve">D. </w:t>
      </w:r>
      <w:proofErr w:type="spellStart"/>
      <w:r w:rsidRPr="006B449C">
        <w:t>Stenning</w:t>
      </w:r>
      <w:proofErr w:type="spellEnd"/>
      <w:r w:rsidRPr="006B449C">
        <w:t xml:space="preserve">, A. </w:t>
      </w:r>
      <w:proofErr w:type="spellStart"/>
      <w:r w:rsidRPr="006B449C">
        <w:t>Cran</w:t>
      </w:r>
      <w:proofErr w:type="spellEnd"/>
      <w:r w:rsidRPr="006B449C">
        <w:t xml:space="preserve">: </w:t>
      </w:r>
      <w:r w:rsidRPr="006B449C">
        <w:rPr>
          <w:i/>
        </w:rPr>
        <w:t xml:space="preserve">The </w:t>
      </w:r>
      <w:proofErr w:type="spellStart"/>
      <w:r w:rsidRPr="006B449C">
        <w:rPr>
          <w:i/>
        </w:rPr>
        <w:t>Coselle</w:t>
      </w:r>
      <w:proofErr w:type="spellEnd"/>
      <w:r w:rsidRPr="006B449C">
        <w:rPr>
          <w:i/>
        </w:rPr>
        <w:t xml:space="preserve"> CNG Carrie</w:t>
      </w:r>
      <w:r w:rsidRPr="006B449C">
        <w:t>r – The Shipment of Natural Gas by Sea in a Compressed Form (2001), 305-311.</w:t>
      </w:r>
    </w:p>
    <w:p w:rsidR="00BE3BFB" w:rsidRPr="006B449C" w:rsidRDefault="00BE3BFB" w:rsidP="00BE3BFB">
      <w:pPr>
        <w:pStyle w:val="References"/>
        <w:numPr>
          <w:ilvl w:val="0"/>
          <w:numId w:val="7"/>
        </w:numPr>
        <w:ind w:left="426" w:hanging="426"/>
      </w:pPr>
      <w:r w:rsidRPr="006B449C">
        <w:t xml:space="preserve">S. </w:t>
      </w:r>
      <w:proofErr w:type="spellStart"/>
      <w:r w:rsidRPr="006B449C">
        <w:t>Välsgard</w:t>
      </w:r>
      <w:proofErr w:type="spellEnd"/>
      <w:r w:rsidRPr="006B449C">
        <w:t>, K.J. M</w:t>
      </w:r>
      <m:oMath>
        <m:r>
          <m:rPr>
            <m:sty m:val="p"/>
          </m:rPr>
          <w:rPr>
            <w:rFonts w:ascii="Cambria Math" w:hAnsi="Cambria Math"/>
          </w:rPr>
          <m:t>ø</m:t>
        </m:r>
      </m:oMath>
      <w:r w:rsidRPr="006B449C">
        <w:t xml:space="preserve">rk, P. </w:t>
      </w:r>
      <w:proofErr w:type="spellStart"/>
      <w:r w:rsidRPr="006B449C">
        <w:t>Lothe</w:t>
      </w:r>
      <w:proofErr w:type="spellEnd"/>
      <w:r w:rsidRPr="006B449C">
        <w:t xml:space="preserve">, N.K. </w:t>
      </w:r>
      <w:proofErr w:type="spellStart"/>
      <w:proofErr w:type="gramStart"/>
      <w:r w:rsidRPr="006B449C">
        <w:t>Str</w:t>
      </w:r>
      <w:proofErr w:type="spellEnd"/>
      <w:proofErr w:type="gramEnd"/>
      <m:oMath>
        <m:r>
          <m:rPr>
            <m:sty m:val="p"/>
          </m:rPr>
          <w:rPr>
            <w:rFonts w:ascii="Cambria Math" w:hAnsi="Cambria Math"/>
          </w:rPr>
          <m:t>ø</m:t>
        </m:r>
      </m:oMath>
      <w:r w:rsidRPr="006B449C">
        <w:t xml:space="preserve">m: Compressed Natural Gas Carrier Development – The </w:t>
      </w:r>
      <w:proofErr w:type="spellStart"/>
      <w:r w:rsidRPr="006B449C">
        <w:t>Knutsen</w:t>
      </w:r>
      <w:proofErr w:type="spellEnd"/>
      <w:r w:rsidRPr="006B449C">
        <w:t xml:space="preserve"> PNG Concept (2009).</w:t>
      </w:r>
    </w:p>
    <w:p w:rsidR="008035E4" w:rsidRPr="006B449C" w:rsidRDefault="008035E4" w:rsidP="008035E4">
      <w:pPr>
        <w:pStyle w:val="References"/>
        <w:numPr>
          <w:ilvl w:val="0"/>
          <w:numId w:val="7"/>
        </w:numPr>
        <w:tabs>
          <w:tab w:val="clear" w:pos="85"/>
          <w:tab w:val="clear" w:pos="255"/>
        </w:tabs>
        <w:ind w:left="426" w:hanging="426"/>
      </w:pPr>
      <w:r w:rsidRPr="006B449C">
        <w:t xml:space="preserve">R. Longo, M. </w:t>
      </w:r>
      <w:proofErr w:type="spellStart"/>
      <w:r w:rsidRPr="006B449C">
        <w:t>Suryadi</w:t>
      </w:r>
      <w:proofErr w:type="spellEnd"/>
      <w:r w:rsidRPr="006B449C">
        <w:t xml:space="preserve"> </w:t>
      </w:r>
      <w:proofErr w:type="spellStart"/>
      <w:r w:rsidRPr="006B449C">
        <w:t>Mardjoeki</w:t>
      </w:r>
      <w:proofErr w:type="spellEnd"/>
      <w:r w:rsidRPr="006B449C">
        <w:t xml:space="preserve">, A. </w:t>
      </w:r>
      <w:proofErr w:type="spellStart"/>
      <w:r w:rsidRPr="006B449C">
        <w:t>Sidanta</w:t>
      </w:r>
      <w:proofErr w:type="spellEnd"/>
      <w:r w:rsidRPr="006B449C">
        <w:t xml:space="preserve">: CNG Storage &amp; Transportation by Sea for Energy Demand Peak Shaving: </w:t>
      </w:r>
      <w:r w:rsidRPr="006B449C">
        <w:rPr>
          <w:i/>
        </w:rPr>
        <w:t>The Gresik/Lombok Pilot Project</w:t>
      </w:r>
      <w:r w:rsidRPr="006B449C">
        <w:t xml:space="preserve"> (2014).</w:t>
      </w:r>
    </w:p>
    <w:p w:rsidR="00B30800" w:rsidRPr="006B449C" w:rsidRDefault="00B30800" w:rsidP="00B30800">
      <w:pPr>
        <w:pStyle w:val="References"/>
        <w:numPr>
          <w:ilvl w:val="0"/>
          <w:numId w:val="7"/>
        </w:numPr>
        <w:ind w:left="426" w:hanging="426"/>
      </w:pPr>
      <w:r w:rsidRPr="006B449C">
        <w:t xml:space="preserve">G. </w:t>
      </w:r>
      <w:proofErr w:type="spellStart"/>
      <w:r w:rsidRPr="006B449C">
        <w:t>Trincas</w:t>
      </w:r>
      <w:proofErr w:type="spellEnd"/>
      <w:r w:rsidRPr="006B449C">
        <w:t xml:space="preserve">: Optimal Fleet Composition for Marine Transport of Compressed Natural Gas from Stranded Fields, </w:t>
      </w:r>
      <w:r w:rsidRPr="006B449C">
        <w:rPr>
          <w:i/>
        </w:rPr>
        <w:t>2</w:t>
      </w:r>
      <w:r w:rsidRPr="006B449C">
        <w:rPr>
          <w:i/>
          <w:vertAlign w:val="superscript"/>
        </w:rPr>
        <w:t>nd</w:t>
      </w:r>
      <w:r w:rsidRPr="006B449C">
        <w:rPr>
          <w:i/>
        </w:rPr>
        <w:t xml:space="preserve"> International Symposium on Naval Architecture and Maritime</w:t>
      </w:r>
      <w:r w:rsidRPr="006B449C">
        <w:t xml:space="preserve">, INT-NAM 2014, </w:t>
      </w:r>
      <w:proofErr w:type="spellStart"/>
      <w:r w:rsidRPr="006B449C">
        <w:t>Alkan</w:t>
      </w:r>
      <w:proofErr w:type="spellEnd"/>
      <w:r w:rsidRPr="006B449C">
        <w:t xml:space="preserve"> Ed., Istanbul (2014), 25-38.</w:t>
      </w:r>
    </w:p>
    <w:p w:rsidR="00B30800" w:rsidRPr="006B449C" w:rsidRDefault="00B30800" w:rsidP="00B30800">
      <w:pPr>
        <w:pStyle w:val="References"/>
        <w:numPr>
          <w:ilvl w:val="0"/>
          <w:numId w:val="7"/>
        </w:numPr>
        <w:tabs>
          <w:tab w:val="clear" w:pos="255"/>
        </w:tabs>
        <w:ind w:left="426" w:hanging="426"/>
      </w:pPr>
      <w:r w:rsidRPr="006B449C">
        <w:t xml:space="preserve">F. Mauro, G. </w:t>
      </w:r>
      <w:proofErr w:type="spellStart"/>
      <w:r w:rsidRPr="006B449C">
        <w:t>Trincas</w:t>
      </w:r>
      <w:proofErr w:type="spellEnd"/>
      <w:r w:rsidRPr="006B449C">
        <w:t xml:space="preserve">, L. </w:t>
      </w:r>
      <w:proofErr w:type="spellStart"/>
      <w:r w:rsidRPr="006B449C">
        <w:t>Braidotti</w:t>
      </w:r>
      <w:proofErr w:type="spellEnd"/>
      <w:r w:rsidRPr="006B449C">
        <w:t xml:space="preserve">: Effect of Different Propulsion Systems on CNG Ships Fleet Composition and Economic Effectiveness, </w:t>
      </w:r>
      <w:r w:rsidRPr="006B449C">
        <w:rPr>
          <w:i/>
        </w:rPr>
        <w:t>19</w:t>
      </w:r>
      <w:r w:rsidRPr="006B449C">
        <w:rPr>
          <w:i/>
          <w:vertAlign w:val="superscript"/>
        </w:rPr>
        <w:t>th</w:t>
      </w:r>
      <w:r w:rsidRPr="006B449C">
        <w:rPr>
          <w:i/>
        </w:rPr>
        <w:t xml:space="preserve"> International Conference on Ship &amp; Marine Research</w:t>
      </w:r>
      <w:r w:rsidRPr="006B449C">
        <w:t>, NAV 2018, Trieste (2018).</w:t>
      </w:r>
    </w:p>
    <w:p w:rsidR="00B30800" w:rsidRPr="006B449C" w:rsidRDefault="00B30800" w:rsidP="00B30800">
      <w:pPr>
        <w:pStyle w:val="References"/>
        <w:numPr>
          <w:ilvl w:val="0"/>
          <w:numId w:val="7"/>
        </w:numPr>
        <w:tabs>
          <w:tab w:val="clear" w:pos="255"/>
        </w:tabs>
        <w:ind w:left="426" w:hanging="426"/>
      </w:pPr>
      <w:proofErr w:type="spellStart"/>
      <w:r w:rsidRPr="006B449C">
        <w:t>Det</w:t>
      </w:r>
      <w:proofErr w:type="spellEnd"/>
      <w:r w:rsidRPr="006B449C">
        <w:t xml:space="preserve"> Norske Veritas: </w:t>
      </w:r>
      <w:r w:rsidRPr="006B449C">
        <w:rPr>
          <w:i/>
        </w:rPr>
        <w:t>Rules for Classification of Ships</w:t>
      </w:r>
      <w:r w:rsidRPr="006B449C">
        <w:t xml:space="preserve"> Pt 5 </w:t>
      </w:r>
      <w:proofErr w:type="spellStart"/>
      <w:r w:rsidRPr="006B449C">
        <w:t>Ch</w:t>
      </w:r>
      <w:proofErr w:type="spellEnd"/>
      <w:r w:rsidRPr="006B449C">
        <w:t xml:space="preserve"> 15 – Compressed Natural Gas Carriers (2003).</w:t>
      </w:r>
    </w:p>
    <w:p w:rsidR="00B30800" w:rsidRPr="006B449C" w:rsidRDefault="00B30800" w:rsidP="00B30800">
      <w:pPr>
        <w:pStyle w:val="References"/>
        <w:numPr>
          <w:ilvl w:val="0"/>
          <w:numId w:val="7"/>
        </w:numPr>
        <w:tabs>
          <w:tab w:val="clear" w:pos="85"/>
          <w:tab w:val="clear" w:pos="255"/>
        </w:tabs>
        <w:ind w:left="426" w:hanging="426"/>
        <w:rPr>
          <w:szCs w:val="16"/>
        </w:rPr>
      </w:pPr>
      <w:r w:rsidRPr="006B449C">
        <w:rPr>
          <w:szCs w:val="16"/>
        </w:rPr>
        <w:t>International Maritime Organisation (IMO</w:t>
      </w:r>
      <w:r w:rsidRPr="006B449C">
        <w:rPr>
          <w:i/>
          <w:szCs w:val="16"/>
        </w:rPr>
        <w:t>)</w:t>
      </w:r>
      <w:r w:rsidRPr="006B449C">
        <w:rPr>
          <w:szCs w:val="16"/>
        </w:rPr>
        <w:t>:</w:t>
      </w:r>
      <w:r w:rsidRPr="006B449C">
        <w:rPr>
          <w:i/>
          <w:szCs w:val="16"/>
        </w:rPr>
        <w:t xml:space="preserve"> Guidelines for Formal Safety Assessment</w:t>
      </w:r>
      <w:r w:rsidRPr="006B449C">
        <w:rPr>
          <w:szCs w:val="16"/>
        </w:rPr>
        <w:t xml:space="preserve"> (</w:t>
      </w:r>
      <w:r w:rsidRPr="006B449C">
        <w:rPr>
          <w:i/>
          <w:szCs w:val="16"/>
        </w:rPr>
        <w:t>FSA</w:t>
      </w:r>
      <w:r w:rsidRPr="006B449C">
        <w:rPr>
          <w:szCs w:val="16"/>
        </w:rPr>
        <w:t xml:space="preserve">) </w:t>
      </w:r>
      <w:r w:rsidRPr="006B449C">
        <w:rPr>
          <w:i/>
          <w:szCs w:val="16"/>
        </w:rPr>
        <w:t>for Use in the Rule-Making Process</w:t>
      </w:r>
      <w:r w:rsidRPr="006B449C">
        <w:rPr>
          <w:szCs w:val="16"/>
        </w:rPr>
        <w:t>, MSC/Circ.1023, MEPC/Circ.392 (2002).</w:t>
      </w:r>
    </w:p>
    <w:p w:rsidR="00B30800" w:rsidRPr="006B449C" w:rsidRDefault="00B30800" w:rsidP="00B30800">
      <w:pPr>
        <w:pStyle w:val="References"/>
        <w:numPr>
          <w:ilvl w:val="0"/>
          <w:numId w:val="7"/>
        </w:numPr>
        <w:ind w:left="426" w:hanging="426"/>
      </w:pPr>
      <w:r w:rsidRPr="006B449C">
        <w:t xml:space="preserve">G. </w:t>
      </w:r>
      <w:proofErr w:type="spellStart"/>
      <w:r w:rsidRPr="006B449C">
        <w:t>Trincas</w:t>
      </w:r>
      <w:proofErr w:type="spellEnd"/>
      <w:r w:rsidRPr="006B449C">
        <w:t xml:space="preserve">: </w:t>
      </w:r>
      <w:r w:rsidRPr="006B449C">
        <w:rPr>
          <w:szCs w:val="16"/>
        </w:rPr>
        <w:t>Feasibility Project for Shipping CNG from Cyprus to North Adriatic Arc</w:t>
      </w:r>
      <w:r w:rsidRPr="006B449C">
        <w:t xml:space="preserve">, </w:t>
      </w:r>
      <w:r w:rsidRPr="006B449C">
        <w:rPr>
          <w:i/>
        </w:rPr>
        <w:t>16</w:t>
      </w:r>
      <w:r w:rsidRPr="006B449C">
        <w:rPr>
          <w:i/>
          <w:vertAlign w:val="superscript"/>
        </w:rPr>
        <w:t>th</w:t>
      </w:r>
      <w:r w:rsidRPr="006B449C">
        <w:rPr>
          <w:i/>
        </w:rPr>
        <w:t xml:space="preserve"> International Maritime Association of the Mediterranean</w:t>
      </w:r>
      <w:r w:rsidRPr="006B449C">
        <w:t>, IMAM 2015, Pula (2015).</w:t>
      </w:r>
    </w:p>
    <w:p w:rsidR="00B30800" w:rsidRPr="006B449C" w:rsidRDefault="00B30800" w:rsidP="00B30800">
      <w:pPr>
        <w:pStyle w:val="References"/>
        <w:numPr>
          <w:ilvl w:val="0"/>
          <w:numId w:val="7"/>
        </w:numPr>
        <w:ind w:left="426" w:hanging="426"/>
      </w:pPr>
      <w:r w:rsidRPr="006B449C">
        <w:rPr>
          <w:szCs w:val="16"/>
        </w:rPr>
        <w:t xml:space="preserve">G. </w:t>
      </w:r>
      <w:proofErr w:type="spellStart"/>
      <w:r w:rsidRPr="006B449C">
        <w:rPr>
          <w:szCs w:val="16"/>
        </w:rPr>
        <w:t>Trincas</w:t>
      </w:r>
      <w:proofErr w:type="spellEnd"/>
      <w:r w:rsidRPr="006B449C">
        <w:rPr>
          <w:szCs w:val="16"/>
        </w:rPr>
        <w:t xml:space="preserve">, F. Mauro, L. </w:t>
      </w:r>
      <w:proofErr w:type="spellStart"/>
      <w:r w:rsidRPr="006B449C">
        <w:rPr>
          <w:szCs w:val="16"/>
        </w:rPr>
        <w:t>Braidotti</w:t>
      </w:r>
      <w:proofErr w:type="spellEnd"/>
      <w:r w:rsidRPr="006B449C">
        <w:rPr>
          <w:szCs w:val="16"/>
        </w:rPr>
        <w:t xml:space="preserve">, </w:t>
      </w:r>
      <w:proofErr w:type="gramStart"/>
      <w:r w:rsidRPr="006B449C">
        <w:rPr>
          <w:szCs w:val="16"/>
        </w:rPr>
        <w:t>V</w:t>
      </w:r>
      <w:proofErr w:type="gramEnd"/>
      <w:r w:rsidRPr="006B449C">
        <w:rPr>
          <w:szCs w:val="16"/>
        </w:rPr>
        <w:t xml:space="preserve">. </w:t>
      </w:r>
      <w:proofErr w:type="spellStart"/>
      <w:r w:rsidRPr="006B449C">
        <w:rPr>
          <w:szCs w:val="16"/>
        </w:rPr>
        <w:t>Bucci</w:t>
      </w:r>
      <w:proofErr w:type="spellEnd"/>
      <w:r w:rsidRPr="006B449C">
        <w:rPr>
          <w:szCs w:val="16"/>
        </w:rPr>
        <w:t>: Handling the Path from Concept to Preliminary Ship Design</w:t>
      </w:r>
      <w:r w:rsidRPr="006B449C">
        <w:t xml:space="preserve">, </w:t>
      </w:r>
      <w:r w:rsidRPr="006B449C">
        <w:rPr>
          <w:i/>
        </w:rPr>
        <w:t>13</w:t>
      </w:r>
      <w:r w:rsidRPr="006B449C">
        <w:rPr>
          <w:i/>
          <w:vertAlign w:val="superscript"/>
        </w:rPr>
        <w:t>th</w:t>
      </w:r>
      <w:r w:rsidRPr="006B449C">
        <w:rPr>
          <w:i/>
        </w:rPr>
        <w:t xml:space="preserve"> International Marine Design Conference</w:t>
      </w:r>
      <w:r w:rsidRPr="006B449C">
        <w:t>, IMDC 2018, Helsinki (2018).</w:t>
      </w:r>
    </w:p>
    <w:p w:rsidR="006A0FEC" w:rsidRPr="006B449C" w:rsidRDefault="006A0FEC" w:rsidP="006A0FEC">
      <w:pPr>
        <w:pStyle w:val="References"/>
        <w:numPr>
          <w:ilvl w:val="0"/>
          <w:numId w:val="7"/>
        </w:numPr>
        <w:tabs>
          <w:tab w:val="clear" w:pos="255"/>
        </w:tabs>
        <w:ind w:left="426" w:hanging="426"/>
      </w:pPr>
      <w:r w:rsidRPr="006B449C">
        <w:rPr>
          <w:szCs w:val="16"/>
        </w:rPr>
        <w:t xml:space="preserve">R. </w:t>
      </w:r>
      <w:proofErr w:type="spellStart"/>
      <w:r w:rsidRPr="006B449C">
        <w:rPr>
          <w:szCs w:val="16"/>
        </w:rPr>
        <w:t>Heede</w:t>
      </w:r>
      <w:proofErr w:type="spellEnd"/>
      <w:r w:rsidRPr="006B449C">
        <w:rPr>
          <w:szCs w:val="16"/>
        </w:rPr>
        <w:t xml:space="preserve">: LNG Shipping via Fleet of LNG Carriers, </w:t>
      </w:r>
      <w:r w:rsidRPr="006B449C">
        <w:rPr>
          <w:i/>
          <w:szCs w:val="16"/>
        </w:rPr>
        <w:t>Climate Mitigation Services</w:t>
      </w:r>
      <w:r w:rsidRPr="006B449C">
        <w:rPr>
          <w:szCs w:val="16"/>
        </w:rPr>
        <w:t>, Snowmass (2012).</w:t>
      </w:r>
    </w:p>
    <w:p w:rsidR="006A0FEC" w:rsidRPr="006B449C" w:rsidRDefault="006A0FEC" w:rsidP="006A0FEC">
      <w:pPr>
        <w:pStyle w:val="References"/>
        <w:numPr>
          <w:ilvl w:val="0"/>
          <w:numId w:val="7"/>
        </w:numPr>
        <w:tabs>
          <w:tab w:val="clear" w:pos="255"/>
        </w:tabs>
        <w:ind w:left="426" w:hanging="426"/>
        <w:rPr>
          <w:szCs w:val="16"/>
        </w:rPr>
      </w:pPr>
      <w:r w:rsidRPr="006B449C">
        <w:t xml:space="preserve">A. Bourgeois.: Small Scale LNG Economics, </w:t>
      </w:r>
      <w:r w:rsidRPr="006B449C">
        <w:rPr>
          <w:i/>
        </w:rPr>
        <w:t>LNG Fuel Forum</w:t>
      </w:r>
      <w:r w:rsidRPr="006B449C">
        <w:t>, Stockholm, 2011.</w:t>
      </w:r>
    </w:p>
    <w:p w:rsidR="00B30800" w:rsidRPr="006B449C" w:rsidRDefault="00B30800" w:rsidP="006A0FEC">
      <w:pPr>
        <w:pStyle w:val="References"/>
        <w:numPr>
          <w:ilvl w:val="0"/>
          <w:numId w:val="7"/>
        </w:numPr>
        <w:ind w:left="426" w:hanging="426"/>
      </w:pPr>
      <w:r w:rsidRPr="006B449C">
        <w:rPr>
          <w:szCs w:val="16"/>
        </w:rPr>
        <w:t>International Maritime Organisation (IMO:</w:t>
      </w:r>
      <w:r w:rsidRPr="006B449C">
        <w:rPr>
          <w:i/>
          <w:szCs w:val="16"/>
        </w:rPr>
        <w:t xml:space="preserve"> IGC Code</w:t>
      </w:r>
      <w:r w:rsidRPr="006B449C">
        <w:rPr>
          <w:szCs w:val="16"/>
        </w:rPr>
        <w:t xml:space="preserve">, </w:t>
      </w:r>
      <w:proofErr w:type="gramStart"/>
      <w:r w:rsidRPr="006B449C">
        <w:rPr>
          <w:color w:val="333333"/>
          <w:szCs w:val="16"/>
          <w:shd w:val="clear" w:color="auto" w:fill="FFFFFF"/>
        </w:rPr>
        <w:t>MSC.5(</w:t>
      </w:r>
      <w:proofErr w:type="gramEnd"/>
      <w:r w:rsidRPr="006B449C">
        <w:rPr>
          <w:color w:val="333333"/>
          <w:szCs w:val="16"/>
          <w:shd w:val="clear" w:color="auto" w:fill="FFFFFF"/>
        </w:rPr>
        <w:t>48), (1986).</w:t>
      </w:r>
    </w:p>
    <w:p w:rsidR="00843917" w:rsidRPr="006B449C" w:rsidRDefault="00843917" w:rsidP="00843917">
      <w:pPr>
        <w:pStyle w:val="References"/>
        <w:numPr>
          <w:ilvl w:val="0"/>
          <w:numId w:val="7"/>
        </w:numPr>
        <w:tabs>
          <w:tab w:val="clear" w:pos="255"/>
        </w:tabs>
        <w:ind w:left="426" w:hanging="426"/>
      </w:pPr>
      <w:r w:rsidRPr="006B449C">
        <w:t xml:space="preserve">L. Aldous, T. Smith: Speed Optimisation for Liquefied Natural Gas Carriers: A Techno-Economic Model, </w:t>
      </w:r>
      <w:r w:rsidRPr="006B449C">
        <w:rPr>
          <w:i/>
        </w:rPr>
        <w:t>Low Carbon Shipping Conference</w:t>
      </w:r>
      <w:r w:rsidRPr="006B449C">
        <w:t xml:space="preserve"> (2012).</w:t>
      </w:r>
    </w:p>
    <w:p w:rsidR="00843917" w:rsidRDefault="00843917" w:rsidP="00843917">
      <w:pPr>
        <w:pStyle w:val="References"/>
        <w:numPr>
          <w:ilvl w:val="0"/>
          <w:numId w:val="7"/>
        </w:numPr>
        <w:tabs>
          <w:tab w:val="clear" w:pos="255"/>
        </w:tabs>
        <w:ind w:left="426" w:hanging="426"/>
        <w:rPr>
          <w:szCs w:val="16"/>
        </w:rPr>
      </w:pPr>
      <w:r w:rsidRPr="006B449C">
        <w:rPr>
          <w:szCs w:val="16"/>
        </w:rPr>
        <w:t xml:space="preserve">International Gas Union (IGU): Small Scale LNG, 2012-2015 Triennium Work Report, Program Committee D3, </w:t>
      </w:r>
      <w:r w:rsidRPr="006B449C">
        <w:rPr>
          <w:i/>
          <w:szCs w:val="16"/>
        </w:rPr>
        <w:t>WGC Paris</w:t>
      </w:r>
      <w:r w:rsidRPr="00C922B1">
        <w:rPr>
          <w:i/>
          <w:szCs w:val="16"/>
        </w:rPr>
        <w:t xml:space="preserve"> 2015 World Conference</w:t>
      </w:r>
      <w:r>
        <w:rPr>
          <w:szCs w:val="16"/>
        </w:rPr>
        <w:t xml:space="preserve"> (2015).</w:t>
      </w:r>
    </w:p>
    <w:p w:rsidR="00843917" w:rsidRPr="001766D8" w:rsidRDefault="00843917" w:rsidP="00843917">
      <w:pPr>
        <w:pStyle w:val="References"/>
        <w:numPr>
          <w:ilvl w:val="0"/>
          <w:numId w:val="7"/>
        </w:numPr>
        <w:tabs>
          <w:tab w:val="clear" w:pos="255"/>
        </w:tabs>
        <w:ind w:left="426" w:hanging="426"/>
        <w:rPr>
          <w:szCs w:val="16"/>
        </w:rPr>
      </w:pPr>
      <w:r>
        <w:rPr>
          <w:szCs w:val="16"/>
        </w:rPr>
        <w:t xml:space="preserve">International Gas Union (IGU): </w:t>
      </w:r>
      <w:r w:rsidRPr="000216F0">
        <w:rPr>
          <w:i/>
          <w:szCs w:val="16"/>
        </w:rPr>
        <w:t>World LNG Report</w:t>
      </w:r>
      <w:r>
        <w:rPr>
          <w:szCs w:val="16"/>
        </w:rPr>
        <w:t>, sponsored by Chevron (2017).</w:t>
      </w:r>
    </w:p>
    <w:p w:rsidR="002D7649" w:rsidRPr="006863BB" w:rsidRDefault="00F20205" w:rsidP="006863BB">
      <w:pPr>
        <w:pStyle w:val="References"/>
        <w:numPr>
          <w:ilvl w:val="0"/>
          <w:numId w:val="7"/>
        </w:numPr>
        <w:tabs>
          <w:tab w:val="clear" w:pos="255"/>
        </w:tabs>
        <w:ind w:left="426" w:hanging="426"/>
        <w:rPr>
          <w:szCs w:val="16"/>
        </w:rPr>
      </w:pPr>
      <w:r>
        <w:t>M. Baker</w:t>
      </w:r>
      <w:r w:rsidRPr="00330385">
        <w:t>:</w:t>
      </w:r>
      <w:r>
        <w:t xml:space="preserve"> LNG Storage Tank Cost Analysis, </w:t>
      </w:r>
      <w:r w:rsidRPr="006863BB">
        <w:rPr>
          <w:i/>
        </w:rPr>
        <w:t>Interior Gas Utility Fairbanks Gas Distribution Advancement Project</w:t>
      </w:r>
      <w:r w:rsidR="002D7649">
        <w:t>, Anchorage (2013).</w:t>
      </w:r>
    </w:p>
    <w:sectPr w:rsidR="002D7649" w:rsidRPr="006863BB">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4D" w:rsidRDefault="00756E4D">
      <w:r>
        <w:separator/>
      </w:r>
    </w:p>
  </w:endnote>
  <w:endnote w:type="continuationSeparator" w:id="0">
    <w:p w:rsidR="00756E4D" w:rsidRDefault="0075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Heebo 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4D" w:rsidRDefault="00756E4D">
      <w:r>
        <w:separator/>
      </w:r>
    </w:p>
  </w:footnote>
  <w:footnote w:type="continuationSeparator" w:id="0">
    <w:p w:rsidR="00756E4D" w:rsidRDefault="00756E4D">
      <w:r>
        <w:continuationSeparator/>
      </w:r>
    </w:p>
  </w:footnote>
  <w:footnote w:id="1">
    <w:p w:rsidR="00C5751C" w:rsidRPr="006161C2" w:rsidRDefault="00C5751C" w:rsidP="00C5751C">
      <w:pPr>
        <w:pStyle w:val="FootnoteText"/>
        <w:rPr>
          <w:rStyle w:val="FootnoteChar"/>
          <w:szCs w:val="16"/>
        </w:rPr>
      </w:pPr>
      <w:r>
        <w:rPr>
          <w:rStyle w:val="FootnoteReference"/>
        </w:rPr>
        <w:footnoteRef/>
      </w:r>
      <w:r>
        <w:rPr>
          <w:rStyle w:val="FootnoteChar"/>
        </w:rPr>
        <w:t xml:space="preserve"> Giorgio </w:t>
      </w:r>
      <w:proofErr w:type="spellStart"/>
      <w:r>
        <w:rPr>
          <w:rStyle w:val="FootnoteChar"/>
        </w:rPr>
        <w:t>Trincas</w:t>
      </w:r>
      <w:proofErr w:type="spellEnd"/>
      <w:r w:rsidRPr="006161C2">
        <w:rPr>
          <w:sz w:val="16"/>
          <w:szCs w:val="16"/>
        </w:rPr>
        <w:t xml:space="preserve">, </w:t>
      </w:r>
      <w:r>
        <w:rPr>
          <w:sz w:val="16"/>
          <w:szCs w:val="16"/>
        </w:rPr>
        <w:t>Department of Engineering and Architecture,</w:t>
      </w:r>
      <w:r w:rsidR="00A271E4">
        <w:rPr>
          <w:sz w:val="16"/>
          <w:szCs w:val="16"/>
        </w:rPr>
        <w:t xml:space="preserve"> Institute of Naval Architecture,</w:t>
      </w:r>
      <w:r>
        <w:rPr>
          <w:sz w:val="16"/>
          <w:szCs w:val="16"/>
        </w:rPr>
        <w:t xml:space="preserve"> University of Trieste</w:t>
      </w:r>
      <w:r w:rsidRPr="006161C2">
        <w:rPr>
          <w:sz w:val="16"/>
          <w:szCs w:val="16"/>
        </w:rPr>
        <w:t xml:space="preserve">; E-mail: </w:t>
      </w:r>
      <w:r>
        <w:rPr>
          <w:sz w:val="16"/>
          <w:szCs w:val="16"/>
        </w:rPr>
        <w:t>trincas@units.it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104973CA"/>
    <w:multiLevelType w:val="hybridMultilevel"/>
    <w:tmpl w:val="9524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F28D7"/>
    <w:multiLevelType w:val="multilevel"/>
    <w:tmpl w:val="D6180036"/>
    <w:lvl w:ilvl="0">
      <w:start w:val="3"/>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0854F39"/>
    <w:multiLevelType w:val="hybridMultilevel"/>
    <w:tmpl w:val="B0ECB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6" w15:restartNumberingAfterBreak="0">
    <w:nsid w:val="54075632"/>
    <w:multiLevelType w:val="hybridMultilevel"/>
    <w:tmpl w:val="ED7670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56A40E21"/>
    <w:multiLevelType w:val="hybridMultilevel"/>
    <w:tmpl w:val="8574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87B304B"/>
    <w:multiLevelType w:val="multilevel"/>
    <w:tmpl w:val="15D63764"/>
    <w:lvl w:ilvl="0">
      <w:start w:val="1"/>
      <w:numFmt w:val="decimal"/>
      <w:lvlText w:val="%1."/>
      <w:lvlJc w:val="left"/>
      <w:pPr>
        <w:ind w:left="1070" w:hanging="360"/>
      </w:pPr>
      <w:rPr>
        <w:rFonts w:hint="default"/>
      </w:rPr>
    </w:lvl>
    <w:lvl w:ilvl="1">
      <w:start w:val="3"/>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2"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3" w15:restartNumberingAfterBreak="0">
    <w:nsid w:val="73B37DAA"/>
    <w:multiLevelType w:val="multilevel"/>
    <w:tmpl w:val="79EE28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9D7927"/>
    <w:multiLevelType w:val="multilevel"/>
    <w:tmpl w:val="1F9C18A8"/>
    <w:lvl w:ilvl="0">
      <w:start w:val="1"/>
      <w:numFmt w:val="decimal"/>
      <w:pStyle w:val="Heading1"/>
      <w:suff w:val="space"/>
      <w:lvlText w:val="%1."/>
      <w:lvlJc w:val="left"/>
      <w:pPr>
        <w:ind w:left="2865"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426"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5"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num>
  <w:num w:numId="4">
    <w:abstractNumId w:val="14"/>
  </w:num>
  <w:num w:numId="5">
    <w:abstractNumId w:val="5"/>
  </w:num>
  <w:num w:numId="6">
    <w:abstractNumId w:val="12"/>
  </w:num>
  <w:num w:numId="7">
    <w:abstractNumId w:val="15"/>
  </w:num>
  <w:num w:numId="8">
    <w:abstractNumId w:val="9"/>
  </w:num>
  <w:num w:numId="9">
    <w:abstractNumId w:val="15"/>
  </w:num>
  <w:num w:numId="10">
    <w:abstractNumId w:val="3"/>
  </w:num>
  <w:num w:numId="11">
    <w:abstractNumId w:val="15"/>
    <w:lvlOverride w:ilvl="0">
      <w:startOverride w:val="1"/>
    </w:lvlOverride>
  </w:num>
  <w:num w:numId="12">
    <w:abstractNumId w:val="10"/>
  </w:num>
  <w:num w:numId="13">
    <w:abstractNumId w:val="4"/>
  </w:num>
  <w:num w:numId="14">
    <w:abstractNumId w:val="7"/>
  </w:num>
  <w:num w:numId="15">
    <w:abstractNumId w:val="2"/>
  </w:num>
  <w:num w:numId="16">
    <w:abstractNumId w:val="13"/>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6B"/>
    <w:rsid w:val="000115AE"/>
    <w:rsid w:val="000216F0"/>
    <w:rsid w:val="000478F0"/>
    <w:rsid w:val="000740A6"/>
    <w:rsid w:val="00081872"/>
    <w:rsid w:val="00083C98"/>
    <w:rsid w:val="00086CA6"/>
    <w:rsid w:val="0009210A"/>
    <w:rsid w:val="000A204E"/>
    <w:rsid w:val="000A3A7D"/>
    <w:rsid w:val="000D1886"/>
    <w:rsid w:val="000E13F1"/>
    <w:rsid w:val="00105747"/>
    <w:rsid w:val="00110485"/>
    <w:rsid w:val="00112A00"/>
    <w:rsid w:val="00116EFA"/>
    <w:rsid w:val="00120D67"/>
    <w:rsid w:val="00142961"/>
    <w:rsid w:val="00164825"/>
    <w:rsid w:val="001766D8"/>
    <w:rsid w:val="00177CC2"/>
    <w:rsid w:val="001805F5"/>
    <w:rsid w:val="00190CC7"/>
    <w:rsid w:val="001A3442"/>
    <w:rsid w:val="001A3A8E"/>
    <w:rsid w:val="001B1964"/>
    <w:rsid w:val="001B1F30"/>
    <w:rsid w:val="001B6356"/>
    <w:rsid w:val="001C3F15"/>
    <w:rsid w:val="001D756C"/>
    <w:rsid w:val="001D7F55"/>
    <w:rsid w:val="001F378B"/>
    <w:rsid w:val="00203670"/>
    <w:rsid w:val="002176C5"/>
    <w:rsid w:val="002560B9"/>
    <w:rsid w:val="002638AD"/>
    <w:rsid w:val="002714D1"/>
    <w:rsid w:val="00282673"/>
    <w:rsid w:val="002840F7"/>
    <w:rsid w:val="002875CF"/>
    <w:rsid w:val="00294A4D"/>
    <w:rsid w:val="00296A63"/>
    <w:rsid w:val="002B0D25"/>
    <w:rsid w:val="002C22FE"/>
    <w:rsid w:val="002C47F3"/>
    <w:rsid w:val="002C65AA"/>
    <w:rsid w:val="002C76C9"/>
    <w:rsid w:val="002C7C5B"/>
    <w:rsid w:val="002D06BA"/>
    <w:rsid w:val="002D3501"/>
    <w:rsid w:val="002D4AE8"/>
    <w:rsid w:val="002D7649"/>
    <w:rsid w:val="002E6CA8"/>
    <w:rsid w:val="0030074E"/>
    <w:rsid w:val="00314FD7"/>
    <w:rsid w:val="00326FF9"/>
    <w:rsid w:val="003466D1"/>
    <w:rsid w:val="00353D59"/>
    <w:rsid w:val="003556A5"/>
    <w:rsid w:val="00363375"/>
    <w:rsid w:val="00385B11"/>
    <w:rsid w:val="00392B83"/>
    <w:rsid w:val="00394CF8"/>
    <w:rsid w:val="00397072"/>
    <w:rsid w:val="003B7F6D"/>
    <w:rsid w:val="003C33B9"/>
    <w:rsid w:val="003C53BD"/>
    <w:rsid w:val="003D1EA3"/>
    <w:rsid w:val="003E26AF"/>
    <w:rsid w:val="003F1576"/>
    <w:rsid w:val="004112CB"/>
    <w:rsid w:val="00420429"/>
    <w:rsid w:val="00423B6D"/>
    <w:rsid w:val="004448DE"/>
    <w:rsid w:val="00447457"/>
    <w:rsid w:val="00465093"/>
    <w:rsid w:val="0046709B"/>
    <w:rsid w:val="0046732F"/>
    <w:rsid w:val="00477A78"/>
    <w:rsid w:val="00490148"/>
    <w:rsid w:val="004B2E9B"/>
    <w:rsid w:val="004B3023"/>
    <w:rsid w:val="004D25BE"/>
    <w:rsid w:val="004E43B2"/>
    <w:rsid w:val="004E6258"/>
    <w:rsid w:val="004F638B"/>
    <w:rsid w:val="00504C66"/>
    <w:rsid w:val="00514E4B"/>
    <w:rsid w:val="005174CD"/>
    <w:rsid w:val="00525D46"/>
    <w:rsid w:val="00526B9A"/>
    <w:rsid w:val="00530812"/>
    <w:rsid w:val="00531C9E"/>
    <w:rsid w:val="005353FF"/>
    <w:rsid w:val="00543D23"/>
    <w:rsid w:val="00546B53"/>
    <w:rsid w:val="005510C2"/>
    <w:rsid w:val="00551C11"/>
    <w:rsid w:val="005528E4"/>
    <w:rsid w:val="00563402"/>
    <w:rsid w:val="00566EEA"/>
    <w:rsid w:val="00570476"/>
    <w:rsid w:val="00594067"/>
    <w:rsid w:val="005A6BD6"/>
    <w:rsid w:val="005A6CE2"/>
    <w:rsid w:val="005B2436"/>
    <w:rsid w:val="005B2FAD"/>
    <w:rsid w:val="005C573C"/>
    <w:rsid w:val="005E41CA"/>
    <w:rsid w:val="00614B29"/>
    <w:rsid w:val="006161C2"/>
    <w:rsid w:val="00631672"/>
    <w:rsid w:val="00633A13"/>
    <w:rsid w:val="0066284A"/>
    <w:rsid w:val="006759E7"/>
    <w:rsid w:val="00675DCF"/>
    <w:rsid w:val="006863BB"/>
    <w:rsid w:val="006A0FEC"/>
    <w:rsid w:val="006B449C"/>
    <w:rsid w:val="006C5FD7"/>
    <w:rsid w:val="006D16B4"/>
    <w:rsid w:val="006E1905"/>
    <w:rsid w:val="006F6A9A"/>
    <w:rsid w:val="00716C42"/>
    <w:rsid w:val="00721EB7"/>
    <w:rsid w:val="007324A2"/>
    <w:rsid w:val="00734593"/>
    <w:rsid w:val="00737650"/>
    <w:rsid w:val="00740AF6"/>
    <w:rsid w:val="00740C06"/>
    <w:rsid w:val="00740C6F"/>
    <w:rsid w:val="007451B7"/>
    <w:rsid w:val="007525A8"/>
    <w:rsid w:val="00756E4D"/>
    <w:rsid w:val="00766082"/>
    <w:rsid w:val="00774639"/>
    <w:rsid w:val="00791773"/>
    <w:rsid w:val="007A19BE"/>
    <w:rsid w:val="007A5DA4"/>
    <w:rsid w:val="007A60F8"/>
    <w:rsid w:val="007D785A"/>
    <w:rsid w:val="007E0A17"/>
    <w:rsid w:val="007F1347"/>
    <w:rsid w:val="008035E4"/>
    <w:rsid w:val="0080399B"/>
    <w:rsid w:val="008127B6"/>
    <w:rsid w:val="008138E0"/>
    <w:rsid w:val="00814EF7"/>
    <w:rsid w:val="00843917"/>
    <w:rsid w:val="008523B1"/>
    <w:rsid w:val="00861B4C"/>
    <w:rsid w:val="00864054"/>
    <w:rsid w:val="00864344"/>
    <w:rsid w:val="008727BC"/>
    <w:rsid w:val="0088197B"/>
    <w:rsid w:val="00887598"/>
    <w:rsid w:val="00896CA3"/>
    <w:rsid w:val="008A03C7"/>
    <w:rsid w:val="008A58B9"/>
    <w:rsid w:val="008B4277"/>
    <w:rsid w:val="008B7549"/>
    <w:rsid w:val="008C6CB4"/>
    <w:rsid w:val="008D3797"/>
    <w:rsid w:val="008D6866"/>
    <w:rsid w:val="008F1EEE"/>
    <w:rsid w:val="00900691"/>
    <w:rsid w:val="00922B88"/>
    <w:rsid w:val="00930B71"/>
    <w:rsid w:val="0093234D"/>
    <w:rsid w:val="0093397A"/>
    <w:rsid w:val="00943767"/>
    <w:rsid w:val="00952209"/>
    <w:rsid w:val="00957D92"/>
    <w:rsid w:val="00961B0A"/>
    <w:rsid w:val="00971CA5"/>
    <w:rsid w:val="009732D1"/>
    <w:rsid w:val="00977295"/>
    <w:rsid w:val="009838E2"/>
    <w:rsid w:val="009B1E89"/>
    <w:rsid w:val="009B6EA4"/>
    <w:rsid w:val="009E1014"/>
    <w:rsid w:val="00A01101"/>
    <w:rsid w:val="00A271E4"/>
    <w:rsid w:val="00A31A7E"/>
    <w:rsid w:val="00A42742"/>
    <w:rsid w:val="00A71A37"/>
    <w:rsid w:val="00A741BB"/>
    <w:rsid w:val="00A871FD"/>
    <w:rsid w:val="00A91882"/>
    <w:rsid w:val="00AA53D2"/>
    <w:rsid w:val="00AC6561"/>
    <w:rsid w:val="00AD069B"/>
    <w:rsid w:val="00AD5D85"/>
    <w:rsid w:val="00AD5EE9"/>
    <w:rsid w:val="00AE5C7F"/>
    <w:rsid w:val="00B05D6E"/>
    <w:rsid w:val="00B10C52"/>
    <w:rsid w:val="00B15FB0"/>
    <w:rsid w:val="00B17D44"/>
    <w:rsid w:val="00B30800"/>
    <w:rsid w:val="00B51EE7"/>
    <w:rsid w:val="00B567BB"/>
    <w:rsid w:val="00B62353"/>
    <w:rsid w:val="00B9638A"/>
    <w:rsid w:val="00BA0E03"/>
    <w:rsid w:val="00BB2EE1"/>
    <w:rsid w:val="00BB4D35"/>
    <w:rsid w:val="00BE3BFB"/>
    <w:rsid w:val="00C25D41"/>
    <w:rsid w:val="00C366B9"/>
    <w:rsid w:val="00C56F00"/>
    <w:rsid w:val="00C5751C"/>
    <w:rsid w:val="00C762DC"/>
    <w:rsid w:val="00C85127"/>
    <w:rsid w:val="00C916D9"/>
    <w:rsid w:val="00C922B1"/>
    <w:rsid w:val="00C97D11"/>
    <w:rsid w:val="00CA1E65"/>
    <w:rsid w:val="00CD39E9"/>
    <w:rsid w:val="00CD3FBA"/>
    <w:rsid w:val="00CF049B"/>
    <w:rsid w:val="00CF5C91"/>
    <w:rsid w:val="00D02155"/>
    <w:rsid w:val="00D03EC9"/>
    <w:rsid w:val="00D25D14"/>
    <w:rsid w:val="00D26D70"/>
    <w:rsid w:val="00D315C4"/>
    <w:rsid w:val="00D64716"/>
    <w:rsid w:val="00D74E91"/>
    <w:rsid w:val="00D82BC9"/>
    <w:rsid w:val="00D96DF7"/>
    <w:rsid w:val="00DB5F65"/>
    <w:rsid w:val="00DD3234"/>
    <w:rsid w:val="00DD7CF2"/>
    <w:rsid w:val="00DE379B"/>
    <w:rsid w:val="00DE4DD8"/>
    <w:rsid w:val="00DE7139"/>
    <w:rsid w:val="00DE7637"/>
    <w:rsid w:val="00E31482"/>
    <w:rsid w:val="00E41681"/>
    <w:rsid w:val="00E504D0"/>
    <w:rsid w:val="00E62865"/>
    <w:rsid w:val="00E6412A"/>
    <w:rsid w:val="00E652A1"/>
    <w:rsid w:val="00E919D2"/>
    <w:rsid w:val="00EA2FB3"/>
    <w:rsid w:val="00EC0A81"/>
    <w:rsid w:val="00ED428F"/>
    <w:rsid w:val="00ED688C"/>
    <w:rsid w:val="00EF2478"/>
    <w:rsid w:val="00EF346B"/>
    <w:rsid w:val="00F07DF2"/>
    <w:rsid w:val="00F07FC3"/>
    <w:rsid w:val="00F20205"/>
    <w:rsid w:val="00F248B6"/>
    <w:rsid w:val="00F25692"/>
    <w:rsid w:val="00F31879"/>
    <w:rsid w:val="00F43FDC"/>
    <w:rsid w:val="00F74086"/>
    <w:rsid w:val="00F75392"/>
    <w:rsid w:val="00F80DA7"/>
    <w:rsid w:val="00F96429"/>
    <w:rsid w:val="00FB4A07"/>
    <w:rsid w:val="00FB5753"/>
    <w:rsid w:val="00FC052C"/>
    <w:rsid w:val="00FC1E3F"/>
    <w:rsid w:val="00FD694D"/>
    <w:rsid w:val="00FE5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AA04F-0AD2-41A6-B579-07741115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szCs w:val="24"/>
      <w:lang w:eastAsia="ja-JP"/>
    </w:rPr>
  </w:style>
  <w:style w:type="paragraph" w:styleId="Heading1">
    <w:name w:val="heading 1"/>
    <w:basedOn w:val="Normal"/>
    <w:next w:val="NoindentNormal"/>
    <w:qFormat/>
    <w:pPr>
      <w:keepNext/>
      <w:keepLines/>
      <w:numPr>
        <w:numId w:val="4"/>
      </w:numPr>
      <w:suppressAutoHyphens/>
      <w:spacing w:before="480" w:after="240"/>
      <w:ind w:left="1447"/>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ListParagraph">
    <w:name w:val="List Paragraph"/>
    <w:basedOn w:val="Normal"/>
    <w:uiPriority w:val="34"/>
    <w:qFormat/>
    <w:rsid w:val="00296A63"/>
    <w:pPr>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styleId="NoSpacing">
    <w:name w:val="No Spacing"/>
    <w:uiPriority w:val="1"/>
    <w:qFormat/>
    <w:rsid w:val="00E62865"/>
    <w:pPr>
      <w:spacing w:after="120"/>
      <w:ind w:left="425" w:hanging="425"/>
    </w:pPr>
    <w:rPr>
      <w:rFonts w:asciiTheme="minorHAnsi" w:eastAsiaTheme="minorHAnsi" w:hAnsiTheme="minorHAnsi" w:cstheme="minorBidi"/>
      <w:b/>
      <w:sz w:val="22"/>
      <w:szCs w:val="22"/>
      <w:lang w:eastAsia="en-US"/>
    </w:rPr>
  </w:style>
  <w:style w:type="table" w:styleId="TableGrid">
    <w:name w:val="Table Grid"/>
    <w:basedOn w:val="TableNormal"/>
    <w:uiPriority w:val="39"/>
    <w:rsid w:val="00112A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48B6"/>
    <w:rPr>
      <w:color w:val="808080"/>
    </w:rPr>
  </w:style>
  <w:style w:type="paragraph" w:styleId="BalloonText">
    <w:name w:val="Balloon Text"/>
    <w:basedOn w:val="Normal"/>
    <w:link w:val="BalloonTextChar"/>
    <w:uiPriority w:val="99"/>
    <w:semiHidden/>
    <w:unhideWhenUsed/>
    <w:rsid w:val="002D7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64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id%20Volume\Conferences\nav_2018\template\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A413-573C-4C75-9860-DEA4AC6D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245</TotalTime>
  <Pages>10</Pages>
  <Words>4641</Words>
  <Characters>26455</Characters>
  <Application>Microsoft Office Word</Application>
  <DocSecurity>0</DocSecurity>
  <Lines>220</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31034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Trincas</dc:creator>
  <cp:keywords/>
  <cp:lastModifiedBy>pctr</cp:lastModifiedBy>
  <cp:revision>8</cp:revision>
  <cp:lastPrinted>2018-04-10T10:48:00Z</cp:lastPrinted>
  <dcterms:created xsi:type="dcterms:W3CDTF">2018-04-10T11:10:00Z</dcterms:created>
  <dcterms:modified xsi:type="dcterms:W3CDTF">2018-04-11T09:28:00Z</dcterms:modified>
</cp:coreProperties>
</file>