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D6E" w:rsidRDefault="00FF1074">
      <w:pPr>
        <w:pStyle w:val="Title"/>
      </w:pPr>
      <w:r w:rsidRPr="00FF1074">
        <w:rPr>
          <w:b/>
        </w:rPr>
        <w:t>Implementation of Ship Energy Efficiency requirements in offshore shipping industry</w:t>
      </w:r>
    </w:p>
    <w:p w:rsidR="00831EF1" w:rsidRDefault="00F44C1C">
      <w:pPr>
        <w:pStyle w:val="Author"/>
      </w:pPr>
      <w:r w:rsidRPr="00831EF1">
        <w:t xml:space="preserve">Prof. </w:t>
      </w:r>
      <w:r w:rsidR="00FF1074" w:rsidRPr="00831EF1">
        <w:t>Blagovest BELEV</w:t>
      </w:r>
      <w:r w:rsidRPr="00831EF1">
        <w:t xml:space="preserve"> PhD</w:t>
      </w:r>
      <w:r w:rsidR="00FF1074" w:rsidRPr="00FF1074">
        <w:rPr>
          <w:vertAlign w:val="superscript"/>
        </w:rPr>
        <w:t xml:space="preserve"> </w:t>
      </w:r>
      <w:r w:rsidR="00B05D6E">
        <w:rPr>
          <w:vertAlign w:val="superscript"/>
        </w:rPr>
        <w:t>a,</w:t>
      </w:r>
      <w:r w:rsidR="00B05D6E">
        <w:rPr>
          <w:rStyle w:val="FootnoteReference"/>
        </w:rPr>
        <w:footnoteReference w:id="1"/>
      </w:r>
      <w:r w:rsidR="00831EF1">
        <w:t>, Assoc. Prof. Rumen STOYANOV PhD</w:t>
      </w:r>
      <w:r w:rsidR="00831EF1" w:rsidRPr="00831EF1">
        <w:rPr>
          <w:vertAlign w:val="superscript"/>
        </w:rPr>
        <w:t>b</w:t>
      </w:r>
      <w:r w:rsidR="00831EF1">
        <w:t xml:space="preserve">, </w:t>
      </w:r>
    </w:p>
    <w:p w:rsidR="00B05D6E" w:rsidRDefault="00F44C1C">
      <w:pPr>
        <w:pStyle w:val="Author"/>
      </w:pPr>
      <w:r>
        <w:t xml:space="preserve">Assoc. Prof. </w:t>
      </w:r>
      <w:r w:rsidR="00831EF1">
        <w:t>Radu</w:t>
      </w:r>
      <w:r w:rsidR="00FF1074" w:rsidRPr="00831EF1">
        <w:t xml:space="preserve"> </w:t>
      </w:r>
      <w:r w:rsidR="00831EF1">
        <w:t>HANZU-PAZARA</w:t>
      </w:r>
      <w:r w:rsidRPr="00831EF1">
        <w:t xml:space="preserve"> PhD</w:t>
      </w:r>
      <w:r w:rsidR="00FF1074" w:rsidRPr="00831EF1">
        <w:rPr>
          <w:vertAlign w:val="superscript"/>
        </w:rPr>
        <w:t xml:space="preserve"> </w:t>
      </w:r>
      <w:r w:rsidR="00831EF1">
        <w:rPr>
          <w:vertAlign w:val="superscript"/>
        </w:rPr>
        <w:t>c</w:t>
      </w:r>
    </w:p>
    <w:p w:rsidR="00B05D6E" w:rsidRDefault="00B05D6E">
      <w:pPr>
        <w:pStyle w:val="Affiliation"/>
      </w:pPr>
      <w:r>
        <w:rPr>
          <w:i w:val="0"/>
          <w:vertAlign w:val="superscript"/>
        </w:rPr>
        <w:t>a</w:t>
      </w:r>
      <w:r>
        <w:rPr>
          <w:sz w:val="8"/>
          <w:szCs w:val="8"/>
        </w:rPr>
        <w:t xml:space="preserve"> </w:t>
      </w:r>
      <w:r w:rsidR="00E22F85" w:rsidRPr="00E22F85">
        <w:t>Nikola Vaptsarov Naval Academy</w:t>
      </w:r>
    </w:p>
    <w:p w:rsidR="00B05D6E" w:rsidRDefault="00B05D6E">
      <w:pPr>
        <w:pStyle w:val="Affiliation"/>
      </w:pPr>
      <w:r>
        <w:rPr>
          <w:i w:val="0"/>
          <w:vertAlign w:val="superscript"/>
        </w:rPr>
        <w:t>b</w:t>
      </w:r>
      <w:r>
        <w:rPr>
          <w:sz w:val="8"/>
          <w:szCs w:val="8"/>
        </w:rPr>
        <w:t xml:space="preserve"> </w:t>
      </w:r>
      <w:r w:rsidR="00E22F85" w:rsidRPr="00E22F85">
        <w:t>Nikola Vaptsarov Naval Academy</w:t>
      </w:r>
    </w:p>
    <w:p w:rsidR="00831EF1" w:rsidRDefault="00831EF1">
      <w:pPr>
        <w:pStyle w:val="Affiliation"/>
      </w:pPr>
      <w:r w:rsidRPr="00831EF1">
        <w:rPr>
          <w:vertAlign w:val="superscript"/>
        </w:rPr>
        <w:t>c</w:t>
      </w:r>
      <w:r>
        <w:t xml:space="preserve"> Constanta Maritime University</w:t>
      </w:r>
    </w:p>
    <w:p w:rsidR="00E22F85" w:rsidRPr="00E22F85" w:rsidRDefault="00B05D6E" w:rsidP="00E22F85">
      <w:pPr>
        <w:pStyle w:val="Abstract"/>
        <w:rPr>
          <w:lang w:val="bg-BG"/>
        </w:rPr>
      </w:pPr>
      <w:r>
        <w:rPr>
          <w:b/>
        </w:rPr>
        <w:t>Abstract.</w:t>
      </w:r>
      <w:r>
        <w:t xml:space="preserve"> </w:t>
      </w:r>
      <w:r w:rsidR="00E22F85" w:rsidRPr="00E22F85">
        <w:rPr>
          <w:lang w:val="bg-BG"/>
        </w:rPr>
        <w:t xml:space="preserve">The International Maritime Organization (IMO), through its Maritime Environmental Protection Committee (MEPC), has been carrying out substantial work to provide the fundamental conditions for the reduction of greenhouse gas emissions from international shipping since 1997, following the adoption of the Kyoto Protocol and the 1997 MARPOL Conference. Many documents, issued in this respect, are dedicated to different types of vessels. More of the requirements and regulations for establishing of efficiency criteria are based on commercial activities of the vessels and respective fuel consumption. There is the big difference between offshore vessels and all other vessels. Offshore shipping industry has another criteria for effective fuel consumption. As longest as the job is with very high risk Safety is with high priority. The offshore industry try to find another way and means for implementation of MARPOL Annex VI requirements. </w:t>
      </w:r>
    </w:p>
    <w:p w:rsidR="00B05D6E" w:rsidRDefault="00E22F85" w:rsidP="00E22F85">
      <w:pPr>
        <w:pStyle w:val="Abstract"/>
        <w:spacing w:before="0"/>
      </w:pPr>
      <w:r w:rsidRPr="00E22F85">
        <w:rPr>
          <w:lang w:val="bg-BG"/>
        </w:rPr>
        <w:t>The article summarizes Classification Societies requirements regarding offshore vessels. The requirements are compare with IMO Resolutions in this field and conclusions are made. The authors has made proposals to education system which are related to STCW Convention Code, Part B.</w:t>
      </w:r>
      <w:r w:rsidR="00B05D6E">
        <w:t>.</w:t>
      </w:r>
    </w:p>
    <w:p w:rsidR="00B05D6E" w:rsidRPr="00E22F85" w:rsidRDefault="00B05D6E" w:rsidP="00E22F85">
      <w:pPr>
        <w:pStyle w:val="Keywords"/>
      </w:pPr>
      <w:r>
        <w:rPr>
          <w:b/>
        </w:rPr>
        <w:t>Keywords.</w:t>
      </w:r>
      <w:r>
        <w:t xml:space="preserve"> </w:t>
      </w:r>
      <w:r w:rsidR="00E22F85" w:rsidRPr="00E22F85">
        <w:t>Offshore vessel, Ship Energy Efficiency Management Plan (SEEMP), Offshore Drilling expenses.</w:t>
      </w:r>
    </w:p>
    <w:p w:rsidR="00B05D6E" w:rsidRDefault="00B05D6E" w:rsidP="00F07FC3">
      <w:pPr>
        <w:pStyle w:val="Heading1"/>
      </w:pPr>
      <w:r>
        <w:t>Introduction</w:t>
      </w:r>
    </w:p>
    <w:p w:rsidR="00B05D6E" w:rsidRDefault="00E22F85">
      <w:pPr>
        <w:pStyle w:val="NoindentNormal"/>
      </w:pPr>
      <w:r w:rsidRPr="00E22F85">
        <w:rPr>
          <w:lang w:val="bg-BG"/>
        </w:rPr>
        <w:t>Maritime transport retains its strategic importance as a major sector of world trade in goods and of passenger transport, despite the dynamics of the economic processes. The financial crisis at the end of the first decade of the 21st century delayed to a certain extend the development of shipping, changed a number of operational criteria such as "ship scrapping age", "ship green passport", "energy efficiency operational indicator", etc.</w:t>
      </w:r>
      <w:r w:rsidR="00B05D6E">
        <w:t>.</w:t>
      </w:r>
    </w:p>
    <w:p w:rsidR="00B05D6E" w:rsidRDefault="00E22F85">
      <w:pPr>
        <w:rPr>
          <w:lang w:val="bg-BG"/>
        </w:rPr>
      </w:pPr>
      <w:r w:rsidRPr="00E22F85">
        <w:rPr>
          <w:lang w:val="bg-BG"/>
        </w:rPr>
        <w:t xml:space="preserve">The United Nations data, published in the annual report of the Conference on Trade and Development titled "Review of maritime transport 2017", show a 2,8% increase in maritime trade in 2017 [1]. Along with the development of maritime trade, the UN reports also sustainability in the environmental protection. A number of IMO initiatives aim at encouraging further investment in installations which use ecological fuels, </w:t>
      </w:r>
      <w:r w:rsidRPr="00E22F85">
        <w:rPr>
          <w:lang w:val="bg-BG"/>
        </w:rPr>
        <w:lastRenderedPageBreak/>
        <w:t>improving the structural and operational indicator of ships in service, etc [2]. Against the background of these activities one is puzzled by the general wording of the requirements of international institutions, the generalized formulae for calculating the ships’ energy indicators, the lack of specific coefficients or multipliers which take into account the nature of the ship activities. An example in this respect are the offshore ships whose operational process is very different from that of traditional merchant and passenger ships. A series of publications of scientists and specialists go deeper into the IMO guidelines contained in MEPC circular letters and point at the versatility of the multipliers in the formula for calculating the operational energy efficiency indicator [3].</w:t>
      </w:r>
    </w:p>
    <w:p w:rsidR="00FC42DF" w:rsidRDefault="00922CBD" w:rsidP="0013112A">
      <w:pPr>
        <w:spacing w:before="240" w:after="240"/>
        <w:ind w:firstLine="426"/>
      </w:pPr>
      <m:oMath>
        <m:r>
          <m:rPr>
            <m:nor/>
          </m:rPr>
          <w:rPr>
            <w:i/>
          </w:rPr>
          <m:t>EEOI=</m:t>
        </m:r>
        <m:f>
          <m:fPr>
            <m:ctrlPr>
              <w:rPr>
                <w:rFonts w:ascii="Cambria Math" w:hAnsi="Cambria Math"/>
                <w:i/>
              </w:rPr>
            </m:ctrlPr>
          </m:fPr>
          <m:num>
            <m:sSub>
              <m:sSubPr>
                <m:ctrlPr>
                  <w:rPr>
                    <w:rFonts w:ascii="Cambria Math" w:hAnsi="Cambria Math"/>
                    <w:i/>
                  </w:rPr>
                </m:ctrlPr>
              </m:sSubPr>
              <m:e>
                <m:r>
                  <m:rPr>
                    <m:nor/>
                  </m:rPr>
                  <w:rPr>
                    <w:i/>
                  </w:rPr>
                  <m:t>FC</m:t>
                </m:r>
              </m:e>
              <m:sub>
                <m:r>
                  <m:rPr>
                    <m:nor/>
                  </m:rPr>
                  <w:rPr>
                    <w:i/>
                  </w:rPr>
                  <m:t>i</m:t>
                </m:r>
              </m:sub>
            </m:sSub>
            <m:r>
              <m:rPr>
                <m:nor/>
              </m:rPr>
              <w:rPr>
                <w:i/>
              </w:rPr>
              <m:t>.</m:t>
            </m:r>
            <m:sSub>
              <m:sSubPr>
                <m:ctrlPr>
                  <w:rPr>
                    <w:rFonts w:ascii="Cambria Math" w:hAnsi="Cambria Math"/>
                    <w:i/>
                  </w:rPr>
                </m:ctrlPr>
              </m:sSubPr>
              <m:e>
                <m:r>
                  <m:rPr>
                    <m:nor/>
                  </m:rPr>
                  <w:rPr>
                    <w:i/>
                  </w:rPr>
                  <m:t>C</m:t>
                </m:r>
              </m:e>
              <m:sub>
                <m:r>
                  <m:rPr>
                    <m:nor/>
                  </m:rPr>
                  <w:rPr>
                    <w:i/>
                  </w:rPr>
                  <m:t>F</m:t>
                </m:r>
              </m:sub>
            </m:sSub>
          </m:num>
          <m:den>
            <m:r>
              <m:rPr>
                <m:nor/>
              </m:rPr>
              <w:rPr>
                <w:i/>
              </w:rPr>
              <m:t>m.D</m:t>
            </m:r>
          </m:den>
        </m:f>
      </m:oMath>
      <w:r w:rsidR="00726EDB">
        <w:tab/>
      </w:r>
      <w:r w:rsidR="00726EDB">
        <w:tab/>
      </w:r>
      <w:r w:rsidR="00726EDB">
        <w:tab/>
      </w:r>
      <w:r w:rsidR="00726EDB">
        <w:tab/>
      </w:r>
      <w:r w:rsidR="00726EDB">
        <w:tab/>
      </w:r>
      <w:r w:rsidR="00726EDB">
        <w:tab/>
      </w:r>
      <w:r w:rsidR="00726EDB">
        <w:tab/>
        <w:t xml:space="preserve">      (1)</w:t>
      </w:r>
    </w:p>
    <w:p w:rsidR="00726EDB" w:rsidRDefault="00726EDB" w:rsidP="00726EDB">
      <w:r>
        <w:t>where:</w:t>
      </w:r>
    </w:p>
    <w:p w:rsidR="00B72843" w:rsidRDefault="00726EDB" w:rsidP="00726EDB">
      <w:r w:rsidRPr="00726EDB">
        <w:t>FC</w:t>
      </w:r>
      <w:r w:rsidRPr="00B72843">
        <w:rPr>
          <w:vertAlign w:val="subscript"/>
        </w:rPr>
        <w:t>i</w:t>
      </w:r>
      <w:r w:rsidRPr="00726EDB">
        <w:t xml:space="preserve"> – mass of fuel consumed by main and auxiliary engines during a single task performance[t],</w:t>
      </w:r>
    </w:p>
    <w:p w:rsidR="00726EDB" w:rsidRDefault="00726EDB" w:rsidP="00726EDB">
      <w:r w:rsidRPr="00726EDB">
        <w:t>C</w:t>
      </w:r>
      <w:r w:rsidRPr="00B72843">
        <w:rPr>
          <w:vertAlign w:val="subscript"/>
        </w:rPr>
        <w:t>F</w:t>
      </w:r>
      <w:r w:rsidRPr="00726EDB">
        <w:t xml:space="preserve"> - conversion rate expressed as a relation of CO2 mass generated during used fuel combustion process [t CO2 / t fuel],</w:t>
      </w:r>
    </w:p>
    <w:p w:rsidR="00B72843" w:rsidRDefault="00726EDB" w:rsidP="00726EDB">
      <w:r w:rsidRPr="00726EDB">
        <w:t>m – mass of freight onboard [t],</w:t>
      </w:r>
    </w:p>
    <w:p w:rsidR="00726EDB" w:rsidRPr="00726EDB" w:rsidRDefault="00726EDB" w:rsidP="00726EDB">
      <w:r w:rsidRPr="00726EDB">
        <w:t>D – distance expressed in nautical miles that the vessel travelled during the performance of a specific</w:t>
      </w:r>
      <w:r w:rsidR="00B72843">
        <w:t xml:space="preserve"> </w:t>
      </w:r>
      <w:r w:rsidRPr="00726EDB">
        <w:t>task [Nm – nautical mile].</w:t>
      </w:r>
    </w:p>
    <w:p w:rsidR="00B72843" w:rsidRPr="00B72843" w:rsidRDefault="00B72843" w:rsidP="00B72843">
      <w:pPr>
        <w:rPr>
          <w:lang w:val="bg-BG"/>
        </w:rPr>
      </w:pPr>
      <w:r w:rsidRPr="00B72843">
        <w:rPr>
          <w:lang w:val="bg-BG"/>
        </w:rPr>
        <w:t>The Gaspar</w:t>
      </w:r>
      <w:r w:rsidRPr="00B72843">
        <w:t xml:space="preserve"> </w:t>
      </w:r>
      <w:r w:rsidRPr="00B72843">
        <w:rPr>
          <w:lang w:val="bg-BG"/>
        </w:rPr>
        <w:t>/</w:t>
      </w:r>
      <w:r w:rsidRPr="00B72843">
        <w:t xml:space="preserve"> </w:t>
      </w:r>
      <w:r w:rsidRPr="00B72843">
        <w:rPr>
          <w:lang w:val="bg-BG"/>
        </w:rPr>
        <w:t xml:space="preserve">Eriksted </w:t>
      </w:r>
      <w:r w:rsidRPr="00B72843">
        <w:t xml:space="preserve">and </w:t>
      </w:r>
      <w:r w:rsidRPr="00B72843">
        <w:rPr>
          <w:lang w:val="bg-BG"/>
        </w:rPr>
        <w:t xml:space="preserve">Glowacki </w:t>
      </w:r>
      <w:r w:rsidRPr="00B72843">
        <w:t>/</w:t>
      </w:r>
      <w:r w:rsidRPr="00B72843">
        <w:rPr>
          <w:lang w:val="bg-BG"/>
        </w:rPr>
        <w:t xml:space="preserve"> Benkendt studies provide a good basis for presenting the specific activities of offshore </w:t>
      </w:r>
      <w:r w:rsidRPr="00B72843">
        <w:t>ships</w:t>
      </w:r>
      <w:r w:rsidRPr="00B72843">
        <w:rPr>
          <w:lang w:val="bg-BG"/>
        </w:rPr>
        <w:t xml:space="preserve"> and </w:t>
      </w:r>
      <w:r w:rsidRPr="00B72843">
        <w:t xml:space="preserve">the </w:t>
      </w:r>
      <w:r w:rsidRPr="00B72843">
        <w:rPr>
          <w:lang w:val="bg-BG"/>
        </w:rPr>
        <w:t xml:space="preserve">differences </w:t>
      </w:r>
      <w:r w:rsidRPr="00B72843">
        <w:t>from</w:t>
      </w:r>
      <w:r w:rsidRPr="00B72843">
        <w:rPr>
          <w:lang w:val="bg-BG"/>
        </w:rPr>
        <w:t xml:space="preserve"> </w:t>
      </w:r>
      <w:r w:rsidRPr="00B72843">
        <w:t>merchant ships</w:t>
      </w:r>
      <w:r w:rsidRPr="00B72843">
        <w:rPr>
          <w:lang w:val="bg-BG"/>
        </w:rPr>
        <w:t xml:space="preserve"> in this respect [4,5].</w:t>
      </w:r>
    </w:p>
    <w:p w:rsidR="00726EDB" w:rsidRDefault="00B72843">
      <w:pPr>
        <w:rPr>
          <w:lang w:val="bg-BG"/>
        </w:rPr>
      </w:pPr>
      <w:r w:rsidRPr="00B72843">
        <w:t xml:space="preserve">Although </w:t>
      </w:r>
      <w:r w:rsidRPr="00B72843">
        <w:rPr>
          <w:lang w:val="bg-BG"/>
        </w:rPr>
        <w:t xml:space="preserve">Gaspar and Eriksted </w:t>
      </w:r>
      <w:r w:rsidRPr="00B72843">
        <w:t>investigate</w:t>
      </w:r>
      <w:r w:rsidRPr="00B72843">
        <w:rPr>
          <w:lang w:val="bg-BG"/>
        </w:rPr>
        <w:t xml:space="preserve"> the activities of offshore ships such as OSV and AHTS in the EEDI</w:t>
      </w:r>
      <w:r w:rsidRPr="00B72843">
        <w:t xml:space="preserve"> </w:t>
      </w:r>
      <w:r w:rsidRPr="00B72843">
        <w:rPr>
          <w:lang w:val="bg-BG"/>
        </w:rPr>
        <w:t xml:space="preserve">context, they </w:t>
      </w:r>
      <w:r w:rsidRPr="00B72843">
        <w:t>ask</w:t>
      </w:r>
      <w:r w:rsidRPr="00B72843">
        <w:rPr>
          <w:lang w:val="bg-BG"/>
        </w:rPr>
        <w:t xml:space="preserve"> important </w:t>
      </w:r>
      <w:r w:rsidRPr="00B72843">
        <w:t>questions which refer to</w:t>
      </w:r>
      <w:r w:rsidRPr="00B72843">
        <w:rPr>
          <w:lang w:val="bg-BG"/>
        </w:rPr>
        <w:t xml:space="preserve"> the operational activities </w:t>
      </w:r>
      <w:r w:rsidRPr="00B72843">
        <w:t>in</w:t>
      </w:r>
      <w:r w:rsidRPr="00B72843">
        <w:rPr>
          <w:lang w:val="bg-BG"/>
        </w:rPr>
        <w:t xml:space="preserve"> this sector of the maritime industry:</w:t>
      </w:r>
    </w:p>
    <w:p w:rsidR="00B72843" w:rsidRPr="00B72843" w:rsidRDefault="00B72843" w:rsidP="00B72843">
      <w:pPr>
        <w:numPr>
          <w:ilvl w:val="0"/>
          <w:numId w:val="13"/>
        </w:numPr>
        <w:spacing w:before="120"/>
        <w:rPr>
          <w:lang w:val="bg-BG"/>
        </w:rPr>
      </w:pPr>
      <w:r w:rsidRPr="00B72843">
        <w:rPr>
          <w:lang w:val="bg-BG"/>
        </w:rPr>
        <w:t>How to calculate the work done by the aforementioned types of ship?</w:t>
      </w:r>
    </w:p>
    <w:p w:rsidR="00B72843" w:rsidRPr="00B72843" w:rsidRDefault="00B72843" w:rsidP="00B72843">
      <w:pPr>
        <w:numPr>
          <w:ilvl w:val="0"/>
          <w:numId w:val="13"/>
        </w:numPr>
        <w:rPr>
          <w:lang w:val="bg-BG"/>
        </w:rPr>
      </w:pPr>
      <w:r w:rsidRPr="00B72843">
        <w:rPr>
          <w:lang w:val="bg-BG"/>
        </w:rPr>
        <w:t>How is the performance of the specific mission related to fuel consumption and to the emissions discharged into the atmosphere, from the point of view of the necessary power used?</w:t>
      </w:r>
    </w:p>
    <w:p w:rsidR="00B72843" w:rsidRPr="00B72843" w:rsidRDefault="00B72843" w:rsidP="00B72843">
      <w:pPr>
        <w:numPr>
          <w:ilvl w:val="0"/>
          <w:numId w:val="13"/>
        </w:numPr>
        <w:spacing w:after="120"/>
        <w:rPr>
          <w:lang w:val="bg-BG"/>
        </w:rPr>
      </w:pPr>
      <w:r w:rsidRPr="00B72843">
        <w:rPr>
          <w:lang w:val="bg-BG"/>
        </w:rPr>
        <w:t>How can activities which are not part of the routine operational process such as fire extinguishing, rescue operations, oil spill clearance, etc.</w:t>
      </w:r>
      <w:r w:rsidRPr="00B72843">
        <w:t>,</w:t>
      </w:r>
      <w:r w:rsidRPr="00B72843">
        <w:rPr>
          <w:lang w:val="bg-BG"/>
        </w:rPr>
        <w:t xml:space="preserve"> leading to non-production costs</w:t>
      </w:r>
      <w:r w:rsidRPr="00B72843">
        <w:t>,</w:t>
      </w:r>
      <w:r w:rsidRPr="00B72843">
        <w:rPr>
          <w:lang w:val="bg-BG"/>
        </w:rPr>
        <w:t xml:space="preserve"> be included in the calculations</w:t>
      </w:r>
      <w:r>
        <w:t xml:space="preserve"> </w:t>
      </w:r>
      <w:r w:rsidRPr="00B72843">
        <w:rPr>
          <w:lang w:val="bg-BG"/>
        </w:rPr>
        <w:t>[4]?</w:t>
      </w:r>
    </w:p>
    <w:p w:rsidR="00B72843" w:rsidRDefault="00B72843">
      <w:r w:rsidRPr="00B72843">
        <w:t>In this vein, other question can also be formulated. For the purpose of the present study, the authors of the present article rely on their personal experience and accumulated statistics from the work of Bl. Belev as a DPA at the offshore company Bon Marine International AD and the above-cited publications.</w:t>
      </w:r>
    </w:p>
    <w:p w:rsidR="00B05D6E" w:rsidRPr="00B72843" w:rsidRDefault="00B72843" w:rsidP="00B72843">
      <w:pPr>
        <w:pStyle w:val="Heading1"/>
        <w:rPr>
          <w:lang w:eastAsia="en-US"/>
        </w:rPr>
      </w:pPr>
      <w:r w:rsidRPr="00B72843">
        <w:rPr>
          <w:lang w:eastAsia="en-US"/>
        </w:rPr>
        <w:t xml:space="preserve">The </w:t>
      </w:r>
      <w:r>
        <w:rPr>
          <w:lang w:eastAsia="en-US"/>
        </w:rPr>
        <w:t>o</w:t>
      </w:r>
      <w:r w:rsidRPr="00B72843">
        <w:rPr>
          <w:lang w:eastAsia="en-US"/>
        </w:rPr>
        <w:t xml:space="preserve">peration of </w:t>
      </w:r>
      <w:r>
        <w:rPr>
          <w:lang w:eastAsia="en-US"/>
        </w:rPr>
        <w:t>o</w:t>
      </w:r>
      <w:r w:rsidRPr="00B72843">
        <w:rPr>
          <w:lang w:eastAsia="en-US"/>
        </w:rPr>
        <w:t>ff</w:t>
      </w:r>
      <w:r>
        <w:rPr>
          <w:lang w:eastAsia="en-US"/>
        </w:rPr>
        <w:t>-</w:t>
      </w:r>
      <w:r w:rsidRPr="00B72843">
        <w:rPr>
          <w:lang w:eastAsia="en-US"/>
        </w:rPr>
        <w:t xml:space="preserve">shore </w:t>
      </w:r>
      <w:r>
        <w:rPr>
          <w:lang w:eastAsia="en-US"/>
        </w:rPr>
        <w:t>s</w:t>
      </w:r>
      <w:r w:rsidRPr="00B72843">
        <w:rPr>
          <w:lang w:eastAsia="en-US"/>
        </w:rPr>
        <w:t xml:space="preserve">hips </w:t>
      </w:r>
      <w:r>
        <w:rPr>
          <w:lang w:eastAsia="en-US"/>
        </w:rPr>
        <w:t>p</w:t>
      </w:r>
      <w:r w:rsidRPr="00B72843">
        <w:rPr>
          <w:lang w:eastAsia="en-US"/>
        </w:rPr>
        <w:t xml:space="preserve">resented </w:t>
      </w:r>
      <w:r>
        <w:rPr>
          <w:lang w:eastAsia="en-US"/>
        </w:rPr>
        <w:t>a</w:t>
      </w:r>
      <w:r w:rsidRPr="00B72843">
        <w:rPr>
          <w:lang w:eastAsia="en-US"/>
        </w:rPr>
        <w:t xml:space="preserve">s a </w:t>
      </w:r>
      <w:r>
        <w:rPr>
          <w:lang w:eastAsia="en-US"/>
        </w:rPr>
        <w:t>s</w:t>
      </w:r>
      <w:r w:rsidRPr="00B72843">
        <w:rPr>
          <w:lang w:eastAsia="en-US"/>
        </w:rPr>
        <w:t xml:space="preserve">ystem </w:t>
      </w:r>
      <w:r>
        <w:rPr>
          <w:lang w:eastAsia="en-US"/>
        </w:rPr>
        <w:t>o</w:t>
      </w:r>
      <w:r w:rsidRPr="00B72843">
        <w:rPr>
          <w:lang w:eastAsia="en-US"/>
        </w:rPr>
        <w:t xml:space="preserve">f </w:t>
      </w:r>
      <w:r>
        <w:rPr>
          <w:lang w:eastAsia="en-US"/>
        </w:rPr>
        <w:t>o</w:t>
      </w:r>
      <w:r w:rsidRPr="00B72843">
        <w:rPr>
          <w:lang w:eastAsia="en-US"/>
        </w:rPr>
        <w:t>perations</w:t>
      </w:r>
    </w:p>
    <w:p w:rsidR="00B05D6E" w:rsidRDefault="00DA49DA">
      <w:pPr>
        <w:pStyle w:val="NoindentNormal"/>
      </w:pPr>
      <w:r w:rsidRPr="00DA49DA">
        <w:rPr>
          <w:lang w:val="bg-BG"/>
        </w:rPr>
        <w:t xml:space="preserve">If </w:t>
      </w:r>
      <w:r w:rsidRPr="00DA49DA">
        <w:t xml:space="preserve">the </w:t>
      </w:r>
      <w:r w:rsidRPr="00DA49DA">
        <w:rPr>
          <w:lang w:val="bg-BG"/>
        </w:rPr>
        <w:t xml:space="preserve">EEDI </w:t>
      </w:r>
      <w:r w:rsidRPr="00DA49DA">
        <w:t>was incorporated during</w:t>
      </w:r>
      <w:r w:rsidRPr="00DA49DA">
        <w:rPr>
          <w:lang w:val="bg-BG"/>
        </w:rPr>
        <w:t xml:space="preserve"> the building of a ship</w:t>
      </w:r>
      <w:r w:rsidRPr="00DA49DA">
        <w:t xml:space="preserve"> and</w:t>
      </w:r>
      <w:r w:rsidRPr="00DA49DA">
        <w:rPr>
          <w:lang w:val="bg-BG"/>
        </w:rPr>
        <w:t xml:space="preserve"> its change during </w:t>
      </w:r>
      <w:r w:rsidRPr="00DA49DA">
        <w:t xml:space="preserve">the </w:t>
      </w:r>
      <w:r w:rsidRPr="00DA49DA">
        <w:rPr>
          <w:lang w:val="bg-BG"/>
        </w:rPr>
        <w:t>service life</w:t>
      </w:r>
      <w:r w:rsidRPr="00DA49DA">
        <w:t xml:space="preserve"> of the vessel</w:t>
      </w:r>
      <w:r w:rsidRPr="00DA49DA">
        <w:rPr>
          <w:lang w:val="bg-BG"/>
        </w:rPr>
        <w:t xml:space="preserve"> is a difficult process,</w:t>
      </w:r>
      <w:r w:rsidRPr="00DA49DA">
        <w:t xml:space="preserve"> then</w:t>
      </w:r>
      <w:r w:rsidRPr="00DA49DA">
        <w:rPr>
          <w:lang w:val="bg-BG"/>
        </w:rPr>
        <w:t xml:space="preserve"> the EEOI allows enough freedom of choice </w:t>
      </w:r>
      <w:r w:rsidRPr="00DA49DA">
        <w:t>of</w:t>
      </w:r>
      <w:r w:rsidRPr="00DA49DA">
        <w:rPr>
          <w:lang w:val="bg-BG"/>
        </w:rPr>
        <w:t xml:space="preserve"> operational measures </w:t>
      </w:r>
      <w:r w:rsidRPr="00DA49DA">
        <w:t>aimed at</w:t>
      </w:r>
      <w:r w:rsidRPr="00DA49DA">
        <w:rPr>
          <w:lang w:val="bg-BG"/>
        </w:rPr>
        <w:t xml:space="preserve"> reducing fuel consumption and hence </w:t>
      </w:r>
      <w:r w:rsidRPr="00DA49DA">
        <w:t xml:space="preserve">the </w:t>
      </w:r>
      <w:r w:rsidRPr="00DA49DA">
        <w:rPr>
          <w:lang w:val="bg-BG"/>
        </w:rPr>
        <w:t xml:space="preserve">emissions of </w:t>
      </w:r>
      <w:r w:rsidRPr="00DA49DA">
        <w:t>green house</w:t>
      </w:r>
      <w:r w:rsidRPr="00DA49DA">
        <w:rPr>
          <w:lang w:val="bg-BG"/>
        </w:rPr>
        <w:t xml:space="preserve"> gases. The authors cited in [4</w:t>
      </w:r>
      <w:r w:rsidRPr="00DA49DA">
        <w:t>,</w:t>
      </w:r>
      <w:r w:rsidRPr="00DA49DA">
        <w:rPr>
          <w:lang w:val="bg-BG"/>
        </w:rPr>
        <w:t xml:space="preserve">5] make a </w:t>
      </w:r>
      <w:r w:rsidRPr="00DA49DA">
        <w:t>profound</w:t>
      </w:r>
      <w:r w:rsidRPr="00DA49DA">
        <w:rPr>
          <w:lang w:val="bg-BG"/>
        </w:rPr>
        <w:t xml:space="preserve"> analysis of the IMO guidelines in this re</w:t>
      </w:r>
      <w:r w:rsidRPr="00DA49DA">
        <w:t>spect</w:t>
      </w:r>
      <w:r w:rsidRPr="00DA49DA">
        <w:rPr>
          <w:lang w:val="bg-BG"/>
        </w:rPr>
        <w:t>.</w:t>
      </w:r>
      <w:r w:rsidRPr="00DA49DA">
        <w:t xml:space="preserve"> </w:t>
      </w:r>
      <w:r w:rsidRPr="00DA49DA">
        <w:rPr>
          <w:lang w:val="bg-BG"/>
        </w:rPr>
        <w:t xml:space="preserve">An ICCT study published on the Council's website also analyzes the abilities of the constructive index </w:t>
      </w:r>
      <w:r w:rsidRPr="00DA49DA">
        <w:t>to</w:t>
      </w:r>
      <w:r w:rsidRPr="00DA49DA">
        <w:rPr>
          <w:lang w:val="bg-BG"/>
        </w:rPr>
        <w:t xml:space="preserve"> enhanc</w:t>
      </w:r>
      <w:r w:rsidRPr="00DA49DA">
        <w:t>e</w:t>
      </w:r>
      <w:r w:rsidRPr="00DA49DA">
        <w:rPr>
          <w:lang w:val="bg-BG"/>
        </w:rPr>
        <w:t xml:space="preserve"> the energy efficiency of </w:t>
      </w:r>
      <w:r w:rsidRPr="00DA49DA">
        <w:rPr>
          <w:lang w:val="bg-BG"/>
        </w:rPr>
        <w:lastRenderedPageBreak/>
        <w:t>non-</w:t>
      </w:r>
      <w:r w:rsidRPr="00DA49DA">
        <w:t>commercial</w:t>
      </w:r>
      <w:r w:rsidRPr="00DA49DA">
        <w:rPr>
          <w:lang w:val="bg-BG"/>
        </w:rPr>
        <w:t xml:space="preserve"> vessels [6,7]. The authors of th</w:t>
      </w:r>
      <w:r w:rsidRPr="00DA49DA">
        <w:t>e present</w:t>
      </w:r>
      <w:r w:rsidRPr="00DA49DA">
        <w:rPr>
          <w:lang w:val="bg-BG"/>
        </w:rPr>
        <w:t xml:space="preserve"> article, however, believe that </w:t>
      </w:r>
      <w:r w:rsidRPr="00DA49DA">
        <w:t>additional possibilities</w:t>
      </w:r>
      <w:r w:rsidRPr="00DA49DA">
        <w:rPr>
          <w:lang w:val="bg-BG"/>
        </w:rPr>
        <w:t xml:space="preserve"> should be sought in improving the operational ind</w:t>
      </w:r>
      <w:r w:rsidRPr="00DA49DA">
        <w:t>icator</w:t>
      </w:r>
      <w:r w:rsidRPr="00DA49DA">
        <w:rPr>
          <w:lang w:val="bg-BG"/>
        </w:rPr>
        <w:t xml:space="preserve">, despite the </w:t>
      </w:r>
      <w:r w:rsidRPr="00DA49DA">
        <w:t>numerous</w:t>
      </w:r>
      <w:r w:rsidRPr="00DA49DA">
        <w:rPr>
          <w:lang w:val="bg-BG"/>
        </w:rPr>
        <w:t xml:space="preserve"> constructive </w:t>
      </w:r>
      <w:r w:rsidRPr="00DA49DA">
        <w:t>improvements on</w:t>
      </w:r>
      <w:r w:rsidRPr="00DA49DA">
        <w:rPr>
          <w:lang w:val="bg-BG"/>
        </w:rPr>
        <w:t xml:space="preserve"> offshore industry ships. Their operational profile requires</w:t>
      </w:r>
      <w:r w:rsidRPr="00DA49DA">
        <w:t xml:space="preserve"> an</w:t>
      </w:r>
      <w:r w:rsidRPr="00DA49DA">
        <w:rPr>
          <w:lang w:val="bg-BG"/>
        </w:rPr>
        <w:t xml:space="preserve"> in-depth and critical processing</w:t>
      </w:r>
      <w:r w:rsidRPr="00DA49DA">
        <w:t xml:space="preserve"> of </w:t>
      </w:r>
      <w:r w:rsidRPr="00DA49DA">
        <w:rPr>
          <w:lang w:val="bg-BG"/>
        </w:rPr>
        <w:t>statistic</w:t>
      </w:r>
      <w:r w:rsidRPr="00DA49DA">
        <w:t xml:space="preserve"> data in order </w:t>
      </w:r>
      <w:r w:rsidRPr="00DA49DA">
        <w:rPr>
          <w:lang w:val="bg-BG"/>
        </w:rPr>
        <w:t xml:space="preserve">to highlight the specific </w:t>
      </w:r>
      <w:r w:rsidRPr="00DA49DA">
        <w:t>stages</w:t>
      </w:r>
      <w:r w:rsidRPr="00DA49DA">
        <w:rPr>
          <w:lang w:val="bg-BG"/>
        </w:rPr>
        <w:t xml:space="preserve"> of each mission and to </w:t>
      </w:r>
      <w:r w:rsidRPr="00DA49DA">
        <w:t>point out</w:t>
      </w:r>
      <w:r w:rsidRPr="00DA49DA">
        <w:rPr>
          <w:lang w:val="bg-BG"/>
        </w:rPr>
        <w:t xml:space="preserve"> the possibilities for reducing energy costs.</w:t>
      </w:r>
      <w:r w:rsidRPr="00DA49DA">
        <w:t>To make such an analysis, it is necessary to present the voyage or the mission as a system of operations. A similar approach was chosen by Gaspar / Eriksted and Glowacki / Benkendt in their publications. The understanding of the activity of offshore ships as a "mission" fully corresponds to their operation and formulates the distinction from merchant ships. This summarized characteristic also covers the non-productive activities defined in the third question above. A shortcoming of the cited analyzes is the lack of correlation of the missions with the meteorological situation, the training of the crews and the elements of the passage plan.</w:t>
      </w:r>
    </w:p>
    <w:p w:rsidR="00B05D6E" w:rsidRDefault="00403F40">
      <w:pPr>
        <w:rPr>
          <w:lang w:val="bg-BG"/>
        </w:rPr>
      </w:pPr>
      <w:r w:rsidRPr="00403F40">
        <w:rPr>
          <w:lang w:val="bg-BG"/>
        </w:rPr>
        <w:t xml:space="preserve">The </w:t>
      </w:r>
      <w:r w:rsidRPr="00403F40">
        <w:t>specifics</w:t>
      </w:r>
      <w:r w:rsidRPr="00403F40">
        <w:rPr>
          <w:lang w:val="bg-BG"/>
        </w:rPr>
        <w:t xml:space="preserve"> of the </w:t>
      </w:r>
      <w:r w:rsidRPr="00403F40">
        <w:t>passage</w:t>
      </w:r>
      <w:r w:rsidRPr="00403F40">
        <w:rPr>
          <w:lang w:val="bg-BG"/>
        </w:rPr>
        <w:t xml:space="preserve"> plan are well described by a number of authors. They adhere to the </w:t>
      </w:r>
      <w:r w:rsidRPr="00403F40">
        <w:t>operation</w:t>
      </w:r>
      <w:r w:rsidRPr="00403F40">
        <w:rPr>
          <w:lang w:val="bg-BG"/>
        </w:rPr>
        <w:t xml:space="preserve"> of </w:t>
      </w:r>
      <w:r w:rsidRPr="00403F40">
        <w:t>merchant ships</w:t>
      </w:r>
      <w:r w:rsidRPr="00403F40">
        <w:rPr>
          <w:lang w:val="bg-BG"/>
        </w:rPr>
        <w:t xml:space="preserve">, </w:t>
      </w:r>
      <w:r w:rsidRPr="00403F40">
        <w:t xml:space="preserve">which </w:t>
      </w:r>
      <w:r w:rsidRPr="00403F40">
        <w:rPr>
          <w:lang w:val="bg-BG"/>
        </w:rPr>
        <w:t xml:space="preserve">provides a summary of their conclusions on the </w:t>
      </w:r>
      <w:r w:rsidRPr="00403F40">
        <w:t>na</w:t>
      </w:r>
      <w:r w:rsidRPr="00403F40">
        <w:rPr>
          <w:lang w:val="bg-BG"/>
        </w:rPr>
        <w:t xml:space="preserve">ture of a </w:t>
      </w:r>
      <w:r w:rsidRPr="00403F40">
        <w:t>voyage</w:t>
      </w:r>
      <w:r w:rsidRPr="00403F40">
        <w:rPr>
          <w:lang w:val="bg-BG"/>
        </w:rPr>
        <w:t xml:space="preserve"> [8,9]. Another interesting and useful approach is represented by Fun-Sang and Caprace, </w:t>
      </w:r>
      <w:r w:rsidRPr="00403F40">
        <w:t>who</w:t>
      </w:r>
      <w:r w:rsidRPr="00403F40">
        <w:rPr>
          <w:lang w:val="bg-BG"/>
        </w:rPr>
        <w:t xml:space="preserve"> use a non-parametric model to describe the </w:t>
      </w:r>
      <w:r w:rsidRPr="00403F40">
        <w:t>operation</w:t>
      </w:r>
      <w:r w:rsidRPr="00403F40">
        <w:rPr>
          <w:lang w:val="bg-BG"/>
        </w:rPr>
        <w:t xml:space="preserve"> of ships during a routine </w:t>
      </w:r>
      <w:r w:rsidRPr="00403F40">
        <w:t>voyage</w:t>
      </w:r>
      <w:r w:rsidRPr="00403F40">
        <w:rPr>
          <w:lang w:val="bg-BG"/>
        </w:rPr>
        <w:t xml:space="preserve">. The authors offer </w:t>
      </w:r>
      <w:r w:rsidRPr="00403F40">
        <w:t xml:space="preserve">a </w:t>
      </w:r>
      <w:r w:rsidRPr="00403F40">
        <w:rPr>
          <w:lang w:val="bg-BG"/>
        </w:rPr>
        <w:t>data envelopment analysis method and</w:t>
      </w:r>
      <w:r w:rsidRPr="00403F40">
        <w:t xml:space="preserve"> a</w:t>
      </w:r>
      <w:r w:rsidRPr="00403F40">
        <w:rPr>
          <w:lang w:val="bg-BG"/>
        </w:rPr>
        <w:t xml:space="preserve"> multicriteria decision analysis to describe ship</w:t>
      </w:r>
      <w:r w:rsidRPr="00403F40">
        <w:t xml:space="preserve"> operation</w:t>
      </w:r>
      <w:r w:rsidRPr="00403F40">
        <w:rPr>
          <w:lang w:val="bg-BG"/>
        </w:rPr>
        <w:t xml:space="preserve"> [10]. Similar </w:t>
      </w:r>
      <w:r w:rsidRPr="00403F40">
        <w:t>reasoning is</w:t>
      </w:r>
      <w:r w:rsidRPr="00403F40">
        <w:rPr>
          <w:lang w:val="bg-BG"/>
        </w:rPr>
        <w:t xml:space="preserve"> presented by Behrandt, who analyzes the specifics of</w:t>
      </w:r>
      <w:r w:rsidRPr="00403F40">
        <w:t xml:space="preserve"> the operation of</w:t>
      </w:r>
      <w:r w:rsidRPr="00403F40">
        <w:rPr>
          <w:lang w:val="bg-BG"/>
        </w:rPr>
        <w:t xml:space="preserve"> fishing vessels  and the possibilities </w:t>
      </w:r>
      <w:r w:rsidRPr="00403F40">
        <w:t>for</w:t>
      </w:r>
      <w:r w:rsidRPr="00403F40">
        <w:rPr>
          <w:lang w:val="bg-BG"/>
        </w:rPr>
        <w:t xml:space="preserve"> reducing energy costs in their </w:t>
      </w:r>
      <w:r w:rsidRPr="00403F40">
        <w:t xml:space="preserve">routine operation </w:t>
      </w:r>
      <w:r w:rsidRPr="00403F40">
        <w:rPr>
          <w:lang w:val="bg-BG"/>
        </w:rPr>
        <w:t>[11].</w:t>
      </w:r>
    </w:p>
    <w:p w:rsidR="00403F40" w:rsidRDefault="00403F40">
      <w:r w:rsidRPr="00403F40">
        <w:rPr>
          <w:lang w:val="bg-BG"/>
        </w:rPr>
        <w:t>Analysts and researchers of the Energy Efficiency Operational Indicator draw their conclusions on the IMO formula</w:t>
      </w:r>
      <w:r w:rsidRPr="00403F40">
        <w:t>e</w:t>
      </w:r>
      <w:r w:rsidRPr="00403F40">
        <w:rPr>
          <w:lang w:val="bg-BG"/>
        </w:rPr>
        <w:t xml:space="preserve"> enclosed to the MEPC circular letters. This approach limits the possibilities to search for reserves in offshore ship operation due to the limited number of their mathematical multipliers. In the next part of the article we propose another approach to assessing the working environment.</w:t>
      </w:r>
    </w:p>
    <w:p w:rsidR="0033019D" w:rsidRPr="00B72843" w:rsidRDefault="0033019D" w:rsidP="0033019D">
      <w:pPr>
        <w:pStyle w:val="Heading1"/>
        <w:jc w:val="both"/>
        <w:rPr>
          <w:lang w:eastAsia="en-US"/>
        </w:rPr>
      </w:pPr>
      <w:r w:rsidRPr="0033019D">
        <w:rPr>
          <w:lang w:val="bg-BG" w:eastAsia="en-US"/>
        </w:rPr>
        <w:t>Use of rectangular games for assessing the energy efficiency of offshore vessels</w:t>
      </w:r>
    </w:p>
    <w:p w:rsidR="00B05D6E" w:rsidRDefault="0033019D">
      <w:pPr>
        <w:pStyle w:val="NoindentNormal"/>
      </w:pPr>
      <w:r w:rsidRPr="0033019D">
        <w:rPr>
          <w:lang w:val="bg-BG"/>
        </w:rPr>
        <w:t xml:space="preserve">The rules of DNV Classification Society of July 2011 lay down the requirements for the construction, equipment and stability of all ships </w:t>
      </w:r>
      <w:r w:rsidRPr="0033019D">
        <w:t>which</w:t>
      </w:r>
      <w:r w:rsidRPr="0033019D">
        <w:rPr>
          <w:lang w:val="bg-BG"/>
        </w:rPr>
        <w:t xml:space="preserve"> are designed to perform offshore activities [12]. The summarized performance cha</w:t>
      </w:r>
      <w:r>
        <w:rPr>
          <w:lang w:val="bg-BG"/>
        </w:rPr>
        <w:t>racteristics of these ships are:</w:t>
      </w:r>
      <w:r w:rsidR="00B05D6E">
        <w:t>.</w:t>
      </w:r>
    </w:p>
    <w:p w:rsidR="0033019D" w:rsidRDefault="0033019D" w:rsidP="0033019D">
      <w:pPr>
        <w:pStyle w:val="Listbul"/>
        <w:spacing w:before="120"/>
      </w:pPr>
      <w:r>
        <w:t>The working environment - usually they operate in adverse weather conditions, heavy hydrodynamic loads on the ship's hull, machinery and auxiliary mechanisms;</w:t>
      </w:r>
    </w:p>
    <w:p w:rsidR="0033019D" w:rsidRDefault="0033019D" w:rsidP="0033019D">
      <w:pPr>
        <w:pStyle w:val="Listbul"/>
      </w:pPr>
      <w:r>
        <w:t>Experience of the crew to cope quickly with private and common tasks for each mission;</w:t>
      </w:r>
    </w:p>
    <w:p w:rsidR="0033019D" w:rsidRDefault="0033019D" w:rsidP="0033019D">
      <w:pPr>
        <w:pStyle w:val="Listbul"/>
      </w:pPr>
      <w:r>
        <w:t>Experience of ship masters to take quick decisions in non-standard situations;</w:t>
      </w:r>
    </w:p>
    <w:p w:rsidR="00B05D6E" w:rsidRDefault="0033019D" w:rsidP="0033019D">
      <w:pPr>
        <w:pStyle w:val="Listbul"/>
        <w:spacing w:after="120"/>
      </w:pPr>
      <w:r>
        <w:t>Flexibility of the ship’s management by the mission leaders.</w:t>
      </w:r>
    </w:p>
    <w:p w:rsidR="00B05D6E" w:rsidRDefault="0033019D">
      <w:r w:rsidRPr="0033019D">
        <w:t>Ships in the offshore industry perform specific tasks, which can be described as permanent strategies. The practical approach requires systematic collection of information such as:</w:t>
      </w:r>
    </w:p>
    <w:p w:rsidR="0033019D" w:rsidRPr="0033019D" w:rsidRDefault="0033019D" w:rsidP="0033019D">
      <w:pPr>
        <w:pStyle w:val="ListParagraph"/>
        <w:numPr>
          <w:ilvl w:val="0"/>
          <w:numId w:val="16"/>
        </w:numPr>
        <w:spacing w:before="120"/>
        <w:rPr>
          <w:lang w:val="bg-BG"/>
        </w:rPr>
      </w:pPr>
      <w:r w:rsidRPr="0033019D">
        <w:rPr>
          <w:lang w:val="bg-BG"/>
        </w:rPr>
        <w:t>The type of the mission;</w:t>
      </w:r>
    </w:p>
    <w:p w:rsidR="0033019D" w:rsidRPr="0033019D" w:rsidRDefault="0033019D" w:rsidP="0033019D">
      <w:pPr>
        <w:pStyle w:val="ListParagraph"/>
        <w:numPr>
          <w:ilvl w:val="0"/>
          <w:numId w:val="16"/>
        </w:numPr>
        <w:rPr>
          <w:lang w:val="bg-BG"/>
        </w:rPr>
      </w:pPr>
      <w:r w:rsidRPr="0033019D">
        <w:t>M</w:t>
      </w:r>
      <w:r w:rsidRPr="0033019D">
        <w:rPr>
          <w:lang w:val="bg-BG"/>
        </w:rPr>
        <w:t>eteorological conditions in the area of the ship’s mission;</w:t>
      </w:r>
    </w:p>
    <w:p w:rsidR="0033019D" w:rsidRPr="0033019D" w:rsidRDefault="0033019D" w:rsidP="0033019D">
      <w:pPr>
        <w:pStyle w:val="ListParagraph"/>
        <w:numPr>
          <w:ilvl w:val="0"/>
          <w:numId w:val="16"/>
        </w:numPr>
        <w:rPr>
          <w:lang w:val="bg-BG"/>
        </w:rPr>
      </w:pPr>
      <w:r w:rsidRPr="0033019D">
        <w:rPr>
          <w:lang w:val="bg-BG"/>
        </w:rPr>
        <w:t>Time required to perform the mission;</w:t>
      </w:r>
    </w:p>
    <w:p w:rsidR="00512481" w:rsidRPr="00512481" w:rsidRDefault="0033019D" w:rsidP="00512481">
      <w:pPr>
        <w:pStyle w:val="ListParagraph"/>
        <w:numPr>
          <w:ilvl w:val="0"/>
          <w:numId w:val="16"/>
        </w:numPr>
        <w:spacing w:after="120"/>
        <w:rPr>
          <w:lang w:val="bg-BG"/>
        </w:rPr>
      </w:pPr>
      <w:r w:rsidRPr="0033019D">
        <w:rPr>
          <w:lang w:val="bg-BG"/>
        </w:rPr>
        <w:lastRenderedPageBreak/>
        <w:t>Ability of the crew to perform the mission and necessity to attract additional members and specialists.</w:t>
      </w:r>
    </w:p>
    <w:p w:rsidR="0033019D" w:rsidRDefault="00512481">
      <w:pPr>
        <w:rPr>
          <w:lang w:val="bg-BG"/>
        </w:rPr>
      </w:pPr>
      <w:r w:rsidRPr="00512481">
        <w:rPr>
          <w:lang w:val="bg-BG"/>
        </w:rPr>
        <w:t>Based on the general description of the offshore mission, it can be stated that mission performance means solving a conflict situation. Typical for conflict situations is that each country in the conflict tries to gain maximum benefit regardless of the other party’s counter action or of chance. The performance of an offshore ship mission can be presented as a conflict situation for which the Theory of Games is applicable</w:t>
      </w:r>
    </w:p>
    <w:p w:rsidR="00512481" w:rsidRDefault="00512481">
      <w:r w:rsidRPr="00512481">
        <w:rPr>
          <w:lang w:val="bg-BG"/>
        </w:rPr>
        <w:t>The conflict situation for each mission can be described as an counter action of the ship in pursuit of her specific tasks and against the nature</w:t>
      </w:r>
      <w:r w:rsidRPr="00512481">
        <w:t>,</w:t>
      </w:r>
      <w:r w:rsidRPr="00512481">
        <w:rPr>
          <w:lang w:val="bg-BG"/>
        </w:rPr>
        <w:t xml:space="preserve"> in compliance with IMO's requirements for safety at sea. Assuming that nature has only two strategies, unfavorable and favorable weather conditions, then each strategy of the ship depends on her mission. In this way, a graphical method is used to solve a rectangular game with a matrix of 2</w:t>
      </w:r>
      <w:r>
        <w:t>x</w:t>
      </w:r>
      <w:r w:rsidRPr="00512481">
        <w:rPr>
          <w:lang w:val="bg-BG"/>
        </w:rPr>
        <w:t xml:space="preserve"> m, where 2 are the above-mentioned states of nature, and m is the number of the ship’s strategies</w:t>
      </w:r>
      <w:r>
        <w:t>:</w:t>
      </w:r>
    </w:p>
    <w:p w:rsidR="00512481" w:rsidRDefault="0067521C" w:rsidP="0013112A">
      <w:pPr>
        <w:spacing w:before="240" w:after="240"/>
        <w:ind w:firstLine="426"/>
      </w:pPr>
      <m:oMath>
        <m:r>
          <m:rPr>
            <m:nor/>
          </m:rPr>
          <m:t>U =</m:t>
        </m:r>
        <m:d>
          <m:dPr>
            <m:begChr m:val="{"/>
            <m:endChr m:val=""/>
            <m:ctrlPr>
              <w:rPr>
                <w:rFonts w:ascii="Cambria Math" w:hAnsi="Cambria Math"/>
              </w:rPr>
            </m:ctrlPr>
          </m:dPr>
          <m:e>
            <m:eqArr>
              <m:eqArrPr>
                <m:ctrlPr>
                  <w:rPr>
                    <w:rFonts w:ascii="Cambria Math" w:hAnsi="Cambria Math"/>
                  </w:rPr>
                </m:ctrlPr>
              </m:eqArrPr>
              <m:e>
                <m:sSub>
                  <m:sSubPr>
                    <m:ctrlPr>
                      <w:rPr>
                        <w:rFonts w:ascii="Cambria Math" w:hAnsi="Cambria Math"/>
                        <w:i/>
                      </w:rPr>
                    </m:ctrlPr>
                  </m:sSubPr>
                  <m:e>
                    <m:r>
                      <m:rPr>
                        <m:nor/>
                      </m:rPr>
                      <w:rPr>
                        <w:i/>
                      </w:rPr>
                      <m:t>a</m:t>
                    </m:r>
                  </m:e>
                  <m:sub>
                    <m:r>
                      <m:rPr>
                        <m:nor/>
                      </m:rPr>
                      <w:rPr>
                        <w:i/>
                      </w:rPr>
                      <m:t>1,1</m:t>
                    </m:r>
                  </m:sub>
                </m:sSub>
                <m:r>
                  <m:rPr>
                    <m:nor/>
                  </m:rPr>
                  <w:rPr>
                    <w:i/>
                  </w:rPr>
                  <m:t xml:space="preserve">, </m:t>
                </m:r>
                <m:sSub>
                  <m:sSubPr>
                    <m:ctrlPr>
                      <w:rPr>
                        <w:rFonts w:ascii="Cambria Math" w:hAnsi="Cambria Math"/>
                        <w:i/>
                      </w:rPr>
                    </m:ctrlPr>
                  </m:sSubPr>
                  <m:e>
                    <m:r>
                      <m:rPr>
                        <m:nor/>
                      </m:rPr>
                      <w:rPr>
                        <w:i/>
                      </w:rPr>
                      <m:t>a</m:t>
                    </m:r>
                  </m:e>
                  <m:sub>
                    <m:r>
                      <m:rPr>
                        <m:nor/>
                      </m:rPr>
                      <w:rPr>
                        <w:i/>
                      </w:rPr>
                      <m:t>1,2</m:t>
                    </m:r>
                  </m:sub>
                </m:sSub>
                <m:r>
                  <m:rPr>
                    <m:nor/>
                  </m:rPr>
                  <w:rPr>
                    <w:i/>
                  </w:rPr>
                  <m:t xml:space="preserve">, </m:t>
                </m:r>
                <m:sSub>
                  <m:sSubPr>
                    <m:ctrlPr>
                      <w:rPr>
                        <w:rFonts w:ascii="Cambria Math" w:hAnsi="Cambria Math"/>
                        <w:i/>
                      </w:rPr>
                    </m:ctrlPr>
                  </m:sSubPr>
                  <m:e>
                    <m:r>
                      <m:rPr>
                        <m:nor/>
                      </m:rPr>
                      <w:rPr>
                        <w:i/>
                      </w:rPr>
                      <m:t>a</m:t>
                    </m:r>
                  </m:e>
                  <m:sub>
                    <m:r>
                      <m:rPr>
                        <m:nor/>
                      </m:rPr>
                      <w:rPr>
                        <w:i/>
                      </w:rPr>
                      <m:t>1,3</m:t>
                    </m:r>
                  </m:sub>
                </m:sSub>
                <m:r>
                  <m:rPr>
                    <m:nor/>
                  </m:rPr>
                  <w:rPr>
                    <w:i/>
                  </w:rPr>
                  <m:t>, …</m:t>
                </m:r>
                <m:sSub>
                  <m:sSubPr>
                    <m:ctrlPr>
                      <w:rPr>
                        <w:rFonts w:ascii="Cambria Math" w:hAnsi="Cambria Math"/>
                        <w:i/>
                      </w:rPr>
                    </m:ctrlPr>
                  </m:sSubPr>
                  <m:e>
                    <m:r>
                      <m:rPr>
                        <m:nor/>
                      </m:rPr>
                      <w:rPr>
                        <w:i/>
                      </w:rPr>
                      <m:t>a</m:t>
                    </m:r>
                  </m:e>
                  <m:sub>
                    <m:r>
                      <m:rPr>
                        <m:nor/>
                      </m:rPr>
                      <w:rPr>
                        <w:i/>
                      </w:rPr>
                      <m:t>1,m</m:t>
                    </m:r>
                  </m:sub>
                </m:sSub>
              </m:e>
              <m:e>
                <m:sSub>
                  <m:sSubPr>
                    <m:ctrlPr>
                      <w:rPr>
                        <w:rFonts w:ascii="Cambria Math" w:hAnsi="Cambria Math"/>
                        <w:i/>
                      </w:rPr>
                    </m:ctrlPr>
                  </m:sSubPr>
                  <m:e>
                    <m:r>
                      <m:rPr>
                        <m:nor/>
                      </m:rPr>
                      <w:rPr>
                        <w:i/>
                      </w:rPr>
                      <m:t>a</m:t>
                    </m:r>
                  </m:e>
                  <m:sub>
                    <m:r>
                      <m:rPr>
                        <m:nor/>
                      </m:rPr>
                      <w:rPr>
                        <w:i/>
                      </w:rPr>
                      <m:t>2,1</m:t>
                    </m:r>
                  </m:sub>
                </m:sSub>
                <m:r>
                  <m:rPr>
                    <m:nor/>
                  </m:rPr>
                  <w:rPr>
                    <w:i/>
                  </w:rPr>
                  <m:t xml:space="preserve">, </m:t>
                </m:r>
                <m:sSub>
                  <m:sSubPr>
                    <m:ctrlPr>
                      <w:rPr>
                        <w:rFonts w:ascii="Cambria Math" w:hAnsi="Cambria Math"/>
                        <w:i/>
                      </w:rPr>
                    </m:ctrlPr>
                  </m:sSubPr>
                  <m:e>
                    <m:r>
                      <m:rPr>
                        <m:nor/>
                      </m:rPr>
                      <w:rPr>
                        <w:i/>
                      </w:rPr>
                      <m:t>a</m:t>
                    </m:r>
                  </m:e>
                  <m:sub>
                    <m:r>
                      <m:rPr>
                        <m:nor/>
                      </m:rPr>
                      <w:rPr>
                        <w:i/>
                      </w:rPr>
                      <m:t>2,2</m:t>
                    </m:r>
                  </m:sub>
                </m:sSub>
                <m:r>
                  <m:rPr>
                    <m:nor/>
                  </m:rPr>
                  <w:rPr>
                    <w:i/>
                  </w:rPr>
                  <m:t xml:space="preserve">, </m:t>
                </m:r>
                <m:sSub>
                  <m:sSubPr>
                    <m:ctrlPr>
                      <w:rPr>
                        <w:rFonts w:ascii="Cambria Math" w:hAnsi="Cambria Math"/>
                        <w:i/>
                      </w:rPr>
                    </m:ctrlPr>
                  </m:sSubPr>
                  <m:e>
                    <m:r>
                      <m:rPr>
                        <m:nor/>
                      </m:rPr>
                      <w:rPr>
                        <w:i/>
                      </w:rPr>
                      <m:t>a</m:t>
                    </m:r>
                  </m:e>
                  <m:sub>
                    <m:r>
                      <m:rPr>
                        <m:nor/>
                      </m:rPr>
                      <w:rPr>
                        <w:i/>
                      </w:rPr>
                      <m:t>2,3</m:t>
                    </m:r>
                  </m:sub>
                </m:sSub>
                <m:r>
                  <m:rPr>
                    <m:nor/>
                  </m:rPr>
                  <w:rPr>
                    <w:i/>
                  </w:rPr>
                  <m:t>, …</m:t>
                </m:r>
                <m:sSub>
                  <m:sSubPr>
                    <m:ctrlPr>
                      <w:rPr>
                        <w:rFonts w:ascii="Cambria Math" w:hAnsi="Cambria Math"/>
                        <w:i/>
                      </w:rPr>
                    </m:ctrlPr>
                  </m:sSubPr>
                  <m:e>
                    <m:r>
                      <m:rPr>
                        <m:nor/>
                      </m:rPr>
                      <w:rPr>
                        <w:i/>
                      </w:rPr>
                      <m:t>a</m:t>
                    </m:r>
                  </m:e>
                  <m:sub>
                    <m:r>
                      <m:rPr>
                        <m:nor/>
                      </m:rPr>
                      <w:rPr>
                        <w:i/>
                      </w:rPr>
                      <m:t>2,m</m:t>
                    </m:r>
                  </m:sub>
                </m:sSub>
              </m:e>
            </m:eqArr>
          </m:e>
        </m:d>
      </m:oMath>
      <w:r w:rsidR="00512481">
        <w:tab/>
      </w:r>
      <w:r w:rsidR="00512481">
        <w:tab/>
      </w:r>
      <w:r w:rsidR="00512481">
        <w:tab/>
      </w:r>
      <w:r w:rsidR="00512481">
        <w:tab/>
      </w:r>
      <w:r w:rsidR="00512481">
        <w:tab/>
      </w:r>
      <w:r w:rsidR="00512481">
        <w:tab/>
        <w:t xml:space="preserve">      (2)</w:t>
      </w:r>
    </w:p>
    <w:p w:rsidR="00512481" w:rsidRDefault="0037267D" w:rsidP="0007425A">
      <w:pPr>
        <w:rPr>
          <w:lang w:val="bg-BG"/>
        </w:rPr>
      </w:pPr>
      <w:r w:rsidRPr="0037267D">
        <w:rPr>
          <w:lang w:val="bg-BG"/>
        </w:rPr>
        <w:t>Let’s assume that the mixed strategy of the sh</w:t>
      </w:r>
      <w:r w:rsidRPr="0067521C">
        <w:rPr>
          <w:lang w:val="bg-BG"/>
        </w:rPr>
        <w:t xml:space="preserve">ip is </w:t>
      </w:r>
      <w:r w:rsidR="002F1345" w:rsidRPr="002F1345">
        <w:rPr>
          <w:i/>
        </w:rPr>
        <w:t>X</w:t>
      </w:r>
      <w:r w:rsidR="002F1345">
        <w:rPr>
          <w:i/>
        </w:rPr>
        <w:t xml:space="preserve"> </w:t>
      </w:r>
      <w:r w:rsidR="002F1345" w:rsidRPr="002F1345">
        <w:rPr>
          <w:i/>
        </w:rPr>
        <w:t>=</w:t>
      </w:r>
      <w:r w:rsidR="002F1345">
        <w:rPr>
          <w:i/>
        </w:rPr>
        <w:t xml:space="preserve"> </w:t>
      </w:r>
      <w:r w:rsidR="002F1345" w:rsidRPr="002F1345">
        <w:t>(</w:t>
      </w:r>
      <w:r w:rsidR="002F1345" w:rsidRPr="002F1345">
        <w:rPr>
          <w:i/>
        </w:rPr>
        <w:t>x, 1-x</w:t>
      </w:r>
      <w:r w:rsidR="002F1345" w:rsidRPr="002F1345">
        <w:t>)</w:t>
      </w:r>
      <w:r w:rsidR="002F1345" w:rsidRPr="002F1345">
        <w:rPr>
          <w:i/>
        </w:rPr>
        <w:t>.</w:t>
      </w:r>
      <w:r w:rsidR="002F1345">
        <w:t xml:space="preserve"> </w:t>
      </w:r>
      <w:r w:rsidRPr="0067521C">
        <w:rPr>
          <w:lang w:val="bg-BG"/>
        </w:rPr>
        <w:t>Then f</w:t>
      </w:r>
      <w:r w:rsidRPr="0037267D">
        <w:rPr>
          <w:lang w:val="bg-BG"/>
        </w:rPr>
        <w:t>or the pure nature strategy q</w:t>
      </w:r>
      <w:r w:rsidRPr="0007425A">
        <w:rPr>
          <w:vertAlign w:val="subscript"/>
          <w:lang w:val="bg-BG"/>
        </w:rPr>
        <w:t>1</w:t>
      </w:r>
      <w:r w:rsidRPr="0037267D">
        <w:rPr>
          <w:lang w:val="bg-BG"/>
        </w:rPr>
        <w:t xml:space="preserve"> the following inequation will be fulfilled:</w:t>
      </w:r>
    </w:p>
    <w:p w:rsidR="0007425A" w:rsidRDefault="00CE69AC" w:rsidP="00512481">
      <w:pPr>
        <w:spacing w:before="240" w:after="240"/>
      </w:pPr>
      <m:oMath>
        <m:sSub>
          <m:sSubPr>
            <m:ctrlPr>
              <w:rPr>
                <w:rFonts w:ascii="Cambria Math" w:hAnsi="Cambria Math"/>
                <w:i/>
              </w:rPr>
            </m:ctrlPr>
          </m:sSubPr>
          <m:e>
            <m:r>
              <m:rPr>
                <m:nor/>
              </m:rPr>
              <w:rPr>
                <w:i/>
              </w:rPr>
              <m:t>a</m:t>
            </m:r>
          </m:e>
          <m:sub>
            <m:r>
              <m:rPr>
                <m:nor/>
              </m:rPr>
              <w:rPr>
                <w:i/>
              </w:rPr>
              <m:t>1,1</m:t>
            </m:r>
          </m:sub>
        </m:sSub>
        <m:r>
          <m:rPr>
            <m:nor/>
          </m:rPr>
          <w:rPr>
            <w:i/>
          </w:rPr>
          <m:t>.x+</m:t>
        </m:r>
        <m:sSub>
          <m:sSubPr>
            <m:ctrlPr>
              <w:rPr>
                <w:rFonts w:ascii="Cambria Math" w:hAnsi="Cambria Math"/>
                <w:i/>
              </w:rPr>
            </m:ctrlPr>
          </m:sSubPr>
          <m:e>
            <m:r>
              <m:rPr>
                <m:nor/>
              </m:rPr>
              <w:rPr>
                <w:i/>
              </w:rPr>
              <m:t>a</m:t>
            </m:r>
          </m:e>
          <m:sub>
            <m:r>
              <m:rPr>
                <m:nor/>
              </m:rPr>
              <w:rPr>
                <w:i/>
              </w:rPr>
              <m:t>2,1</m:t>
            </m:r>
          </m:sub>
        </m:sSub>
        <m:r>
          <m:rPr>
            <m:nor/>
          </m:rPr>
          <w:rPr>
            <w:i/>
          </w:rPr>
          <m:t>.</m:t>
        </m:r>
        <m:d>
          <m:dPr>
            <m:ctrlPr>
              <w:rPr>
                <w:rFonts w:ascii="Cambria Math" w:hAnsi="Cambria Math"/>
                <w:i/>
              </w:rPr>
            </m:ctrlPr>
          </m:dPr>
          <m:e>
            <m:r>
              <m:rPr>
                <m:nor/>
              </m:rPr>
              <w:rPr>
                <w:i/>
              </w:rPr>
              <m:t>1-x</m:t>
            </m:r>
          </m:e>
        </m:d>
        <m:r>
          <m:rPr>
            <m:nor/>
          </m:rPr>
          <w:rPr>
            <w:i/>
          </w:rPr>
          <m:t xml:space="preserve"> ≤ V</m:t>
        </m:r>
      </m:oMath>
      <w:r w:rsidR="0007425A">
        <w:tab/>
      </w:r>
      <w:r w:rsidR="0007425A">
        <w:tab/>
      </w:r>
      <w:r w:rsidR="0067521C">
        <w:tab/>
      </w:r>
      <w:r w:rsidR="0007425A">
        <w:tab/>
      </w:r>
      <w:r w:rsidR="0007425A">
        <w:tab/>
      </w:r>
      <w:r w:rsidR="0007425A">
        <w:tab/>
        <w:t xml:space="preserve">    </w:t>
      </w:r>
      <w:r w:rsidR="0007425A">
        <w:tab/>
        <w:t xml:space="preserve">      (3)</w:t>
      </w:r>
    </w:p>
    <w:p w:rsidR="0007425A" w:rsidRPr="0007425A" w:rsidRDefault="0007425A" w:rsidP="0007425A">
      <w:pPr>
        <w:rPr>
          <w:lang w:val="bg-BG"/>
        </w:rPr>
      </w:pPr>
      <w:r w:rsidRPr="0007425A">
        <w:rPr>
          <w:lang w:val="bg-BG"/>
        </w:rPr>
        <w:t>If the ship uses the second, third, etc. strategies, the inequations will form a system of the kind:</w:t>
      </w:r>
    </w:p>
    <w:p w:rsidR="0007425A" w:rsidRDefault="00CE69AC" w:rsidP="00512481">
      <w:pPr>
        <w:spacing w:before="240" w:after="240"/>
      </w:pPr>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m:rPr>
                        <m:nor/>
                      </m:rPr>
                      <w:rPr>
                        <w:i/>
                      </w:rPr>
                      <m:t>a</m:t>
                    </m:r>
                  </m:e>
                  <m:sub>
                    <m:r>
                      <m:rPr>
                        <m:nor/>
                      </m:rPr>
                      <w:rPr>
                        <w:i/>
                      </w:rPr>
                      <m:t>1,1</m:t>
                    </m:r>
                  </m:sub>
                </m:sSub>
                <m:r>
                  <m:rPr>
                    <m:nor/>
                  </m:rPr>
                  <w:rPr>
                    <w:i/>
                  </w:rPr>
                  <m:t>.x+</m:t>
                </m:r>
                <m:sSub>
                  <m:sSubPr>
                    <m:ctrlPr>
                      <w:rPr>
                        <w:rFonts w:ascii="Cambria Math" w:hAnsi="Cambria Math"/>
                        <w:i/>
                      </w:rPr>
                    </m:ctrlPr>
                  </m:sSubPr>
                  <m:e>
                    <m:r>
                      <m:rPr>
                        <m:nor/>
                      </m:rPr>
                      <w:rPr>
                        <w:i/>
                      </w:rPr>
                      <m:t>a</m:t>
                    </m:r>
                  </m:e>
                  <m:sub>
                    <m:r>
                      <m:rPr>
                        <m:nor/>
                      </m:rPr>
                      <w:rPr>
                        <w:i/>
                      </w:rPr>
                      <m:t>2,1</m:t>
                    </m:r>
                  </m:sub>
                </m:sSub>
                <m:r>
                  <m:rPr>
                    <m:nor/>
                  </m:rPr>
                  <w:rPr>
                    <w:i/>
                  </w:rPr>
                  <m:t>.</m:t>
                </m:r>
                <m:d>
                  <m:dPr>
                    <m:ctrlPr>
                      <w:rPr>
                        <w:rFonts w:ascii="Cambria Math" w:hAnsi="Cambria Math"/>
                        <w:i/>
                      </w:rPr>
                    </m:ctrlPr>
                  </m:dPr>
                  <m:e>
                    <m:r>
                      <m:rPr>
                        <m:nor/>
                      </m:rPr>
                      <w:rPr>
                        <w:i/>
                      </w:rPr>
                      <m:t>1-x</m:t>
                    </m:r>
                  </m:e>
                </m:d>
              </m:e>
              <m:e>
                <m:r>
                  <m:rPr>
                    <m:nor/>
                  </m:rPr>
                  <m:t>………………….</m:t>
                </m:r>
                <m:ctrlPr>
                  <w:rPr>
                    <w:rFonts w:ascii="Cambria Math" w:eastAsia="Cambria Math" w:hAnsi="Cambria Math"/>
                    <w:i/>
                  </w:rPr>
                </m:ctrlPr>
              </m:e>
              <m:e>
                <m:sSub>
                  <m:sSubPr>
                    <m:ctrlPr>
                      <w:rPr>
                        <w:rFonts w:ascii="Cambria Math" w:eastAsia="Cambria Math" w:hAnsi="Cambria Math"/>
                        <w:i/>
                      </w:rPr>
                    </m:ctrlPr>
                  </m:sSubPr>
                  <m:e>
                    <m:r>
                      <m:rPr>
                        <m:nor/>
                      </m:rPr>
                      <w:rPr>
                        <w:rFonts w:eastAsia="Cambria Math"/>
                        <w:i/>
                      </w:rPr>
                      <m:t>a</m:t>
                    </m:r>
                  </m:e>
                  <m:sub>
                    <m:r>
                      <m:rPr>
                        <m:nor/>
                      </m:rPr>
                      <w:rPr>
                        <w:rFonts w:eastAsia="Cambria Math"/>
                        <w:i/>
                      </w:rPr>
                      <m:t>1,m</m:t>
                    </m:r>
                  </m:sub>
                </m:sSub>
                <m:r>
                  <m:rPr>
                    <m:nor/>
                  </m:rPr>
                  <w:rPr>
                    <w:rFonts w:eastAsia="Cambria Math"/>
                    <w:i/>
                  </w:rPr>
                  <m:t>.x+</m:t>
                </m:r>
                <m:sSub>
                  <m:sSubPr>
                    <m:ctrlPr>
                      <w:rPr>
                        <w:rFonts w:ascii="Cambria Math" w:eastAsia="Cambria Math" w:hAnsi="Cambria Math"/>
                        <w:i/>
                      </w:rPr>
                    </m:ctrlPr>
                  </m:sSubPr>
                  <m:e>
                    <m:r>
                      <m:rPr>
                        <m:nor/>
                      </m:rPr>
                      <w:rPr>
                        <w:rFonts w:eastAsia="Cambria Math"/>
                        <w:i/>
                      </w:rPr>
                      <m:t>a</m:t>
                    </m:r>
                  </m:e>
                  <m:sub>
                    <m:r>
                      <m:rPr>
                        <m:nor/>
                      </m:rPr>
                      <w:rPr>
                        <w:rFonts w:eastAsia="Cambria Math"/>
                        <w:i/>
                      </w:rPr>
                      <m:t>2,m</m:t>
                    </m:r>
                  </m:sub>
                </m:sSub>
                <m:r>
                  <m:rPr>
                    <m:nor/>
                  </m:rPr>
                  <w:rPr>
                    <w:rFonts w:eastAsia="Cambria Math"/>
                    <w:i/>
                  </w:rPr>
                  <m:t>.</m:t>
                </m:r>
                <m:d>
                  <m:dPr>
                    <m:ctrlPr>
                      <w:rPr>
                        <w:rFonts w:ascii="Cambria Math" w:eastAsia="Cambria Math" w:hAnsi="Cambria Math"/>
                        <w:i/>
                      </w:rPr>
                    </m:ctrlPr>
                  </m:dPr>
                  <m:e>
                    <m:r>
                      <m:rPr>
                        <m:nor/>
                      </m:rPr>
                      <w:rPr>
                        <w:rFonts w:eastAsia="Cambria Math"/>
                        <w:i/>
                      </w:rPr>
                      <m:t>1-x</m:t>
                    </m:r>
                  </m:e>
                </m:d>
              </m:e>
            </m:eqArr>
          </m:e>
        </m:d>
      </m:oMath>
      <w:r w:rsidR="0007425A">
        <w:tab/>
      </w:r>
      <w:r w:rsidR="0007425A">
        <w:tab/>
      </w:r>
      <w:r w:rsidR="0007425A">
        <w:tab/>
      </w:r>
      <w:r w:rsidR="0067521C">
        <w:tab/>
      </w:r>
      <w:bookmarkStart w:id="0" w:name="_GoBack"/>
      <w:bookmarkEnd w:id="0"/>
      <w:r w:rsidR="0007425A">
        <w:tab/>
      </w:r>
      <w:r w:rsidR="0007425A">
        <w:tab/>
      </w:r>
      <w:r w:rsidR="0007425A">
        <w:tab/>
        <w:t xml:space="preserve">      (4)</w:t>
      </w:r>
    </w:p>
    <w:p w:rsidR="0007425A" w:rsidRPr="00512481" w:rsidRDefault="0007425A" w:rsidP="0007425A">
      <w:r w:rsidRPr="0007425A">
        <w:rPr>
          <w:lang w:val="bg-BG"/>
        </w:rPr>
        <w:t xml:space="preserve">For the inequations </w:t>
      </w:r>
      <w:r>
        <w:t>(</w:t>
      </w:r>
      <w:r w:rsidRPr="0007425A">
        <w:rPr>
          <w:lang w:val="bg-BG"/>
        </w:rPr>
        <w:t>3</w:t>
      </w:r>
      <w:r>
        <w:t>)</w:t>
      </w:r>
      <w:r w:rsidRPr="0007425A">
        <w:rPr>
          <w:lang w:val="bg-BG"/>
        </w:rPr>
        <w:t xml:space="preserve">, </w:t>
      </w:r>
      <w:r>
        <w:t>(</w:t>
      </w:r>
      <w:r w:rsidRPr="0007425A">
        <w:rPr>
          <w:lang w:val="bg-BG"/>
        </w:rPr>
        <w:t>4</w:t>
      </w:r>
      <w:r>
        <w:t>)</w:t>
      </w:r>
      <w:r w:rsidRPr="0007425A">
        <w:rPr>
          <w:lang w:val="bg-BG"/>
        </w:rPr>
        <w:t xml:space="preserve"> and the limitations </w:t>
      </w:r>
      <m:oMath>
        <m:r>
          <w:rPr>
            <w:rFonts w:ascii="Cambria Math" w:hAnsi="Cambria Math"/>
            <w:lang w:val="bg-BG"/>
          </w:rPr>
          <m:t xml:space="preserve">x&gt;0 </m:t>
        </m:r>
      </m:oMath>
      <w:r w:rsidRPr="0007425A">
        <w:rPr>
          <w:lang w:val="bg-BG"/>
        </w:rPr>
        <w:t xml:space="preserve"> </w:t>
      </w:r>
      <w:r w:rsidR="00F24CA1">
        <w:t xml:space="preserve">and </w:t>
      </w:r>
      <m:oMath>
        <m:r>
          <w:rPr>
            <w:rFonts w:ascii="Cambria Math" w:hAnsi="Cambria Math"/>
          </w:rPr>
          <m:t>x&lt;1</m:t>
        </m:r>
      </m:oMath>
      <w:r w:rsidR="00F24CA1">
        <w:t xml:space="preserve"> </w:t>
      </w:r>
      <w:r w:rsidRPr="0007425A">
        <w:rPr>
          <w:lang w:val="bg-BG"/>
        </w:rPr>
        <w:t>the theory of linear programming is applied by which the solution of the inequation system can be represented graphically by figure 1. The straight lines drawn, m in number, determine the strategies of the ship in the present state of the meteorological conditions. Empirically, the fuel consumption can be determined for each strategy and then the optimal one corresponding to the lowest operat</w:t>
      </w:r>
      <w:r w:rsidRPr="0007425A">
        <w:t>ional</w:t>
      </w:r>
      <w:r w:rsidRPr="0007425A">
        <w:rPr>
          <w:lang w:val="bg-BG"/>
        </w:rPr>
        <w:t xml:space="preserve"> indicator can be selected</w:t>
      </w:r>
    </w:p>
    <w:p w:rsidR="00B05D6E" w:rsidRDefault="00E17E12">
      <w:pPr>
        <w:pStyle w:val="NoindentNormal"/>
        <w:spacing w:before="240"/>
        <w:jc w:val="center"/>
      </w:pPr>
      <w:r>
        <w:rPr>
          <w:noProof/>
          <w:lang w:val="bg-BG" w:eastAsia="bg-BG"/>
        </w:rPr>
        <w:drawing>
          <wp:inline distT="0" distB="0" distL="0" distR="0" wp14:anchorId="0B2C2FA9">
            <wp:extent cx="3095625" cy="142536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6638" cy="1458063"/>
                    </a:xfrm>
                    <a:prstGeom prst="rect">
                      <a:avLst/>
                    </a:prstGeom>
                    <a:noFill/>
                  </pic:spPr>
                </pic:pic>
              </a:graphicData>
            </a:graphic>
          </wp:inline>
        </w:drawing>
      </w:r>
    </w:p>
    <w:p w:rsidR="00B05D6E" w:rsidRDefault="00B05D6E">
      <w:pPr>
        <w:pStyle w:val="CaptionShort"/>
      </w:pPr>
      <w:r>
        <w:rPr>
          <w:b/>
        </w:rPr>
        <w:t>Figure 1.</w:t>
      </w:r>
      <w:r>
        <w:t xml:space="preserve"> </w:t>
      </w:r>
      <w:r w:rsidR="004E3489">
        <w:t xml:space="preserve"> Representation of solution for system (4)</w:t>
      </w:r>
      <w:r>
        <w:t>.</w:t>
      </w:r>
    </w:p>
    <w:p w:rsidR="00F24CA1" w:rsidRPr="00B72843" w:rsidRDefault="00F24CA1" w:rsidP="00F24CA1">
      <w:pPr>
        <w:pStyle w:val="Heading1"/>
        <w:rPr>
          <w:lang w:eastAsia="en-US"/>
        </w:rPr>
      </w:pPr>
      <w:r>
        <w:rPr>
          <w:lang w:eastAsia="en-US"/>
        </w:rPr>
        <w:lastRenderedPageBreak/>
        <w:t>Conclusion</w:t>
      </w:r>
    </w:p>
    <w:p w:rsidR="00B05D6E" w:rsidRDefault="00F24CA1">
      <w:pPr>
        <w:ind w:firstLine="0"/>
        <w:rPr>
          <w:lang w:val="bg-BG"/>
        </w:rPr>
      </w:pPr>
      <w:r w:rsidRPr="00F24CA1">
        <w:rPr>
          <w:lang w:val="bg-BG"/>
        </w:rPr>
        <w:t xml:space="preserve">The proposed method for assessing energy efficiency requires preliminary preparation by the Company </w:t>
      </w:r>
      <w:r w:rsidRPr="00F24CA1">
        <w:t xml:space="preserve">which </w:t>
      </w:r>
      <w:r w:rsidRPr="00F24CA1">
        <w:rPr>
          <w:lang w:val="bg-BG"/>
        </w:rPr>
        <w:t>manag</w:t>
      </w:r>
      <w:r w:rsidRPr="00F24CA1">
        <w:t xml:space="preserve">es </w:t>
      </w:r>
      <w:r w:rsidRPr="00F24CA1">
        <w:rPr>
          <w:lang w:val="bg-BG"/>
        </w:rPr>
        <w:t>according to the ISM Code. In order to introduce a rating system, a procedure must first be developed to form part of the company's SMS. This procedure would assist offshore ship crews in implementing the energy efficiency management plan and the choice of an optimal strategy even when performing an advanced mission.</w:t>
      </w:r>
    </w:p>
    <w:p w:rsidR="00F24CA1" w:rsidRDefault="00F24CA1" w:rsidP="00F24CA1">
      <w:pPr>
        <w:ind w:firstLine="426"/>
        <w:rPr>
          <w:lang w:val="bg-BG"/>
        </w:rPr>
      </w:pPr>
      <w:r w:rsidRPr="00F24CA1">
        <w:rPr>
          <w:lang w:val="bg-BG"/>
        </w:rPr>
        <w:t xml:space="preserve">Solving the problems of improving a ship’s energy efficiency requires systematic training of ship crews. Here the training has very similar features to the risk assessment training adopted in 2010 when the ISM Code was amended. The international maritime community </w:t>
      </w:r>
      <w:r w:rsidRPr="00F24CA1">
        <w:t>has become aware of</w:t>
      </w:r>
      <w:r w:rsidRPr="00F24CA1">
        <w:rPr>
          <w:lang w:val="bg-BG"/>
        </w:rPr>
        <w:t xml:space="preserve"> the need for crew training and the results of various projects funded by European Commission programs</w:t>
      </w:r>
      <w:r w:rsidRPr="00F24CA1">
        <w:t xml:space="preserve"> illustrate it</w:t>
      </w:r>
      <w:r w:rsidRPr="00F24CA1">
        <w:rPr>
          <w:lang w:val="bg-BG"/>
        </w:rPr>
        <w:t xml:space="preserve">. The authors of the present article are participants in such a project titled </w:t>
      </w:r>
      <w:r>
        <w:t>“</w:t>
      </w:r>
      <w:r w:rsidRPr="00F24CA1">
        <w:t>Diversification of the employability paths of seafarers through collaborative certification of the competences</w:t>
      </w:r>
      <w:r>
        <w:t>”</w:t>
      </w:r>
      <w:r w:rsidRPr="00F24CA1">
        <w:rPr>
          <w:lang w:val="bg-BG"/>
        </w:rPr>
        <w:t xml:space="preserve">. Under this project Prof. Belev has </w:t>
      </w:r>
      <w:r w:rsidRPr="00F24CA1">
        <w:t>developed</w:t>
      </w:r>
      <w:r w:rsidRPr="00F24CA1">
        <w:rPr>
          <w:lang w:val="bg-BG"/>
        </w:rPr>
        <w:t xml:space="preserve"> a program and materials for a training course "Ship Energy Efficiency". Raising an awareness of the need to enhance the energy efficiency of ships has to be also part of the competences that the STCW Convention regulates. Thus the</w:t>
      </w:r>
      <w:r w:rsidRPr="00F24CA1">
        <w:t xml:space="preserve"> </w:t>
      </w:r>
      <w:r w:rsidRPr="00F24CA1">
        <w:rPr>
          <w:lang w:val="bg-BG"/>
        </w:rPr>
        <w:t>process will be completed and applied to all levels of responsibility of ship crews</w:t>
      </w:r>
    </w:p>
    <w:p w:rsidR="00F24CA1" w:rsidRDefault="00F24CA1" w:rsidP="00F24CA1">
      <w:pPr>
        <w:ind w:firstLine="426"/>
      </w:pPr>
      <w:r w:rsidRPr="00F24CA1">
        <w:rPr>
          <w:lang w:val="bg-BG"/>
        </w:rPr>
        <w:t>The present article is the initial stage and the basis for experimental work on the implementation of different types of operational strategies in offshore ship operation. It can also serve for carrying out an empirical analysis of the SEEMP performance results of merchant ships</w:t>
      </w:r>
    </w:p>
    <w:p w:rsidR="00B05D6E" w:rsidRDefault="00B05D6E">
      <w:pPr>
        <w:pStyle w:val="HeadingUnn1"/>
      </w:pPr>
      <w:r>
        <w:t>References</w:t>
      </w:r>
    </w:p>
    <w:p w:rsidR="00B05D6E" w:rsidRPr="0056699F" w:rsidRDefault="0056699F" w:rsidP="0056699F">
      <w:pPr>
        <w:pStyle w:val="References"/>
        <w:ind w:left="357" w:hanging="357"/>
        <w:rPr>
          <w:snapToGrid w:val="0"/>
        </w:rPr>
      </w:pPr>
      <w:r w:rsidRPr="0056699F">
        <w:rPr>
          <w:bCs/>
          <w:snapToGrid w:val="0"/>
          <w:lang w:val="bg-BG"/>
        </w:rPr>
        <w:t xml:space="preserve">UNCTAD, </w:t>
      </w:r>
      <w:r w:rsidRPr="0056699F">
        <w:rPr>
          <w:bCs/>
          <w:i/>
          <w:snapToGrid w:val="0"/>
          <w:lang w:val="bg-BG"/>
        </w:rPr>
        <w:t>Review of Maritime Transport</w:t>
      </w:r>
      <w:r>
        <w:rPr>
          <w:bCs/>
          <w:i/>
          <w:snapToGrid w:val="0"/>
        </w:rPr>
        <w:t>,</w:t>
      </w:r>
      <w:r w:rsidRPr="0056699F">
        <w:rPr>
          <w:bCs/>
          <w:snapToGrid w:val="0"/>
          <w:lang w:val="bg-BG"/>
        </w:rPr>
        <w:t xml:space="preserve"> </w:t>
      </w:r>
      <w:r w:rsidRPr="0056699F">
        <w:rPr>
          <w:bCs/>
          <w:snapToGrid w:val="0"/>
        </w:rPr>
        <w:t xml:space="preserve">New York and Geneva, ISBN 978-92-1-112922-9, </w:t>
      </w:r>
      <w:r>
        <w:rPr>
          <w:bCs/>
          <w:snapToGrid w:val="0"/>
        </w:rPr>
        <w:t>(</w:t>
      </w:r>
      <w:r w:rsidRPr="0056699F">
        <w:rPr>
          <w:bCs/>
          <w:snapToGrid w:val="0"/>
          <w:lang w:val="bg-BG"/>
        </w:rPr>
        <w:t>201</w:t>
      </w:r>
      <w:r w:rsidRPr="0056699F">
        <w:rPr>
          <w:bCs/>
          <w:snapToGrid w:val="0"/>
        </w:rPr>
        <w:t>7</w:t>
      </w:r>
      <w:r>
        <w:rPr>
          <w:bCs/>
          <w:snapToGrid w:val="0"/>
        </w:rPr>
        <w:t>)</w:t>
      </w:r>
      <w:r w:rsidRPr="0056699F">
        <w:rPr>
          <w:bCs/>
          <w:snapToGrid w:val="0"/>
          <w:lang w:val="bg-BG"/>
        </w:rPr>
        <w:t>,</w:t>
      </w:r>
    </w:p>
    <w:p w:rsidR="0056699F" w:rsidRPr="0056699F" w:rsidRDefault="0056699F" w:rsidP="0056699F">
      <w:pPr>
        <w:pStyle w:val="References"/>
        <w:ind w:left="357" w:hanging="357"/>
        <w:rPr>
          <w:snapToGrid w:val="0"/>
        </w:rPr>
      </w:pPr>
      <w:r w:rsidRPr="0056699F">
        <w:rPr>
          <w:snapToGrid w:val="0"/>
          <w:lang w:val="bg-BG"/>
        </w:rPr>
        <w:t xml:space="preserve">Baltic and International Maritime Council (2017). </w:t>
      </w:r>
      <w:r w:rsidRPr="0056699F">
        <w:rPr>
          <w:i/>
          <w:snapToGrid w:val="0"/>
          <w:lang w:val="bg-BG"/>
        </w:rPr>
        <w:t>Macro economics: Economic indicators have been pointing up in recent months. 20 April</w:t>
      </w:r>
      <w:r w:rsidRPr="0056699F">
        <w:rPr>
          <w:snapToGrid w:val="0"/>
          <w:lang w:val="bg-BG"/>
        </w:rPr>
        <w:t>. [</w:t>
      </w:r>
      <w:r w:rsidRPr="0056699F">
        <w:rPr>
          <w:snapToGrid w:val="0"/>
        </w:rPr>
        <w:t>Electronic version</w:t>
      </w:r>
      <w:r w:rsidRPr="0056699F">
        <w:rPr>
          <w:snapToGrid w:val="0"/>
          <w:lang w:val="bg-BG"/>
        </w:rPr>
        <w:t>]</w:t>
      </w:r>
      <w:r w:rsidRPr="0056699F">
        <w:rPr>
          <w:snapToGrid w:val="0"/>
        </w:rPr>
        <w:t>,</w:t>
      </w:r>
      <w:r w:rsidRPr="0056699F">
        <w:rPr>
          <w:snapToGrid w:val="0"/>
          <w:lang w:val="bg-BG"/>
        </w:rPr>
        <w:t xml:space="preserve"> </w:t>
      </w:r>
      <w:r w:rsidRPr="0056699F">
        <w:rPr>
          <w:snapToGrid w:val="0"/>
        </w:rPr>
        <w:t>Access through</w:t>
      </w:r>
      <w:r w:rsidRPr="0056699F">
        <w:rPr>
          <w:snapToGrid w:val="0"/>
          <w:lang w:val="bg-BG"/>
        </w:rPr>
        <w:t xml:space="preserve"> </w:t>
      </w:r>
      <w:r w:rsidRPr="0056699F">
        <w:rPr>
          <w:snapToGrid w:val="0"/>
        </w:rPr>
        <w:t xml:space="preserve">URL: </w:t>
      </w:r>
      <w:r w:rsidRPr="0056699F">
        <w:rPr>
          <w:snapToGrid w:val="0"/>
          <w:lang w:val="bg-BG"/>
        </w:rPr>
        <w:t xml:space="preserve"> https://www.bimco.org/news/market_analysis/2017/20170420_marcosmoo_2017-02 (</w:t>
      </w:r>
      <w:r w:rsidRPr="0056699F">
        <w:rPr>
          <w:snapToGrid w:val="0"/>
        </w:rPr>
        <w:t>Date of using</w:t>
      </w:r>
      <w:r>
        <w:rPr>
          <w:snapToGrid w:val="0"/>
        </w:rPr>
        <w:t>:</w:t>
      </w:r>
      <w:r w:rsidRPr="0056699F">
        <w:rPr>
          <w:snapToGrid w:val="0"/>
          <w:lang w:val="bg-BG"/>
        </w:rPr>
        <w:t>:6 September 2017).</w:t>
      </w:r>
    </w:p>
    <w:p w:rsidR="0056699F" w:rsidRDefault="0056699F" w:rsidP="0056699F">
      <w:pPr>
        <w:pStyle w:val="References"/>
        <w:ind w:left="357" w:hanging="357"/>
        <w:rPr>
          <w:snapToGrid w:val="0"/>
        </w:rPr>
      </w:pPr>
      <w:r w:rsidRPr="0056699F">
        <w:rPr>
          <w:snapToGrid w:val="0"/>
        </w:rPr>
        <w:t xml:space="preserve">IMO MEPC 1/Circ. 684, </w:t>
      </w:r>
      <w:r w:rsidRPr="0056699F">
        <w:rPr>
          <w:i/>
          <w:snapToGrid w:val="0"/>
        </w:rPr>
        <w:t>Guidelines for voluntary use of the ship energy efficiency operational indicator (EEOI), 17.08.2009</w:t>
      </w:r>
      <w:r w:rsidRPr="0056699F">
        <w:rPr>
          <w:snapToGrid w:val="0"/>
          <w:lang w:val="bg-BG"/>
        </w:rPr>
        <w:t>, [</w:t>
      </w:r>
      <w:r w:rsidRPr="0056699F">
        <w:rPr>
          <w:snapToGrid w:val="0"/>
        </w:rPr>
        <w:t>Electronic version</w:t>
      </w:r>
      <w:r w:rsidRPr="0056699F">
        <w:rPr>
          <w:snapToGrid w:val="0"/>
          <w:lang w:val="bg-BG"/>
        </w:rPr>
        <w:t>]</w:t>
      </w:r>
      <w:r w:rsidRPr="0056699F">
        <w:rPr>
          <w:snapToGrid w:val="0"/>
        </w:rPr>
        <w:t>,</w:t>
      </w:r>
      <w:r w:rsidRPr="0056699F">
        <w:rPr>
          <w:snapToGrid w:val="0"/>
          <w:lang w:val="bg-BG"/>
        </w:rPr>
        <w:t xml:space="preserve"> </w:t>
      </w:r>
      <w:r w:rsidRPr="0056699F">
        <w:rPr>
          <w:snapToGrid w:val="0"/>
        </w:rPr>
        <w:t>Access through</w:t>
      </w:r>
      <w:r w:rsidRPr="0056699F">
        <w:rPr>
          <w:snapToGrid w:val="0"/>
          <w:lang w:val="bg-BG"/>
        </w:rPr>
        <w:t xml:space="preserve"> </w:t>
      </w:r>
      <w:r w:rsidRPr="0056699F">
        <w:rPr>
          <w:snapToGrid w:val="0"/>
        </w:rPr>
        <w:t xml:space="preserve">URL: </w:t>
      </w:r>
      <w:hyperlink r:id="rId9" w:history="1">
        <w:r w:rsidRPr="008E7C00">
          <w:rPr>
            <w:rStyle w:val="Hyperlink"/>
            <w:snapToGrid w:val="0"/>
          </w:rPr>
          <w:t>https://www.classnk.or.jp/hp/ pdf/activities/statutory/eedi/mepc_1-circ_684.pdf</w:t>
        </w:r>
      </w:hyperlink>
      <w:r w:rsidRPr="0056699F">
        <w:rPr>
          <w:snapToGrid w:val="0"/>
        </w:rPr>
        <w:t xml:space="preserve"> </w:t>
      </w:r>
      <w:r w:rsidRPr="0056699F">
        <w:rPr>
          <w:snapToGrid w:val="0"/>
          <w:lang w:val="bg-BG"/>
        </w:rPr>
        <w:t>(</w:t>
      </w:r>
      <w:r w:rsidRPr="0056699F">
        <w:rPr>
          <w:snapToGrid w:val="0"/>
        </w:rPr>
        <w:t>Date of using</w:t>
      </w:r>
      <w:r w:rsidRPr="0056699F">
        <w:rPr>
          <w:snapToGrid w:val="0"/>
          <w:lang w:val="bg-BG"/>
        </w:rPr>
        <w:t>: 06.09.2016)</w:t>
      </w:r>
      <w:r w:rsidRPr="0056699F">
        <w:rPr>
          <w:snapToGrid w:val="0"/>
        </w:rPr>
        <w:t>.</w:t>
      </w:r>
    </w:p>
    <w:p w:rsidR="0056699F" w:rsidRDefault="0056699F" w:rsidP="0056699F">
      <w:pPr>
        <w:pStyle w:val="References"/>
        <w:ind w:left="357" w:hanging="357"/>
        <w:rPr>
          <w:snapToGrid w:val="0"/>
        </w:rPr>
      </w:pPr>
      <w:r>
        <w:rPr>
          <w:snapToGrid w:val="0"/>
        </w:rPr>
        <w:t xml:space="preserve">H. </w:t>
      </w:r>
      <w:r w:rsidRPr="0056699F">
        <w:rPr>
          <w:snapToGrid w:val="0"/>
        </w:rPr>
        <w:t xml:space="preserve">Gaspar., S. Erikstad, </w:t>
      </w:r>
      <w:r w:rsidRPr="0056699F">
        <w:rPr>
          <w:snapToGrid w:val="0"/>
          <w:lang w:val="bg-BG"/>
        </w:rPr>
        <w:t>Extending the Energy Efficiency Design Index</w:t>
      </w:r>
      <w:r w:rsidRPr="0056699F">
        <w:rPr>
          <w:snapToGrid w:val="0"/>
        </w:rPr>
        <w:t xml:space="preserve"> </w:t>
      </w:r>
      <w:r w:rsidRPr="0056699F">
        <w:rPr>
          <w:snapToGrid w:val="0"/>
          <w:lang w:val="bg-BG"/>
        </w:rPr>
        <w:t>to Handle Non-Transport Vessels</w:t>
      </w:r>
      <w:r w:rsidRPr="0056699F">
        <w:rPr>
          <w:snapToGrid w:val="0"/>
        </w:rPr>
        <w:t>, 23.01.2017, [Electronic version], Access through</w:t>
      </w:r>
      <w:r w:rsidRPr="0056699F">
        <w:rPr>
          <w:snapToGrid w:val="0"/>
          <w:lang w:val="bg-BG"/>
        </w:rPr>
        <w:t xml:space="preserve"> </w:t>
      </w:r>
      <w:r w:rsidRPr="0056699F">
        <w:rPr>
          <w:snapToGrid w:val="0"/>
        </w:rPr>
        <w:t xml:space="preserve">URL: </w:t>
      </w:r>
      <w:hyperlink r:id="rId10" w:history="1">
        <w:r w:rsidRPr="008E7C00">
          <w:rPr>
            <w:rStyle w:val="Hyperlink"/>
            <w:snapToGrid w:val="0"/>
          </w:rPr>
          <w:t>https://www.academia.edu/3217290/Extending_ the_Energy_Efficiency_Design_Index_to_Handle_Non-Transport_Vessels</w:t>
        </w:r>
      </w:hyperlink>
      <w:r w:rsidRPr="0056699F">
        <w:rPr>
          <w:snapToGrid w:val="0"/>
        </w:rPr>
        <w:t xml:space="preserve">, </w:t>
      </w:r>
      <w:r w:rsidRPr="0056699F">
        <w:rPr>
          <w:snapToGrid w:val="0"/>
          <w:lang w:val="bg-BG"/>
        </w:rPr>
        <w:t>(</w:t>
      </w:r>
      <w:r w:rsidRPr="0056699F">
        <w:rPr>
          <w:snapToGrid w:val="0"/>
        </w:rPr>
        <w:t>Date of using</w:t>
      </w:r>
      <w:r w:rsidRPr="0056699F">
        <w:rPr>
          <w:snapToGrid w:val="0"/>
          <w:lang w:val="bg-BG"/>
        </w:rPr>
        <w:t xml:space="preserve">: </w:t>
      </w:r>
      <w:r w:rsidRPr="0056699F">
        <w:rPr>
          <w:snapToGrid w:val="0"/>
        </w:rPr>
        <w:t>1</w:t>
      </w:r>
      <w:r w:rsidRPr="0056699F">
        <w:rPr>
          <w:snapToGrid w:val="0"/>
          <w:lang w:val="bg-BG"/>
        </w:rPr>
        <w:t>6.0</w:t>
      </w:r>
      <w:r w:rsidRPr="0056699F">
        <w:rPr>
          <w:snapToGrid w:val="0"/>
        </w:rPr>
        <w:t>3</w:t>
      </w:r>
      <w:r w:rsidRPr="0056699F">
        <w:rPr>
          <w:snapToGrid w:val="0"/>
          <w:lang w:val="bg-BG"/>
        </w:rPr>
        <w:t>.201</w:t>
      </w:r>
      <w:r w:rsidRPr="0056699F">
        <w:rPr>
          <w:snapToGrid w:val="0"/>
        </w:rPr>
        <w:t>7</w:t>
      </w:r>
      <w:r w:rsidRPr="0056699F">
        <w:rPr>
          <w:snapToGrid w:val="0"/>
          <w:lang w:val="bg-BG"/>
        </w:rPr>
        <w:t>)</w:t>
      </w:r>
      <w:r w:rsidRPr="0056699F">
        <w:rPr>
          <w:snapToGrid w:val="0"/>
        </w:rPr>
        <w:t>.</w:t>
      </w:r>
    </w:p>
    <w:p w:rsidR="0056699F" w:rsidRDefault="0056699F" w:rsidP="0056699F">
      <w:pPr>
        <w:pStyle w:val="References"/>
        <w:ind w:left="357" w:hanging="357"/>
        <w:rPr>
          <w:snapToGrid w:val="0"/>
        </w:rPr>
      </w:pPr>
      <w:r w:rsidRPr="0056699F">
        <w:rPr>
          <w:snapToGrid w:val="0"/>
        </w:rPr>
        <w:t xml:space="preserve">B. Glowacki., C. </w:t>
      </w:r>
      <w:r>
        <w:rPr>
          <w:snapToGrid w:val="0"/>
        </w:rPr>
        <w:t>Bechrendt</w:t>
      </w:r>
      <w:r w:rsidRPr="0056699F">
        <w:rPr>
          <w:snapToGrid w:val="0"/>
        </w:rPr>
        <w:t xml:space="preserve">, </w:t>
      </w:r>
      <w:r w:rsidRPr="0056699F">
        <w:rPr>
          <w:snapToGrid w:val="0"/>
          <w:lang w:val="bg-BG"/>
        </w:rPr>
        <w:t>Energy Efficiency of Offshore Support Vessel</w:t>
      </w:r>
      <w:r w:rsidRPr="0056699F">
        <w:rPr>
          <w:snapToGrid w:val="0"/>
        </w:rPr>
        <w:t xml:space="preserve">, </w:t>
      </w:r>
      <w:r w:rsidRPr="0056699F">
        <w:rPr>
          <w:i/>
          <w:snapToGrid w:val="0"/>
          <w:lang w:val="bg-BG"/>
        </w:rPr>
        <w:t>The 58</w:t>
      </w:r>
      <w:r w:rsidRPr="0056699F">
        <w:rPr>
          <w:i/>
          <w:snapToGrid w:val="0"/>
          <w:vertAlign w:val="superscript"/>
          <w:lang w:val="bg-BG"/>
        </w:rPr>
        <w:t>th</w:t>
      </w:r>
      <w:r w:rsidRPr="0056699F">
        <w:rPr>
          <w:i/>
          <w:snapToGrid w:val="0"/>
          <w:lang w:val="bg-BG"/>
        </w:rPr>
        <w:t> International Conference of Machine Design Departments ICMD 2017</w:t>
      </w:r>
      <w:r w:rsidRPr="0056699F">
        <w:rPr>
          <w:snapToGrid w:val="0"/>
        </w:rPr>
        <w:t xml:space="preserve">, </w:t>
      </w:r>
      <w:r w:rsidRPr="0056699F">
        <w:rPr>
          <w:snapToGrid w:val="0"/>
          <w:lang w:val="bg-BG"/>
        </w:rPr>
        <w:t>6</w:t>
      </w:r>
      <w:r w:rsidRPr="0056699F">
        <w:rPr>
          <w:snapToGrid w:val="0"/>
          <w:vertAlign w:val="superscript"/>
          <w:lang w:val="bg-BG"/>
        </w:rPr>
        <w:t>th</w:t>
      </w:r>
      <w:r w:rsidRPr="0056699F">
        <w:rPr>
          <w:snapToGrid w:val="0"/>
          <w:lang w:val="bg-BG"/>
        </w:rPr>
        <w:t>-8</w:t>
      </w:r>
      <w:r w:rsidRPr="0056699F">
        <w:rPr>
          <w:snapToGrid w:val="0"/>
          <w:vertAlign w:val="superscript"/>
          <w:lang w:val="bg-BG"/>
        </w:rPr>
        <w:t>th</w:t>
      </w:r>
      <w:r w:rsidRPr="0056699F">
        <w:rPr>
          <w:snapToGrid w:val="0"/>
          <w:lang w:val="bg-BG"/>
        </w:rPr>
        <w:t> September 2017</w:t>
      </w:r>
      <w:r w:rsidRPr="0056699F">
        <w:rPr>
          <w:snapToGrid w:val="0"/>
        </w:rPr>
        <w:t xml:space="preserve">, </w:t>
      </w:r>
      <w:r w:rsidRPr="0056699F">
        <w:rPr>
          <w:snapToGrid w:val="0"/>
          <w:lang w:val="bg-BG"/>
        </w:rPr>
        <w:t>Prague, Czech Republic</w:t>
      </w:r>
      <w:r w:rsidRPr="0056699F">
        <w:rPr>
          <w:snapToGrid w:val="0"/>
        </w:rPr>
        <w:t>, p.p 88-93.</w:t>
      </w:r>
    </w:p>
    <w:p w:rsidR="0056699F" w:rsidRDefault="0056699F" w:rsidP="0056699F">
      <w:pPr>
        <w:pStyle w:val="References"/>
        <w:ind w:left="357" w:hanging="357"/>
        <w:rPr>
          <w:snapToGrid w:val="0"/>
        </w:rPr>
      </w:pPr>
      <w:r w:rsidRPr="0056699F">
        <w:rPr>
          <w:snapToGrid w:val="0"/>
          <w:lang w:val="bg-BG"/>
        </w:rPr>
        <w:t>The Energy Efciency Design Index (EEDI)</w:t>
      </w:r>
      <w:r w:rsidRPr="0056699F">
        <w:rPr>
          <w:snapToGrid w:val="0"/>
        </w:rPr>
        <w:t xml:space="preserve"> </w:t>
      </w:r>
      <w:r w:rsidRPr="0056699F">
        <w:rPr>
          <w:snapToGrid w:val="0"/>
          <w:lang w:val="bg-BG"/>
        </w:rPr>
        <w:t>for New Ships</w:t>
      </w:r>
      <w:r w:rsidRPr="0056699F">
        <w:rPr>
          <w:snapToGrid w:val="0"/>
        </w:rPr>
        <w:t xml:space="preserve">, </w:t>
      </w:r>
      <w:r w:rsidRPr="0056699F">
        <w:rPr>
          <w:snapToGrid w:val="0"/>
          <w:lang w:val="bg-BG"/>
        </w:rPr>
        <w:t>The International Council</w:t>
      </w:r>
      <w:r w:rsidRPr="0056699F">
        <w:rPr>
          <w:snapToGrid w:val="0"/>
        </w:rPr>
        <w:t xml:space="preserve"> </w:t>
      </w:r>
      <w:r w:rsidRPr="0056699F">
        <w:rPr>
          <w:snapToGrid w:val="0"/>
          <w:lang w:val="bg-BG"/>
        </w:rPr>
        <w:t>on Clean Transportation</w:t>
      </w:r>
      <w:r w:rsidRPr="0056699F">
        <w:rPr>
          <w:snapToGrid w:val="0"/>
        </w:rPr>
        <w:t>, 03.02.2017, [Electronic version], Access through</w:t>
      </w:r>
      <w:r w:rsidRPr="0056699F">
        <w:rPr>
          <w:snapToGrid w:val="0"/>
          <w:lang w:val="bg-BG"/>
        </w:rPr>
        <w:t xml:space="preserve"> </w:t>
      </w:r>
      <w:r w:rsidRPr="0056699F">
        <w:rPr>
          <w:snapToGrid w:val="0"/>
        </w:rPr>
        <w:t xml:space="preserve">URL: </w:t>
      </w:r>
      <w:hyperlink r:id="rId11" w:history="1">
        <w:r w:rsidRPr="0056699F">
          <w:rPr>
            <w:rStyle w:val="Hyperlink"/>
            <w:snapToGrid w:val="0"/>
          </w:rPr>
          <w:t>https://www.theicct.org/sites/ default/files/publications/ICCTpolicyupdate15_EEDI_final.pdf</w:t>
        </w:r>
      </w:hyperlink>
      <w:r w:rsidRPr="0056699F">
        <w:rPr>
          <w:snapToGrid w:val="0"/>
        </w:rPr>
        <w:t xml:space="preserve"> </w:t>
      </w:r>
      <w:r w:rsidRPr="0056699F">
        <w:rPr>
          <w:snapToGrid w:val="0"/>
          <w:lang w:val="bg-BG"/>
        </w:rPr>
        <w:t>(</w:t>
      </w:r>
      <w:r w:rsidRPr="0056699F">
        <w:rPr>
          <w:snapToGrid w:val="0"/>
        </w:rPr>
        <w:t>Date of using</w:t>
      </w:r>
      <w:r w:rsidRPr="0056699F">
        <w:rPr>
          <w:snapToGrid w:val="0"/>
          <w:lang w:val="bg-BG"/>
        </w:rPr>
        <w:t xml:space="preserve">: </w:t>
      </w:r>
      <w:r w:rsidRPr="0056699F">
        <w:rPr>
          <w:snapToGrid w:val="0"/>
        </w:rPr>
        <w:t>1</w:t>
      </w:r>
      <w:r w:rsidRPr="0056699F">
        <w:rPr>
          <w:snapToGrid w:val="0"/>
          <w:lang w:val="bg-BG"/>
        </w:rPr>
        <w:t>6.0</w:t>
      </w:r>
      <w:r w:rsidRPr="0056699F">
        <w:rPr>
          <w:snapToGrid w:val="0"/>
        </w:rPr>
        <w:t>3</w:t>
      </w:r>
      <w:r w:rsidRPr="0056699F">
        <w:rPr>
          <w:snapToGrid w:val="0"/>
          <w:lang w:val="bg-BG"/>
        </w:rPr>
        <w:t>.201</w:t>
      </w:r>
      <w:r w:rsidRPr="0056699F">
        <w:rPr>
          <w:snapToGrid w:val="0"/>
        </w:rPr>
        <w:t>7</w:t>
      </w:r>
      <w:r w:rsidRPr="0056699F">
        <w:rPr>
          <w:snapToGrid w:val="0"/>
          <w:lang w:val="bg-BG"/>
        </w:rPr>
        <w:t>)</w:t>
      </w:r>
      <w:r w:rsidRPr="0056699F">
        <w:rPr>
          <w:snapToGrid w:val="0"/>
        </w:rPr>
        <w:t>.</w:t>
      </w:r>
    </w:p>
    <w:p w:rsidR="0056699F" w:rsidRDefault="0056699F" w:rsidP="0056699F">
      <w:pPr>
        <w:pStyle w:val="References"/>
        <w:ind w:left="357" w:hanging="357"/>
        <w:rPr>
          <w:snapToGrid w:val="0"/>
        </w:rPr>
      </w:pPr>
      <w:r w:rsidRPr="0056699F">
        <w:rPr>
          <w:snapToGrid w:val="0"/>
        </w:rPr>
        <w:t>D. Anink., M. Krikke, Analysis of the effect of the new EEDI requirements on Dutch build and flagged ships, Commisioned by the Ministry of Infrastructure and the Environment, Projectnumber 3134, Centre for Maritime Technology and Innovation, July 2011,</w:t>
      </w:r>
    </w:p>
    <w:p w:rsidR="0056699F" w:rsidRDefault="0056699F" w:rsidP="0056699F">
      <w:pPr>
        <w:pStyle w:val="References"/>
        <w:ind w:left="357" w:hanging="357"/>
        <w:rPr>
          <w:snapToGrid w:val="0"/>
        </w:rPr>
      </w:pPr>
      <w:r>
        <w:rPr>
          <w:snapToGrid w:val="0"/>
        </w:rPr>
        <w:t xml:space="preserve">B. </w:t>
      </w:r>
      <w:r w:rsidRPr="0056699F">
        <w:rPr>
          <w:snapToGrid w:val="0"/>
        </w:rPr>
        <w:t xml:space="preserve">Belev, </w:t>
      </w:r>
      <w:r w:rsidRPr="0056699F">
        <w:rPr>
          <w:i/>
          <w:snapToGrid w:val="0"/>
        </w:rPr>
        <w:t>Ship Energy Efficiency Management</w:t>
      </w:r>
      <w:r w:rsidRPr="0056699F">
        <w:rPr>
          <w:snapToGrid w:val="0"/>
        </w:rPr>
        <w:t xml:space="preserve">, Monography, Largo City, </w:t>
      </w:r>
      <w:r>
        <w:rPr>
          <w:snapToGrid w:val="0"/>
        </w:rPr>
        <w:t>Dobrich, Bulgaria, 2017.</w:t>
      </w:r>
    </w:p>
    <w:p w:rsidR="0056699F" w:rsidRDefault="0056699F" w:rsidP="0056699F">
      <w:pPr>
        <w:pStyle w:val="References"/>
        <w:ind w:left="357" w:hanging="357"/>
        <w:rPr>
          <w:snapToGrid w:val="0"/>
        </w:rPr>
      </w:pPr>
      <w:r>
        <w:rPr>
          <w:snapToGrid w:val="0"/>
        </w:rPr>
        <w:t xml:space="preserve">R. </w:t>
      </w:r>
      <w:r w:rsidRPr="0056699F">
        <w:rPr>
          <w:snapToGrid w:val="0"/>
          <w:lang w:val="bg-BG"/>
        </w:rPr>
        <w:t>Hasan</w:t>
      </w:r>
      <w:r w:rsidRPr="0056699F">
        <w:rPr>
          <w:snapToGrid w:val="0"/>
        </w:rPr>
        <w:t xml:space="preserve">, </w:t>
      </w:r>
      <w:r w:rsidRPr="0056699F">
        <w:rPr>
          <w:i/>
          <w:snapToGrid w:val="0"/>
          <w:lang w:val="bg-BG"/>
        </w:rPr>
        <w:t>Impact of EEDI on Ship Design and Hydrodynamics</w:t>
      </w:r>
      <w:r w:rsidRPr="0056699F">
        <w:rPr>
          <w:snapToGrid w:val="0"/>
        </w:rPr>
        <w:t xml:space="preserve">, </w:t>
      </w:r>
      <w:r w:rsidRPr="0056699F">
        <w:rPr>
          <w:snapToGrid w:val="0"/>
          <w:lang w:val="bg-BG"/>
        </w:rPr>
        <w:t>Master of Science Thesis</w:t>
      </w:r>
      <w:r w:rsidRPr="0056699F">
        <w:rPr>
          <w:snapToGrid w:val="0"/>
        </w:rPr>
        <w:t xml:space="preserve">, </w:t>
      </w:r>
      <w:r w:rsidRPr="0056699F">
        <w:rPr>
          <w:snapToGrid w:val="0"/>
          <w:lang w:val="bg-BG"/>
        </w:rPr>
        <w:t>Chalmers University of Technology</w:t>
      </w:r>
      <w:r w:rsidRPr="0056699F">
        <w:rPr>
          <w:snapToGrid w:val="0"/>
        </w:rPr>
        <w:t xml:space="preserve">, </w:t>
      </w:r>
      <w:r w:rsidRPr="0056699F">
        <w:rPr>
          <w:snapToGrid w:val="0"/>
          <w:lang w:val="bg-BG"/>
        </w:rPr>
        <w:t>Gothenburg, Sweden, 2011</w:t>
      </w:r>
      <w:r w:rsidRPr="0056699F">
        <w:rPr>
          <w:snapToGrid w:val="0"/>
        </w:rPr>
        <w:t>.</w:t>
      </w:r>
    </w:p>
    <w:p w:rsidR="0056699F" w:rsidRDefault="0056699F" w:rsidP="0056699F">
      <w:pPr>
        <w:pStyle w:val="References"/>
        <w:ind w:left="357" w:hanging="357"/>
        <w:rPr>
          <w:snapToGrid w:val="0"/>
        </w:rPr>
      </w:pPr>
      <w:r>
        <w:rPr>
          <w:snapToGrid w:val="0"/>
        </w:rPr>
        <w:t xml:space="preserve">M. </w:t>
      </w:r>
      <w:r w:rsidRPr="0056699F">
        <w:rPr>
          <w:snapToGrid w:val="0"/>
          <w:lang w:val="bg-BG"/>
        </w:rPr>
        <w:t>Fun-sang, J</w:t>
      </w:r>
      <w:r w:rsidRPr="0056699F">
        <w:rPr>
          <w:snapToGrid w:val="0"/>
        </w:rPr>
        <w:t>.</w:t>
      </w:r>
      <w:r w:rsidRPr="0056699F">
        <w:rPr>
          <w:snapToGrid w:val="0"/>
          <w:lang w:val="bg-BG"/>
        </w:rPr>
        <w:t xml:space="preserve"> Caprace</w:t>
      </w:r>
      <w:r w:rsidRPr="0056699F">
        <w:rPr>
          <w:snapToGrid w:val="0"/>
        </w:rPr>
        <w:t xml:space="preserve">, </w:t>
      </w:r>
      <w:r w:rsidRPr="0056699F">
        <w:rPr>
          <w:snapToGrid w:val="0"/>
          <w:lang w:val="bg-BG"/>
        </w:rPr>
        <w:t>Improving Ship Fleet Performance Using a Non-Parametric Model</w:t>
      </w:r>
      <w:r w:rsidRPr="0056699F">
        <w:rPr>
          <w:snapToGrid w:val="0"/>
        </w:rPr>
        <w:t>, 18.02.2018, [Electronic version], Access through</w:t>
      </w:r>
      <w:r w:rsidRPr="0056699F">
        <w:rPr>
          <w:snapToGrid w:val="0"/>
          <w:lang w:val="bg-BG"/>
        </w:rPr>
        <w:t xml:space="preserve"> </w:t>
      </w:r>
      <w:r w:rsidRPr="0056699F">
        <w:rPr>
          <w:snapToGrid w:val="0"/>
        </w:rPr>
        <w:t xml:space="preserve">URL: </w:t>
      </w:r>
      <w:hyperlink r:id="rId12" w:history="1">
        <w:r w:rsidRPr="0056699F">
          <w:rPr>
            <w:rStyle w:val="Hyperlink"/>
            <w:snapToGrid w:val="0"/>
          </w:rPr>
          <w:t>http://labsen.oceanica.ufrj.br/ arq_publicacoes/improving-ship-fleet-performance-using-a-non-parametric-model.pdf</w:t>
        </w:r>
      </w:hyperlink>
      <w:r w:rsidRPr="0056699F">
        <w:rPr>
          <w:snapToGrid w:val="0"/>
        </w:rPr>
        <w:t xml:space="preserve"> </w:t>
      </w:r>
      <w:r w:rsidRPr="0056699F">
        <w:rPr>
          <w:snapToGrid w:val="0"/>
          <w:lang w:val="bg-BG"/>
        </w:rPr>
        <w:t>(</w:t>
      </w:r>
      <w:r w:rsidRPr="0056699F">
        <w:rPr>
          <w:snapToGrid w:val="0"/>
        </w:rPr>
        <w:t>Date of using</w:t>
      </w:r>
      <w:r w:rsidRPr="0056699F">
        <w:rPr>
          <w:snapToGrid w:val="0"/>
          <w:lang w:val="bg-BG"/>
        </w:rPr>
        <w:t xml:space="preserve">: </w:t>
      </w:r>
      <w:r w:rsidRPr="0056699F">
        <w:rPr>
          <w:snapToGrid w:val="0"/>
        </w:rPr>
        <w:t>2</w:t>
      </w:r>
      <w:r w:rsidRPr="0056699F">
        <w:rPr>
          <w:snapToGrid w:val="0"/>
          <w:lang w:val="bg-BG"/>
        </w:rPr>
        <w:t>6.0</w:t>
      </w:r>
      <w:r w:rsidRPr="0056699F">
        <w:rPr>
          <w:snapToGrid w:val="0"/>
        </w:rPr>
        <w:t>2</w:t>
      </w:r>
      <w:r w:rsidRPr="0056699F">
        <w:rPr>
          <w:snapToGrid w:val="0"/>
          <w:lang w:val="bg-BG"/>
        </w:rPr>
        <w:t>.201</w:t>
      </w:r>
      <w:r w:rsidRPr="0056699F">
        <w:rPr>
          <w:snapToGrid w:val="0"/>
        </w:rPr>
        <w:t>8</w:t>
      </w:r>
      <w:r w:rsidRPr="0056699F">
        <w:rPr>
          <w:snapToGrid w:val="0"/>
          <w:lang w:val="bg-BG"/>
        </w:rPr>
        <w:t>)</w:t>
      </w:r>
      <w:r w:rsidRPr="0056699F">
        <w:rPr>
          <w:snapToGrid w:val="0"/>
        </w:rPr>
        <w:t>.</w:t>
      </w:r>
    </w:p>
    <w:p w:rsidR="0056699F" w:rsidRPr="0056699F" w:rsidRDefault="00530CE9" w:rsidP="00530CE9">
      <w:pPr>
        <w:pStyle w:val="References"/>
        <w:spacing w:before="240"/>
        <w:ind w:left="357" w:hanging="357"/>
        <w:rPr>
          <w:snapToGrid w:val="0"/>
        </w:rPr>
      </w:pPr>
      <w:r w:rsidRPr="00530CE9">
        <w:rPr>
          <w:snapToGrid w:val="0"/>
        </w:rPr>
        <w:lastRenderedPageBreak/>
        <w:t xml:space="preserve">C. </w:t>
      </w:r>
      <w:r w:rsidR="0056699F" w:rsidRPr="00530CE9">
        <w:rPr>
          <w:snapToGrid w:val="0"/>
          <w:lang w:val="bg-BG"/>
        </w:rPr>
        <w:t>Behrendt</w:t>
      </w:r>
      <w:r w:rsidR="0056699F" w:rsidRPr="0056699F">
        <w:rPr>
          <w:i/>
          <w:snapToGrid w:val="0"/>
        </w:rPr>
        <w:t>,</w:t>
      </w:r>
      <w:r w:rsidR="0056699F" w:rsidRPr="0056699F">
        <w:rPr>
          <w:snapToGrid w:val="0"/>
        </w:rPr>
        <w:t xml:space="preserve"> </w:t>
      </w:r>
      <w:r w:rsidR="0056699F" w:rsidRPr="0056699F">
        <w:rPr>
          <w:snapToGrid w:val="0"/>
          <w:lang w:val="bg-BG"/>
        </w:rPr>
        <w:t>Energy saving technologies for fishing vessels</w:t>
      </w:r>
      <w:r w:rsidR="0056699F" w:rsidRPr="0056699F">
        <w:rPr>
          <w:snapToGrid w:val="0"/>
        </w:rPr>
        <w:t xml:space="preserve">, </w:t>
      </w:r>
      <w:r w:rsidR="0056699F" w:rsidRPr="0056699F">
        <w:rPr>
          <w:snapToGrid w:val="0"/>
          <w:lang w:val="bg-BG"/>
        </w:rPr>
        <w:t xml:space="preserve">Scientific </w:t>
      </w:r>
      <w:r w:rsidR="0056699F" w:rsidRPr="00530CE9">
        <w:rPr>
          <w:i/>
          <w:snapToGrid w:val="0"/>
          <w:lang w:val="bg-BG"/>
        </w:rPr>
        <w:t>Journals</w:t>
      </w:r>
      <w:r w:rsidR="0056699F" w:rsidRPr="00530CE9">
        <w:rPr>
          <w:i/>
          <w:snapToGrid w:val="0"/>
        </w:rPr>
        <w:t xml:space="preserve">, </w:t>
      </w:r>
      <w:r w:rsidR="0056699F" w:rsidRPr="00530CE9">
        <w:rPr>
          <w:i/>
          <w:snapToGrid w:val="0"/>
          <w:lang w:val="bg-BG"/>
        </w:rPr>
        <w:t>Maritime University of Szczecin</w:t>
      </w:r>
      <w:r w:rsidR="0056699F" w:rsidRPr="00530CE9">
        <w:rPr>
          <w:i/>
          <w:snapToGrid w:val="0"/>
        </w:rPr>
        <w:t>,</w:t>
      </w:r>
      <w:r w:rsidR="0056699F" w:rsidRPr="0056699F">
        <w:rPr>
          <w:snapToGrid w:val="0"/>
        </w:rPr>
        <w:t xml:space="preserve"> </w:t>
      </w:r>
      <w:r w:rsidR="0056699F" w:rsidRPr="00530CE9">
        <w:rPr>
          <w:b/>
          <w:snapToGrid w:val="0"/>
          <w:lang w:val="bg-BG"/>
        </w:rPr>
        <w:t>39</w:t>
      </w:r>
      <w:r w:rsidRPr="00530CE9">
        <w:rPr>
          <w:b/>
          <w:snapToGrid w:val="0"/>
        </w:rPr>
        <w:t xml:space="preserve"> </w:t>
      </w:r>
      <w:r w:rsidR="0056699F" w:rsidRPr="00530CE9">
        <w:rPr>
          <w:b/>
          <w:snapToGrid w:val="0"/>
          <w:lang w:val="bg-BG"/>
        </w:rPr>
        <w:t>(111)</w:t>
      </w:r>
      <w:r w:rsidR="0056699F" w:rsidRPr="0056699F">
        <w:rPr>
          <w:snapToGrid w:val="0"/>
        </w:rPr>
        <w:t xml:space="preserve">, </w:t>
      </w:r>
      <w:r>
        <w:rPr>
          <w:snapToGrid w:val="0"/>
        </w:rPr>
        <w:t>(</w:t>
      </w:r>
      <w:r w:rsidRPr="0056699F">
        <w:rPr>
          <w:snapToGrid w:val="0"/>
          <w:lang w:val="bg-BG"/>
        </w:rPr>
        <w:t>2014</w:t>
      </w:r>
      <w:r>
        <w:rPr>
          <w:snapToGrid w:val="0"/>
        </w:rPr>
        <w:t>)</w:t>
      </w:r>
      <w:r w:rsidR="0056699F" w:rsidRPr="0056699F">
        <w:rPr>
          <w:snapToGrid w:val="0"/>
        </w:rPr>
        <w:t>,</w:t>
      </w:r>
      <w:r w:rsidR="0056699F" w:rsidRPr="0056699F">
        <w:rPr>
          <w:snapToGrid w:val="0"/>
          <w:lang w:val="bg-BG"/>
        </w:rPr>
        <w:t xml:space="preserve"> 11–15</w:t>
      </w:r>
      <w:r w:rsidR="0056699F" w:rsidRPr="0056699F">
        <w:rPr>
          <w:snapToGrid w:val="0"/>
        </w:rPr>
        <w:t>.</w:t>
      </w:r>
    </w:p>
    <w:p w:rsidR="00631672" w:rsidRDefault="00530CE9">
      <w:pPr>
        <w:pStyle w:val="References"/>
        <w:ind w:left="357" w:hanging="357"/>
      </w:pPr>
      <w:r w:rsidRPr="00530CE9">
        <w:rPr>
          <w:snapToGrid w:val="0"/>
          <w:lang w:val="bg-BG"/>
        </w:rPr>
        <w:t>Offshore Service Vessels,</w:t>
      </w:r>
      <w:r w:rsidRPr="00530CE9">
        <w:rPr>
          <w:snapToGrid w:val="0"/>
        </w:rPr>
        <w:t xml:space="preserve"> </w:t>
      </w:r>
      <w:r w:rsidRPr="00530CE9">
        <w:rPr>
          <w:snapToGrid w:val="0"/>
          <w:lang w:val="bg-BG"/>
        </w:rPr>
        <w:t>Tugs and Special Ships</w:t>
      </w:r>
      <w:r w:rsidRPr="00530CE9">
        <w:rPr>
          <w:snapToGrid w:val="0"/>
        </w:rPr>
        <w:t>, Rules for classification of ships, Part 5, Chapter 7, DNV-GL, July 2011, p. 111.</w:t>
      </w:r>
    </w:p>
    <w:sectPr w:rsidR="00631672">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9AC" w:rsidRDefault="00CE69AC">
      <w:r>
        <w:separator/>
      </w:r>
    </w:p>
  </w:endnote>
  <w:endnote w:type="continuationSeparator" w:id="0">
    <w:p w:rsidR="00CE69AC" w:rsidRDefault="00CE6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9AC" w:rsidRDefault="00CE69AC">
      <w:r>
        <w:separator/>
      </w:r>
    </w:p>
  </w:footnote>
  <w:footnote w:type="continuationSeparator" w:id="0">
    <w:p w:rsidR="00CE69AC" w:rsidRDefault="00CE69AC">
      <w:r>
        <w:continuationSeparator/>
      </w:r>
    </w:p>
  </w:footnote>
  <w:footnote w:id="1">
    <w:p w:rsidR="00B05D6E" w:rsidRPr="006161C2" w:rsidRDefault="00B05D6E">
      <w:pPr>
        <w:pStyle w:val="FootnoteText"/>
        <w:rPr>
          <w:rStyle w:val="FootnoteChar"/>
          <w:szCs w:val="16"/>
        </w:rPr>
      </w:pPr>
      <w:r>
        <w:rPr>
          <w:rStyle w:val="FootnoteReference"/>
        </w:rPr>
        <w:footnoteRef/>
      </w:r>
      <w:r>
        <w:rPr>
          <w:rStyle w:val="FootnoteChar"/>
        </w:rPr>
        <w:t xml:space="preserve"> Corresponding Author</w:t>
      </w:r>
      <w:r w:rsidR="006161C2" w:rsidRPr="006161C2">
        <w:rPr>
          <w:rStyle w:val="FootnoteChar"/>
          <w:szCs w:val="16"/>
        </w:rPr>
        <w:t>,</w:t>
      </w:r>
      <w:r w:rsidR="006161C2" w:rsidRPr="006161C2">
        <w:rPr>
          <w:sz w:val="16"/>
          <w:szCs w:val="16"/>
          <w:lang w:val="en-GB"/>
        </w:rPr>
        <w:t xml:space="preserve"> Corresponding author, Book Department, IOS Press, Nieuwe Hemweg 6B, 1013 BG Amsterdam, The Netherlands; E-mail: bookproduction@iospress.nl.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6EC8536"/>
    <w:lvl w:ilvl="0">
      <w:start w:val="1"/>
      <w:numFmt w:val="decimal"/>
      <w:pStyle w:val="ListNumber"/>
      <w:lvlText w:val="%1."/>
      <w:lvlJc w:val="left"/>
      <w:pPr>
        <w:tabs>
          <w:tab w:val="num" w:pos="360"/>
        </w:tabs>
        <w:ind w:left="360" w:hanging="360"/>
      </w:pPr>
    </w:lvl>
  </w:abstractNum>
  <w:abstractNum w:abstractNumId="1" w15:restartNumberingAfterBreak="0">
    <w:nsid w:val="05774C05"/>
    <w:multiLevelType w:val="hybridMultilevel"/>
    <w:tmpl w:val="2990DD1A"/>
    <w:lvl w:ilvl="0" w:tplc="04020001">
      <w:start w:val="1"/>
      <w:numFmt w:val="bullet"/>
      <w:lvlText w:val=""/>
      <w:lvlJc w:val="left"/>
      <w:pPr>
        <w:ind w:left="1077" w:hanging="360"/>
      </w:pPr>
      <w:rPr>
        <w:rFonts w:ascii="Symbol" w:hAnsi="Symbol"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abstractNum w:abstractNumId="2" w15:restartNumberingAfterBreak="0">
    <w:nsid w:val="16200325"/>
    <w:multiLevelType w:val="hybridMultilevel"/>
    <w:tmpl w:val="9DD455DC"/>
    <w:lvl w:ilvl="0" w:tplc="04020001">
      <w:start w:val="1"/>
      <w:numFmt w:val="bullet"/>
      <w:lvlText w:val=""/>
      <w:lvlJc w:val="left"/>
      <w:pPr>
        <w:ind w:left="717" w:hanging="360"/>
      </w:pPr>
      <w:rPr>
        <w:rFonts w:ascii="Symbol" w:hAnsi="Symbol" w:hint="default"/>
      </w:rPr>
    </w:lvl>
    <w:lvl w:ilvl="1" w:tplc="04020003" w:tentative="1">
      <w:start w:val="1"/>
      <w:numFmt w:val="bullet"/>
      <w:lvlText w:val="o"/>
      <w:lvlJc w:val="left"/>
      <w:pPr>
        <w:ind w:left="1437" w:hanging="360"/>
      </w:pPr>
      <w:rPr>
        <w:rFonts w:ascii="Courier New" w:hAnsi="Courier New" w:cs="Courier New" w:hint="default"/>
      </w:rPr>
    </w:lvl>
    <w:lvl w:ilvl="2" w:tplc="04020005" w:tentative="1">
      <w:start w:val="1"/>
      <w:numFmt w:val="bullet"/>
      <w:lvlText w:val=""/>
      <w:lvlJc w:val="left"/>
      <w:pPr>
        <w:ind w:left="2157" w:hanging="360"/>
      </w:pPr>
      <w:rPr>
        <w:rFonts w:ascii="Wingdings" w:hAnsi="Wingdings" w:hint="default"/>
      </w:rPr>
    </w:lvl>
    <w:lvl w:ilvl="3" w:tplc="04020001" w:tentative="1">
      <w:start w:val="1"/>
      <w:numFmt w:val="bullet"/>
      <w:lvlText w:val=""/>
      <w:lvlJc w:val="left"/>
      <w:pPr>
        <w:ind w:left="2877" w:hanging="360"/>
      </w:pPr>
      <w:rPr>
        <w:rFonts w:ascii="Symbol" w:hAnsi="Symbol" w:hint="default"/>
      </w:rPr>
    </w:lvl>
    <w:lvl w:ilvl="4" w:tplc="04020003" w:tentative="1">
      <w:start w:val="1"/>
      <w:numFmt w:val="bullet"/>
      <w:lvlText w:val="o"/>
      <w:lvlJc w:val="left"/>
      <w:pPr>
        <w:ind w:left="3597" w:hanging="360"/>
      </w:pPr>
      <w:rPr>
        <w:rFonts w:ascii="Courier New" w:hAnsi="Courier New" w:cs="Courier New" w:hint="default"/>
      </w:rPr>
    </w:lvl>
    <w:lvl w:ilvl="5" w:tplc="04020005" w:tentative="1">
      <w:start w:val="1"/>
      <w:numFmt w:val="bullet"/>
      <w:lvlText w:val=""/>
      <w:lvlJc w:val="left"/>
      <w:pPr>
        <w:ind w:left="4317" w:hanging="360"/>
      </w:pPr>
      <w:rPr>
        <w:rFonts w:ascii="Wingdings" w:hAnsi="Wingdings" w:hint="default"/>
      </w:rPr>
    </w:lvl>
    <w:lvl w:ilvl="6" w:tplc="04020001" w:tentative="1">
      <w:start w:val="1"/>
      <w:numFmt w:val="bullet"/>
      <w:lvlText w:val=""/>
      <w:lvlJc w:val="left"/>
      <w:pPr>
        <w:ind w:left="5037" w:hanging="360"/>
      </w:pPr>
      <w:rPr>
        <w:rFonts w:ascii="Symbol" w:hAnsi="Symbol" w:hint="default"/>
      </w:rPr>
    </w:lvl>
    <w:lvl w:ilvl="7" w:tplc="04020003" w:tentative="1">
      <w:start w:val="1"/>
      <w:numFmt w:val="bullet"/>
      <w:lvlText w:val="o"/>
      <w:lvlJc w:val="left"/>
      <w:pPr>
        <w:ind w:left="5757" w:hanging="360"/>
      </w:pPr>
      <w:rPr>
        <w:rFonts w:ascii="Courier New" w:hAnsi="Courier New" w:cs="Courier New" w:hint="default"/>
      </w:rPr>
    </w:lvl>
    <w:lvl w:ilvl="8" w:tplc="04020005" w:tentative="1">
      <w:start w:val="1"/>
      <w:numFmt w:val="bullet"/>
      <w:lvlText w:val=""/>
      <w:lvlJc w:val="left"/>
      <w:pPr>
        <w:ind w:left="6477" w:hanging="360"/>
      </w:pPr>
      <w:rPr>
        <w:rFonts w:ascii="Wingdings" w:hAnsi="Wingdings" w:hint="default"/>
      </w:rPr>
    </w:lvl>
  </w:abstractNum>
  <w:abstractNum w:abstractNumId="3" w15:restartNumberingAfterBreak="0">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B712AD9"/>
    <w:multiLevelType w:val="hybridMultilevel"/>
    <w:tmpl w:val="CB10D23C"/>
    <w:lvl w:ilvl="0" w:tplc="C5365D54">
      <w:start w:val="1"/>
      <w:numFmt w:val="decimal"/>
      <w:lvlText w:val="%1."/>
      <w:lvlJc w:val="left"/>
      <w:pPr>
        <w:ind w:left="825" w:hanging="46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6" w15:restartNumberingAfterBreak="0">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7" w15:restartNumberingAfterBreak="0">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9" w15:restartNumberingAfterBreak="0">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10" w15:restartNumberingAfterBreak="0">
    <w:nsid w:val="749D7927"/>
    <w:multiLevelType w:val="multilevel"/>
    <w:tmpl w:val="1F9C18A8"/>
    <w:lvl w:ilvl="0">
      <w:start w:val="1"/>
      <w:numFmt w:val="decimal"/>
      <w:pStyle w:val="Heading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Times New Roman" w:hAnsi="Times New Roman" w:hint="default"/>
        <w:b w:val="0"/>
        <w:i/>
        <w:sz w:val="20"/>
      </w:rPr>
    </w:lvl>
    <w:lvl w:ilvl="2">
      <w:start w:val="1"/>
      <w:numFmt w:val="decimal"/>
      <w:pStyle w:val="Heading3"/>
      <w:suff w:val="space"/>
      <w:lvlText w:val="%1.%2.%3."/>
      <w:lvlJc w:val="left"/>
      <w:pPr>
        <w:ind w:left="0" w:firstLine="0"/>
      </w:pPr>
      <w:rPr>
        <w:rFonts w:ascii="Times" w:hAnsi="Times" w:hint="default"/>
        <w:b w:val="0"/>
        <w:i/>
        <w:sz w:val="20"/>
      </w:rPr>
    </w:lvl>
    <w:lvl w:ilvl="3">
      <w:start w:val="1"/>
      <w:numFmt w:val="decimal"/>
      <w:pStyle w:val="Heading4"/>
      <w:suff w:val="space"/>
      <w:lvlText w:val="%1.%2.%3.%4."/>
      <w:lvlJc w:val="left"/>
      <w:pPr>
        <w:ind w:left="0" w:firstLine="0"/>
      </w:pPr>
      <w:rPr>
        <w:rFonts w:ascii="Times" w:hAnsi="Times" w:hint="default"/>
        <w:b w:val="0"/>
        <w:i/>
        <w:sz w:val="2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11" w15:restartNumberingAfterBreak="0">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721B9B"/>
    <w:multiLevelType w:val="hybridMultilevel"/>
    <w:tmpl w:val="46A49724"/>
    <w:lvl w:ilvl="0" w:tplc="66B8243A">
      <w:numFmt w:val="bullet"/>
      <w:lvlText w:val="-"/>
      <w:lvlJc w:val="left"/>
      <w:pPr>
        <w:ind w:left="717" w:hanging="360"/>
      </w:pPr>
      <w:rPr>
        <w:rFonts w:ascii="Times New Roman" w:eastAsia="MS Mincho" w:hAnsi="Times New Roman" w:cs="Times New Roman" w:hint="default"/>
      </w:rPr>
    </w:lvl>
    <w:lvl w:ilvl="1" w:tplc="04020003" w:tentative="1">
      <w:start w:val="1"/>
      <w:numFmt w:val="bullet"/>
      <w:lvlText w:val="o"/>
      <w:lvlJc w:val="left"/>
      <w:pPr>
        <w:ind w:left="1437" w:hanging="360"/>
      </w:pPr>
      <w:rPr>
        <w:rFonts w:ascii="Courier New" w:hAnsi="Courier New" w:cs="Courier New" w:hint="default"/>
      </w:rPr>
    </w:lvl>
    <w:lvl w:ilvl="2" w:tplc="04020005" w:tentative="1">
      <w:start w:val="1"/>
      <w:numFmt w:val="bullet"/>
      <w:lvlText w:val=""/>
      <w:lvlJc w:val="left"/>
      <w:pPr>
        <w:ind w:left="2157" w:hanging="360"/>
      </w:pPr>
      <w:rPr>
        <w:rFonts w:ascii="Wingdings" w:hAnsi="Wingdings" w:hint="default"/>
      </w:rPr>
    </w:lvl>
    <w:lvl w:ilvl="3" w:tplc="04020001" w:tentative="1">
      <w:start w:val="1"/>
      <w:numFmt w:val="bullet"/>
      <w:lvlText w:val=""/>
      <w:lvlJc w:val="left"/>
      <w:pPr>
        <w:ind w:left="2877" w:hanging="360"/>
      </w:pPr>
      <w:rPr>
        <w:rFonts w:ascii="Symbol" w:hAnsi="Symbol" w:hint="default"/>
      </w:rPr>
    </w:lvl>
    <w:lvl w:ilvl="4" w:tplc="04020003" w:tentative="1">
      <w:start w:val="1"/>
      <w:numFmt w:val="bullet"/>
      <w:lvlText w:val="o"/>
      <w:lvlJc w:val="left"/>
      <w:pPr>
        <w:ind w:left="3597" w:hanging="360"/>
      </w:pPr>
      <w:rPr>
        <w:rFonts w:ascii="Courier New" w:hAnsi="Courier New" w:cs="Courier New" w:hint="default"/>
      </w:rPr>
    </w:lvl>
    <w:lvl w:ilvl="5" w:tplc="04020005" w:tentative="1">
      <w:start w:val="1"/>
      <w:numFmt w:val="bullet"/>
      <w:lvlText w:val=""/>
      <w:lvlJc w:val="left"/>
      <w:pPr>
        <w:ind w:left="4317" w:hanging="360"/>
      </w:pPr>
      <w:rPr>
        <w:rFonts w:ascii="Wingdings" w:hAnsi="Wingdings" w:hint="default"/>
      </w:rPr>
    </w:lvl>
    <w:lvl w:ilvl="6" w:tplc="04020001" w:tentative="1">
      <w:start w:val="1"/>
      <w:numFmt w:val="bullet"/>
      <w:lvlText w:val=""/>
      <w:lvlJc w:val="left"/>
      <w:pPr>
        <w:ind w:left="5037" w:hanging="360"/>
      </w:pPr>
      <w:rPr>
        <w:rFonts w:ascii="Symbol" w:hAnsi="Symbol" w:hint="default"/>
      </w:rPr>
    </w:lvl>
    <w:lvl w:ilvl="7" w:tplc="04020003" w:tentative="1">
      <w:start w:val="1"/>
      <w:numFmt w:val="bullet"/>
      <w:lvlText w:val="o"/>
      <w:lvlJc w:val="left"/>
      <w:pPr>
        <w:ind w:left="5757" w:hanging="360"/>
      </w:pPr>
      <w:rPr>
        <w:rFonts w:ascii="Courier New" w:hAnsi="Courier New" w:cs="Courier New" w:hint="default"/>
      </w:rPr>
    </w:lvl>
    <w:lvl w:ilvl="8" w:tplc="04020005" w:tentative="1">
      <w:start w:val="1"/>
      <w:numFmt w:val="bullet"/>
      <w:lvlText w:val=""/>
      <w:lvlJc w:val="left"/>
      <w:pPr>
        <w:ind w:left="6477" w:hanging="360"/>
      </w:pPr>
      <w:rPr>
        <w:rFonts w:ascii="Wingdings" w:hAnsi="Wingdings" w:hint="default"/>
      </w:rPr>
    </w:lvl>
  </w:abstractNum>
  <w:abstractNum w:abstractNumId="13" w15:restartNumberingAfterBreak="0">
    <w:nsid w:val="79E2225D"/>
    <w:multiLevelType w:val="hybridMultilevel"/>
    <w:tmpl w:val="1CAE8F94"/>
    <w:lvl w:ilvl="0" w:tplc="04020001">
      <w:start w:val="1"/>
      <w:numFmt w:val="bullet"/>
      <w:lvlText w:val=""/>
      <w:lvlJc w:val="left"/>
      <w:pPr>
        <w:ind w:left="825" w:hanging="465"/>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10"/>
  </w:num>
  <w:num w:numId="5">
    <w:abstractNumId w:val="5"/>
  </w:num>
  <w:num w:numId="6">
    <w:abstractNumId w:val="9"/>
  </w:num>
  <w:num w:numId="7">
    <w:abstractNumId w:val="11"/>
  </w:num>
  <w:num w:numId="8">
    <w:abstractNumId w:val="7"/>
  </w:num>
  <w:num w:numId="9">
    <w:abstractNumId w:val="11"/>
  </w:num>
  <w:num w:numId="10">
    <w:abstractNumId w:val="3"/>
  </w:num>
  <w:num w:numId="11">
    <w:abstractNumId w:val="11"/>
    <w:lvlOverride w:ilvl="0">
      <w:startOverride w:val="1"/>
    </w:lvlOverride>
  </w:num>
  <w:num w:numId="12">
    <w:abstractNumId w:val="4"/>
  </w:num>
  <w:num w:numId="13">
    <w:abstractNumId w:val="13"/>
  </w:num>
  <w:num w:numId="14">
    <w:abstractNumId w:val="1"/>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grammar="clean"/>
  <w:attachedTemplate r:id="rId1"/>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74"/>
    <w:rsid w:val="0000067D"/>
    <w:rsid w:val="00003846"/>
    <w:rsid w:val="0007425A"/>
    <w:rsid w:val="0013112A"/>
    <w:rsid w:val="00190CC7"/>
    <w:rsid w:val="002F1345"/>
    <w:rsid w:val="0033019D"/>
    <w:rsid w:val="0037267D"/>
    <w:rsid w:val="00393F9E"/>
    <w:rsid w:val="00403F40"/>
    <w:rsid w:val="00464AE3"/>
    <w:rsid w:val="004E3489"/>
    <w:rsid w:val="00512481"/>
    <w:rsid w:val="00530CE9"/>
    <w:rsid w:val="0056699F"/>
    <w:rsid w:val="006161C2"/>
    <w:rsid w:val="00631672"/>
    <w:rsid w:val="0067521C"/>
    <w:rsid w:val="00726EDB"/>
    <w:rsid w:val="00791773"/>
    <w:rsid w:val="00831EF1"/>
    <w:rsid w:val="00894A20"/>
    <w:rsid w:val="00922CBD"/>
    <w:rsid w:val="00A46EA1"/>
    <w:rsid w:val="00B05D6E"/>
    <w:rsid w:val="00B72843"/>
    <w:rsid w:val="00C97D11"/>
    <w:rsid w:val="00CE69AC"/>
    <w:rsid w:val="00CF5C91"/>
    <w:rsid w:val="00D82BC9"/>
    <w:rsid w:val="00DA49DA"/>
    <w:rsid w:val="00E17E12"/>
    <w:rsid w:val="00E22F85"/>
    <w:rsid w:val="00E746E2"/>
    <w:rsid w:val="00F07FC3"/>
    <w:rsid w:val="00F24CA1"/>
    <w:rsid w:val="00F44C1C"/>
    <w:rsid w:val="00F86FA7"/>
    <w:rsid w:val="00FC42DF"/>
    <w:rsid w:val="00FF107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6BE2F3"/>
  <w15:chartTrackingRefBased/>
  <w15:docId w15:val="{5943B5BB-8833-469E-8BA6-5337D3B79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357"/>
      <w:jc w:val="both"/>
    </w:pPr>
    <w:rPr>
      <w:szCs w:val="24"/>
      <w:lang w:val="en-US" w:eastAsia="ja-JP"/>
    </w:rPr>
  </w:style>
  <w:style w:type="paragraph" w:styleId="Heading1">
    <w:name w:val="heading 1"/>
    <w:basedOn w:val="Normal"/>
    <w:next w:val="NoindentNormal"/>
    <w:link w:val="Heading1Char"/>
    <w:qFormat/>
    <w:pPr>
      <w:keepNext/>
      <w:keepLines/>
      <w:numPr>
        <w:numId w:val="4"/>
      </w:numPr>
      <w:suppressAutoHyphens/>
      <w:spacing w:before="480" w:after="240"/>
      <w:jc w:val="left"/>
      <w:outlineLvl w:val="0"/>
    </w:pPr>
    <w:rPr>
      <w:rFonts w:cs="Arial"/>
      <w:b/>
      <w:bCs/>
      <w:kern w:val="32"/>
      <w:szCs w:val="32"/>
    </w:rPr>
  </w:style>
  <w:style w:type="paragraph" w:styleId="Heading2">
    <w:name w:val="heading 2"/>
    <w:basedOn w:val="Normal"/>
    <w:next w:val="NoindentNormal"/>
    <w:qFormat/>
    <w:pPr>
      <w:keepNext/>
      <w:keepLines/>
      <w:numPr>
        <w:ilvl w:val="1"/>
        <w:numId w:val="4"/>
      </w:numPr>
      <w:suppressAutoHyphens/>
      <w:spacing w:before="240" w:after="240"/>
      <w:jc w:val="left"/>
      <w:outlineLvl w:val="1"/>
    </w:pPr>
    <w:rPr>
      <w:rFonts w:cs="Arial"/>
      <w:bCs/>
      <w:i/>
      <w:iCs/>
      <w:szCs w:val="28"/>
    </w:rPr>
  </w:style>
  <w:style w:type="paragraph" w:styleId="Heading3">
    <w:name w:val="heading 3"/>
    <w:basedOn w:val="Normal"/>
    <w:next w:val="NoindentNormal"/>
    <w:qFormat/>
    <w:pPr>
      <w:keepNext/>
      <w:keepLines/>
      <w:numPr>
        <w:ilvl w:val="2"/>
        <w:numId w:val="4"/>
      </w:numPr>
      <w:suppressAutoHyphens/>
      <w:spacing w:before="240" w:after="120"/>
      <w:jc w:val="left"/>
      <w:outlineLvl w:val="2"/>
    </w:pPr>
    <w:rPr>
      <w:rFonts w:cs="Arial"/>
      <w:bCs/>
      <w:i/>
      <w:szCs w:val="26"/>
    </w:rPr>
  </w:style>
  <w:style w:type="paragraph" w:styleId="Heading4">
    <w:name w:val="heading 4"/>
    <w:basedOn w:val="Normal"/>
    <w:next w:val="NoindentNormal"/>
    <w:qFormat/>
    <w:pPr>
      <w:keepNext/>
      <w:numPr>
        <w:ilvl w:val="3"/>
        <w:numId w:val="4"/>
      </w:numPr>
      <w:suppressAutoHyphens/>
      <w:spacing w:before="120"/>
      <w:jc w:val="left"/>
      <w:outlineLvl w:val="3"/>
    </w:pPr>
    <w:rPr>
      <w:bCs/>
      <w:i/>
      <w:szCs w:val="28"/>
    </w:rPr>
  </w:style>
  <w:style w:type="paragraph" w:styleId="Heading5">
    <w:name w:val="heading 5"/>
    <w:basedOn w:val="Normal"/>
    <w:next w:val="NoindentNormal"/>
    <w:qFormat/>
    <w:pPr>
      <w:numPr>
        <w:ilvl w:val="4"/>
        <w:numId w:val="4"/>
      </w:numPr>
      <w:jc w:val="left"/>
      <w:outlineLvl w:val="4"/>
    </w:pPr>
    <w:rPr>
      <w:bCs/>
      <w:i/>
      <w:iCs/>
      <w:szCs w:val="26"/>
    </w:rPr>
  </w:style>
  <w:style w:type="paragraph" w:styleId="Heading6">
    <w:name w:val="heading 6"/>
    <w:basedOn w:val="Normal"/>
    <w:next w:val="Normal"/>
    <w:qFormat/>
    <w:pPr>
      <w:numPr>
        <w:ilvl w:val="5"/>
        <w:numId w:val="4"/>
      </w:numPr>
      <w:spacing w:before="240"/>
      <w:outlineLvl w:val="5"/>
    </w:pPr>
    <w:rPr>
      <w:bCs/>
      <w:szCs w:val="22"/>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iCs/>
      <w:sz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Normal">
    <w:name w:val="NoindentNormal"/>
    <w:basedOn w:val="Normal"/>
    <w:next w:val="Normal"/>
    <w:pPr>
      <w:ind w:firstLine="0"/>
    </w:pPr>
  </w:style>
  <w:style w:type="paragraph" w:customStyle="1" w:styleId="Quote1">
    <w:name w:val="Quote1"/>
    <w:basedOn w:val="Normal"/>
    <w:pPr>
      <w:ind w:left="204"/>
    </w:pPr>
    <w:rPr>
      <w:sz w:val="18"/>
    </w:rPr>
  </w:style>
  <w:style w:type="paragraph" w:customStyle="1" w:styleId="Abstract">
    <w:name w:val="Abstract"/>
    <w:basedOn w:val="Normal"/>
    <w:pPr>
      <w:adjustRightInd w:val="0"/>
      <w:snapToGrid w:val="0"/>
      <w:spacing w:before="480"/>
      <w:ind w:left="851" w:right="851" w:firstLine="0"/>
    </w:pPr>
    <w:rPr>
      <w:sz w:val="16"/>
    </w:rPr>
  </w:style>
  <w:style w:type="paragraph" w:customStyle="1" w:styleId="Affiliation">
    <w:name w:val="Affiliation"/>
    <w:basedOn w:val="Normal"/>
    <w:pPr>
      <w:ind w:firstLine="0"/>
      <w:jc w:val="center"/>
    </w:pPr>
    <w:rPr>
      <w:i/>
    </w:rPr>
  </w:style>
  <w:style w:type="paragraph" w:customStyle="1" w:styleId="Equation">
    <w:name w:val="Equation"/>
    <w:basedOn w:val="Normal"/>
    <w:pPr>
      <w:tabs>
        <w:tab w:val="left" w:pos="6781"/>
      </w:tabs>
      <w:spacing w:before="240" w:after="240"/>
      <w:ind w:left="454" w:firstLine="0"/>
      <w:jc w:val="left"/>
    </w:pPr>
  </w:style>
  <w:style w:type="paragraph" w:customStyle="1" w:styleId="Footnote">
    <w:name w:val="Footnote"/>
    <w:basedOn w:val="Normal"/>
    <w:pPr>
      <w:ind w:firstLine="136"/>
    </w:pPr>
    <w:rPr>
      <w:sz w:val="16"/>
    </w:rPr>
  </w:style>
  <w:style w:type="paragraph" w:customStyle="1" w:styleId="LISTalph">
    <w:name w:val="LISTalph"/>
    <w:basedOn w:val="Normal"/>
    <w:pPr>
      <w:numPr>
        <w:numId w:val="1"/>
      </w:numPr>
      <w:tabs>
        <w:tab w:val="left" w:pos="499"/>
      </w:tabs>
    </w:pPr>
  </w:style>
  <w:style w:type="paragraph" w:customStyle="1" w:styleId="LISTdash">
    <w:name w:val="LISTdash"/>
    <w:basedOn w:val="Normal"/>
    <w:pPr>
      <w:numPr>
        <w:numId w:val="2"/>
      </w:numPr>
      <w:tabs>
        <w:tab w:val="left" w:pos="454"/>
      </w:tabs>
      <w:adjustRightInd w:val="0"/>
      <w:snapToGrid w:val="0"/>
    </w:pPr>
  </w:style>
  <w:style w:type="paragraph" w:customStyle="1" w:styleId="LISTnum">
    <w:name w:val="LISTnum"/>
    <w:basedOn w:val="Normal"/>
    <w:pPr>
      <w:numPr>
        <w:numId w:val="6"/>
      </w:numPr>
      <w:adjustRightInd w:val="0"/>
      <w:snapToGrid w:val="0"/>
      <w:ind w:left="714" w:hanging="357"/>
    </w:pPr>
  </w:style>
  <w:style w:type="paragraph" w:customStyle="1" w:styleId="References">
    <w:name w:val="References"/>
    <w:basedOn w:val="Normal"/>
    <w:pPr>
      <w:numPr>
        <w:numId w:val="9"/>
      </w:numPr>
      <w:tabs>
        <w:tab w:val="left" w:pos="85"/>
      </w:tabs>
    </w:pPr>
    <w:rPr>
      <w:sz w:val="16"/>
    </w:rPr>
  </w:style>
  <w:style w:type="paragraph" w:customStyle="1" w:styleId="Table">
    <w:name w:val="Table"/>
    <w:basedOn w:val="Normal"/>
    <w:pPr>
      <w:spacing w:before="60" w:after="60"/>
      <w:ind w:firstLine="0"/>
      <w:jc w:val="left"/>
    </w:pPr>
    <w:rPr>
      <w:sz w:val="16"/>
    </w:rPr>
  </w:style>
  <w:style w:type="paragraph" w:styleId="Title">
    <w:name w:val="Title"/>
    <w:basedOn w:val="Normal"/>
    <w:next w:val="Normal"/>
    <w:qFormat/>
    <w:pPr>
      <w:spacing w:before="480" w:after="320"/>
      <w:ind w:firstLine="0"/>
      <w:jc w:val="center"/>
    </w:pPr>
    <w:rPr>
      <w:noProof/>
      <w:kern w:val="28"/>
      <w:sz w:val="40"/>
    </w:rPr>
  </w:style>
  <w:style w:type="paragraph" w:customStyle="1" w:styleId="Author">
    <w:name w:val="Author"/>
    <w:basedOn w:val="Normal"/>
    <w:pPr>
      <w:ind w:firstLine="0"/>
      <w:jc w:val="center"/>
    </w:pPr>
  </w:style>
  <w:style w:type="paragraph" w:styleId="Caption">
    <w:name w:val="caption"/>
    <w:basedOn w:val="Normal"/>
    <w:next w:val="Normal"/>
    <w:qFormat/>
    <w:pPr>
      <w:spacing w:before="80" w:after="80"/>
      <w:ind w:firstLine="0"/>
    </w:pPr>
    <w:rPr>
      <w:sz w:val="16"/>
    </w:rPr>
  </w:style>
  <w:style w:type="paragraph" w:customStyle="1" w:styleId="LISTDescription">
    <w:name w:val="LISTDescription"/>
    <w:basedOn w:val="Normal"/>
    <w:pPr>
      <w:ind w:left="454" w:hanging="454"/>
    </w:pPr>
  </w:style>
  <w:style w:type="paragraph" w:customStyle="1" w:styleId="Notes">
    <w:name w:val="Notes"/>
    <w:basedOn w:val="Normal"/>
    <w:rPr>
      <w:sz w:val="16"/>
    </w:rPr>
  </w:style>
  <w:style w:type="paragraph" w:styleId="BodyText">
    <w:name w:val="Body Text"/>
    <w:basedOn w:val="Normal"/>
    <w:semiHidden/>
    <w:pPr>
      <w:spacing w:after="120"/>
    </w:pPr>
  </w:style>
  <w:style w:type="paragraph" w:customStyle="1" w:styleId="CaptionLong">
    <w:name w:val="CaptionLong"/>
    <w:basedOn w:val="Normal"/>
    <w:pPr>
      <w:spacing w:before="80" w:after="80"/>
      <w:ind w:firstLine="0"/>
    </w:pPr>
    <w:rPr>
      <w:sz w:val="16"/>
    </w:rPr>
  </w:style>
  <w:style w:type="paragraph" w:customStyle="1" w:styleId="HeadingUnn1">
    <w:name w:val="HeadingUnn1"/>
    <w:basedOn w:val="Heading1"/>
    <w:next w:val="NoindentNormal"/>
    <w:pPr>
      <w:numPr>
        <w:numId w:val="0"/>
      </w:numPr>
    </w:pPr>
    <w:rPr>
      <w:bCs w:val="0"/>
    </w:rPr>
  </w:style>
  <w:style w:type="paragraph" w:customStyle="1" w:styleId="HeadingUnn2">
    <w:name w:val="HeadingUnn2"/>
    <w:basedOn w:val="Heading2"/>
    <w:next w:val="NoindentNormal"/>
    <w:pPr>
      <w:numPr>
        <w:ilvl w:val="0"/>
        <w:numId w:val="0"/>
      </w:numPr>
    </w:pPr>
  </w:style>
  <w:style w:type="paragraph" w:customStyle="1" w:styleId="HeadingUnn3">
    <w:name w:val="HeadingUnn3"/>
    <w:basedOn w:val="Heading3"/>
    <w:next w:val="NoindentNormal"/>
    <w:pPr>
      <w:numPr>
        <w:ilvl w:val="0"/>
        <w:numId w:val="0"/>
      </w:numPr>
    </w:pPr>
  </w:style>
  <w:style w:type="paragraph" w:customStyle="1" w:styleId="HeadingUnn4">
    <w:name w:val="HeadingUnn4"/>
    <w:basedOn w:val="Heading4"/>
    <w:next w:val="NoindentNormal"/>
    <w:pPr>
      <w:numPr>
        <w:ilvl w:val="0"/>
        <w:numId w:val="0"/>
      </w:numPr>
    </w:pPr>
  </w:style>
  <w:style w:type="paragraph" w:customStyle="1" w:styleId="HeadingUnn5">
    <w:name w:val="HeadingUnn5"/>
    <w:basedOn w:val="Heading5"/>
    <w:next w:val="Normal"/>
    <w:pPr>
      <w:numPr>
        <w:ilvl w:val="0"/>
        <w:numId w:val="0"/>
      </w:numPr>
      <w:spacing w:before="120"/>
    </w:pPr>
  </w:style>
  <w:style w:type="paragraph" w:styleId="ListNumber">
    <w:name w:val="List Number"/>
    <w:basedOn w:val="Normal"/>
    <w:semiHidden/>
    <w:pPr>
      <w:numPr>
        <w:numId w:val="3"/>
      </w:numPr>
    </w:pPr>
  </w:style>
  <w:style w:type="paragraph" w:customStyle="1" w:styleId="CaptionShort">
    <w:name w:val="CaptionShort"/>
    <w:basedOn w:val="Normal"/>
    <w:pPr>
      <w:spacing w:before="80" w:after="80"/>
      <w:ind w:firstLine="0"/>
      <w:jc w:val="center"/>
    </w:pPr>
    <w:rPr>
      <w:sz w:val="16"/>
    </w:rPr>
  </w:style>
  <w:style w:type="paragraph" w:customStyle="1" w:styleId="Listbul">
    <w:name w:val="Listbul"/>
    <w:basedOn w:val="Normal"/>
    <w:pPr>
      <w:numPr>
        <w:numId w:val="5"/>
      </w:numPr>
    </w:pPr>
  </w:style>
  <w:style w:type="paragraph" w:customStyle="1" w:styleId="Keywords">
    <w:name w:val="Keywords"/>
    <w:basedOn w:val="Abstract"/>
    <w:next w:val="Heading1"/>
    <w:pPr>
      <w:spacing w:before="240" w:after="240"/>
    </w:p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character" w:styleId="PlaceholderText">
    <w:name w:val="Placeholder Text"/>
    <w:basedOn w:val="DefaultParagraphFont"/>
    <w:uiPriority w:val="99"/>
    <w:semiHidden/>
    <w:rsid w:val="00726EDB"/>
    <w:rPr>
      <w:color w:val="808080"/>
    </w:rPr>
  </w:style>
  <w:style w:type="paragraph" w:styleId="ListParagraph">
    <w:name w:val="List Paragraph"/>
    <w:basedOn w:val="Normal"/>
    <w:uiPriority w:val="34"/>
    <w:qFormat/>
    <w:rsid w:val="0033019D"/>
    <w:pPr>
      <w:ind w:left="720"/>
      <w:contextualSpacing/>
    </w:pPr>
  </w:style>
  <w:style w:type="character" w:customStyle="1" w:styleId="Heading1Char">
    <w:name w:val="Heading 1 Char"/>
    <w:basedOn w:val="DefaultParagraphFont"/>
    <w:link w:val="Heading1"/>
    <w:rsid w:val="00F24CA1"/>
    <w:rPr>
      <w:rFonts w:cs="Arial"/>
      <w:b/>
      <w:bCs/>
      <w:kern w:val="32"/>
      <w:szCs w:val="32"/>
      <w:lang w:val="en-US" w:eastAsia="ja-JP"/>
    </w:rPr>
  </w:style>
  <w:style w:type="character" w:styleId="Hyperlink">
    <w:name w:val="Hyperlink"/>
    <w:basedOn w:val="DefaultParagraphFont"/>
    <w:uiPriority w:val="99"/>
    <w:unhideWhenUsed/>
    <w:rsid w:val="005669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bsen.oceanica.ufrj.br/%20arq_publicacoes/improving-ship-fleet-performance-using-a-non-parametric-mode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icct.org/sites/%20default/files/publications/ICCTpolicyupdate15_EEDI_final.pdf" TargetMode="External"/><Relationship Id="rId5" Type="http://schemas.openxmlformats.org/officeDocument/2006/relationships/webSettings" Target="webSettings.xml"/><Relationship Id="rId10" Type="http://schemas.openxmlformats.org/officeDocument/2006/relationships/hyperlink" Target="https://www.academia.edu/3217290/Extending_%20the_Energy_Efficiency_Design_Index_to_Handle_Non-Transport_Vessels" TargetMode="External"/><Relationship Id="rId4" Type="http://schemas.openxmlformats.org/officeDocument/2006/relationships/settings" Target="settings.xml"/><Relationship Id="rId9" Type="http://schemas.openxmlformats.org/officeDocument/2006/relationships/hyperlink" Target="https://www.classnk.or.jp/hp/%20pdf/activities/statutory/eedi/mepc_1-circ_684.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Publikacii\Napredyk\Publications\2018\NAV%202018-Energy%20Effic\NAV%202018_Authors%20Instructions\IOSPressBookArticleWordTemplate%20with%20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7C1A7-A199-4703-8061-493170488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IOSPressBookArticleWordTemplate with Text</Template>
  <TotalTime>664</TotalTime>
  <Pages>6</Pages>
  <Words>2305</Words>
  <Characters>13143</Characters>
  <Application>Microsoft Office Word</Application>
  <DocSecurity>0</DocSecurity>
  <Lines>109</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vt:lpstr>
      <vt:lpstr>1</vt:lpstr>
    </vt:vector>
  </TitlesOfParts>
  <Company>VTEX</Company>
  <LinksUpToDate>false</LinksUpToDate>
  <CharactersWithSpaces>15418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user</dc:creator>
  <cp:keywords/>
  <cp:lastModifiedBy>user</cp:lastModifiedBy>
  <cp:revision>18</cp:revision>
  <cp:lastPrinted>2008-10-24T07:15:00Z</cp:lastPrinted>
  <dcterms:created xsi:type="dcterms:W3CDTF">2018-03-12T20:00:00Z</dcterms:created>
  <dcterms:modified xsi:type="dcterms:W3CDTF">2018-03-17T14:29:00Z</dcterms:modified>
</cp:coreProperties>
</file>