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6E" w:rsidRPr="00626435" w:rsidRDefault="008F58F6" w:rsidP="00C85AD3">
      <w:pPr>
        <w:pStyle w:val="Titolo"/>
      </w:pPr>
      <w:r w:rsidRPr="00626435">
        <w:t>Analysis of the Influence of Pressure Field on Accuracy for Onboard Stability Codes</w:t>
      </w:r>
    </w:p>
    <w:p w:rsidR="00B05D6E" w:rsidRPr="00626435" w:rsidRDefault="00C85AD3">
      <w:pPr>
        <w:pStyle w:val="Author"/>
        <w:rPr>
          <w:lang w:val="it-IT"/>
        </w:rPr>
      </w:pPr>
      <w:r w:rsidRPr="00626435">
        <w:rPr>
          <w:lang w:val="it-IT"/>
        </w:rPr>
        <w:t xml:space="preserve">Luca </w:t>
      </w:r>
      <w:proofErr w:type="spellStart"/>
      <w:r w:rsidRPr="00626435">
        <w:rPr>
          <w:lang w:val="it-IT"/>
        </w:rPr>
        <w:t>BRAIDOTTI</w:t>
      </w:r>
      <w:r w:rsidRPr="00626435">
        <w:rPr>
          <w:vertAlign w:val="superscript"/>
          <w:lang w:val="it-IT"/>
        </w:rPr>
        <w:t>a</w:t>
      </w:r>
      <w:r w:rsidR="0091174B">
        <w:rPr>
          <w:vertAlign w:val="superscript"/>
          <w:lang w:val="it-IT"/>
        </w:rPr>
        <w:t>,b</w:t>
      </w:r>
      <w:proofErr w:type="spellEnd"/>
      <w:r w:rsidR="00045C2F" w:rsidRPr="00626435">
        <w:rPr>
          <w:vertAlign w:val="superscript"/>
          <w:lang w:val="it-IT"/>
        </w:rPr>
        <w:t>,</w:t>
      </w:r>
      <w:r w:rsidR="00045C2F" w:rsidRPr="00626435">
        <w:rPr>
          <w:rStyle w:val="Rimandonotaapidipagina"/>
        </w:rPr>
        <w:footnoteReference w:id="1"/>
      </w:r>
      <w:r w:rsidRPr="00626435">
        <w:rPr>
          <w:lang w:val="it-IT"/>
        </w:rPr>
        <w:t>, Giorgio TRINCAS</w:t>
      </w:r>
      <w:r w:rsidRPr="00626435">
        <w:rPr>
          <w:vertAlign w:val="superscript"/>
          <w:lang w:val="it-IT"/>
        </w:rPr>
        <w:t xml:space="preserve"> </w:t>
      </w:r>
      <w:r w:rsidR="008F58F6" w:rsidRPr="00626435">
        <w:rPr>
          <w:vertAlign w:val="superscript"/>
          <w:lang w:val="it-IT"/>
        </w:rPr>
        <w:t>a</w:t>
      </w:r>
      <w:r w:rsidR="008F58F6" w:rsidRPr="00626435">
        <w:rPr>
          <w:lang w:val="it-IT"/>
        </w:rPr>
        <w:t>,</w:t>
      </w:r>
      <w:r w:rsidR="0085569F" w:rsidRPr="00626435">
        <w:rPr>
          <w:lang w:val="it-IT"/>
        </w:rPr>
        <w:br/>
        <w:t xml:space="preserve">and </w:t>
      </w:r>
      <w:r w:rsidRPr="00626435">
        <w:rPr>
          <w:lang w:val="it-IT"/>
        </w:rPr>
        <w:t xml:space="preserve">Vittorio </w:t>
      </w:r>
      <w:proofErr w:type="spellStart"/>
      <w:r w:rsidRPr="00626435">
        <w:rPr>
          <w:lang w:val="it-IT"/>
        </w:rPr>
        <w:t>BUCCI</w:t>
      </w:r>
      <w:r w:rsidR="008F58F6" w:rsidRPr="00626435">
        <w:rPr>
          <w:vertAlign w:val="superscript"/>
          <w:lang w:val="it-IT"/>
        </w:rPr>
        <w:t>a</w:t>
      </w:r>
      <w:proofErr w:type="spellEnd"/>
      <w:r w:rsidR="00B05D6E" w:rsidRPr="00626435">
        <w:rPr>
          <w:sz w:val="8"/>
          <w:szCs w:val="8"/>
          <w:lang w:val="it-IT"/>
        </w:rPr>
        <w:t xml:space="preserve"> </w:t>
      </w:r>
    </w:p>
    <w:p w:rsidR="00B05D6E" w:rsidRDefault="00B05D6E">
      <w:pPr>
        <w:pStyle w:val="Affiliation"/>
      </w:pPr>
      <w:r w:rsidRPr="00626435">
        <w:rPr>
          <w:i w:val="0"/>
          <w:vertAlign w:val="superscript"/>
        </w:rPr>
        <w:t>a</w:t>
      </w:r>
      <w:r w:rsidRPr="00626435">
        <w:rPr>
          <w:sz w:val="8"/>
          <w:szCs w:val="8"/>
        </w:rPr>
        <w:t xml:space="preserve"> </w:t>
      </w:r>
      <w:r w:rsidR="00C85AD3" w:rsidRPr="00626435">
        <w:t>Department of Engineering and Architecture, University of Trieste, Italy</w:t>
      </w:r>
    </w:p>
    <w:p w:rsidR="0091174B" w:rsidRDefault="0091174B" w:rsidP="0091174B">
      <w:pPr>
        <w:pStyle w:val="Affiliation"/>
      </w:pPr>
      <w:r>
        <w:rPr>
          <w:i w:val="0"/>
          <w:vertAlign w:val="superscript"/>
        </w:rPr>
        <w:t>b</w:t>
      </w:r>
      <w:r w:rsidRPr="00626435">
        <w:rPr>
          <w:sz w:val="8"/>
          <w:szCs w:val="8"/>
        </w:rPr>
        <w:t xml:space="preserve"> </w:t>
      </w:r>
      <w:r>
        <w:t>Faculty</w:t>
      </w:r>
      <w:r w:rsidRPr="00626435">
        <w:t xml:space="preserve"> of Engineering, University of </w:t>
      </w:r>
      <w:r>
        <w:t>Rijeka</w:t>
      </w:r>
      <w:r w:rsidRPr="00626435">
        <w:t xml:space="preserve">, </w:t>
      </w:r>
      <w:r>
        <w:t>Croatia</w:t>
      </w:r>
    </w:p>
    <w:p w:rsidR="00B05D6E" w:rsidRPr="00626435" w:rsidRDefault="00B05D6E" w:rsidP="00C85AD3">
      <w:pPr>
        <w:pStyle w:val="Abstract"/>
      </w:pPr>
      <w:r w:rsidRPr="00626435">
        <w:rPr>
          <w:b/>
        </w:rPr>
        <w:t>Abstract.</w:t>
      </w:r>
      <w:r w:rsidRPr="00626435">
        <w:t xml:space="preserve"> </w:t>
      </w:r>
      <w:r w:rsidR="0052288C" w:rsidRPr="00626435">
        <w:t>Over last decades, due attention was paid to development of new stability criteria, especially probabilistic rules for damage stability, strongly influenced by the loss of many ro-ro ships in last decades of past century. In the last years, also a revision of intact stability code started and proposals have been implemented introducing stability in waves. These proposals deal with the equilibrium of a ship in regular waves to evaluate initial stability (GM) as well as righting arm curve in waves (GZ). This paper is not intended to critically review the present and proposed initial stability code, but is limited to assess how expected behavior of intact ships in waves is affected by accuracy in computer programs for assessing actual hydrostatic properties. An updated computer code, designed for onboard application and based on 3D pressure integral, has been developed and tested for a ro-ro ship. Then a comparison between hydrostatic and Airy effective waves has been carried out to analyze the relevance of differences between the two correspondent pressure fields affecting the equilibrium position and hydrostatic properties</w:t>
      </w:r>
      <w:r w:rsidR="0098773B" w:rsidRPr="00626435">
        <w:t xml:space="preserve"> of the ship</w:t>
      </w:r>
      <w:r w:rsidR="0052288C" w:rsidRPr="00626435">
        <w:t>. It is demonstrated that these differences appear relevant beginning from sea state 4.</w:t>
      </w:r>
    </w:p>
    <w:p w:rsidR="00B05D6E" w:rsidRPr="00626435" w:rsidRDefault="00B05D6E">
      <w:pPr>
        <w:pStyle w:val="Keywords"/>
      </w:pPr>
      <w:r w:rsidRPr="00626435">
        <w:rPr>
          <w:b/>
        </w:rPr>
        <w:t>Keywords.</w:t>
      </w:r>
      <w:r w:rsidRPr="00626435">
        <w:t xml:space="preserve"> </w:t>
      </w:r>
      <w:r w:rsidR="00B60140" w:rsidRPr="00626435">
        <w:t xml:space="preserve">Accuracy Analysis, Loading Computer System, </w:t>
      </w:r>
      <w:r w:rsidR="00C85AD3" w:rsidRPr="00626435">
        <w:t>Pressure Integration</w:t>
      </w:r>
      <w:r w:rsidRPr="00626435">
        <w:t xml:space="preserve">, </w:t>
      </w:r>
      <w:r w:rsidR="00C85AD3" w:rsidRPr="00626435">
        <w:t>Airy Wave</w:t>
      </w:r>
      <w:r w:rsidR="00B60140" w:rsidRPr="00626435">
        <w:t xml:space="preserve"> Theory</w:t>
      </w:r>
      <w:r w:rsidR="00C85AD3" w:rsidRPr="00626435">
        <w:t>, Ro-ro ship.</w:t>
      </w:r>
    </w:p>
    <w:p w:rsidR="00B05D6E" w:rsidRPr="00626435" w:rsidRDefault="00B05D6E" w:rsidP="004F41D7">
      <w:pPr>
        <w:pStyle w:val="Titolo1"/>
      </w:pPr>
      <w:r w:rsidRPr="00626435">
        <w:t>Introduction</w:t>
      </w:r>
    </w:p>
    <w:p w:rsidR="00C85AD3" w:rsidRPr="00626435" w:rsidRDefault="00C85AD3" w:rsidP="00EB23B6">
      <w:pPr>
        <w:ind w:firstLine="0"/>
      </w:pPr>
      <w:r w:rsidRPr="00626435">
        <w:t xml:space="preserve">Nowadays, second generation of intact stability criteria is under finalization by IMO [1], aimed at introducing rules devoted to reduce the probability of occurrence of parametric rolling, pure loss of stability and surf-riding/broaching. </w:t>
      </w:r>
      <w:r w:rsidR="00AC574F" w:rsidRPr="00626435">
        <w:t>After coming into force, t</w:t>
      </w:r>
      <w:r w:rsidRPr="00626435">
        <w:t xml:space="preserve">he second generation criteria </w:t>
      </w:r>
      <w:r w:rsidR="00352ABD" w:rsidRPr="00626435">
        <w:t xml:space="preserve">will be added to </w:t>
      </w:r>
      <w:r w:rsidR="00AC574F" w:rsidRPr="00626435">
        <w:t>loading computer systems (LCSs),</w:t>
      </w:r>
      <w:r w:rsidR="00352ABD" w:rsidRPr="00626435">
        <w:t xml:space="preserve"> which are</w:t>
      </w:r>
      <w:r w:rsidRPr="00626435">
        <w:t xml:space="preserve"> based on the evaluation of </w:t>
      </w:r>
      <w:r w:rsidR="00DE2153" w:rsidRPr="00626435">
        <w:t>geo-mechanic</w:t>
      </w:r>
      <w:r w:rsidRPr="00626435">
        <w:t xml:space="preserve"> properties (especially </w:t>
      </w:r>
      <w:r w:rsidR="0091174B" w:rsidRPr="0091174B">
        <w:rPr>
          <w:i/>
        </w:rPr>
        <w:t>GM</w:t>
      </w:r>
      <w:r w:rsidR="0091174B" w:rsidRPr="0091174B">
        <w:t>),</w:t>
      </w:r>
      <w:r w:rsidRPr="0091174B">
        <w:t xml:space="preserve"> </w:t>
      </w:r>
      <w:r w:rsidRPr="00626435">
        <w:t>equilibrium position as well as the righting arm curve.</w:t>
      </w:r>
      <w:r w:rsidR="00352ABD" w:rsidRPr="00626435">
        <w:t xml:space="preserve"> In order to check the compliance with new criteria, the stability codes </w:t>
      </w:r>
      <w:r w:rsidR="00DE2153" w:rsidRPr="00626435">
        <w:t>shall p</w:t>
      </w:r>
      <w:r w:rsidR="00352ABD" w:rsidRPr="00626435">
        <w:t xml:space="preserve">erform such </w:t>
      </w:r>
      <w:r w:rsidR="00352ABD" w:rsidRPr="00626435">
        <w:rPr>
          <w:color w:val="000000" w:themeColor="text1"/>
        </w:rPr>
        <w:t>evaluation</w:t>
      </w:r>
      <w:r w:rsidR="00526A33" w:rsidRPr="00626435">
        <w:rPr>
          <w:color w:val="000000" w:themeColor="text1"/>
        </w:rPr>
        <w:t>s</w:t>
      </w:r>
      <w:r w:rsidR="00352ABD" w:rsidRPr="00626435">
        <w:t xml:space="preserve"> </w:t>
      </w:r>
      <w:r w:rsidR="0098773B" w:rsidRPr="00626435">
        <w:t>also i</w:t>
      </w:r>
      <w:r w:rsidR="00352ABD" w:rsidRPr="00626435">
        <w:t>n regular waves.</w:t>
      </w:r>
      <w:r w:rsidRPr="00626435">
        <w:t xml:space="preserve"> Therefore, the problem of assessing these characteristics with </w:t>
      </w:r>
      <w:r w:rsidR="0098773B" w:rsidRPr="00626435">
        <w:t xml:space="preserve">due </w:t>
      </w:r>
      <w:r w:rsidRPr="00626435">
        <w:t xml:space="preserve">precision </w:t>
      </w:r>
      <w:r w:rsidR="00E25CAC" w:rsidRPr="00626435">
        <w:t>shall</w:t>
      </w:r>
      <w:r w:rsidR="0098773B" w:rsidRPr="00626435">
        <w:t xml:space="preserve"> </w:t>
      </w:r>
      <w:r w:rsidRPr="00626435">
        <w:t xml:space="preserve">be </w:t>
      </w:r>
      <w:r w:rsidR="005B4AD5" w:rsidRPr="00626435">
        <w:t>analyzed</w:t>
      </w:r>
      <w:r w:rsidRPr="00626435">
        <w:t xml:space="preserve"> </w:t>
      </w:r>
      <w:r w:rsidR="0098773B" w:rsidRPr="00626435">
        <w:t xml:space="preserve">by taking advantage of </w:t>
      </w:r>
      <w:r w:rsidRPr="00626435">
        <w:t xml:space="preserve">the improved computational power of present hardware that assures the large application of methods that were too much time-consuming in the past. Many research groups </w:t>
      </w:r>
      <w:r w:rsidR="005B4AD5" w:rsidRPr="00626435">
        <w:t>[2,</w:t>
      </w:r>
      <w:r w:rsidR="00DE2153" w:rsidRPr="00626435">
        <w:t xml:space="preserve"> </w:t>
      </w:r>
      <w:r w:rsidR="005B4AD5" w:rsidRPr="00626435">
        <w:t>3]</w:t>
      </w:r>
      <w:r w:rsidRPr="00626435">
        <w:t xml:space="preserve"> have tested the proposed criteria on different ship types criticizing different aspects</w:t>
      </w:r>
      <w:r w:rsidR="00DE2153" w:rsidRPr="00626435">
        <w:t xml:space="preserve"> in a purposing way</w:t>
      </w:r>
      <w:r w:rsidRPr="00626435">
        <w:t xml:space="preserve">. But all </w:t>
      </w:r>
      <w:r w:rsidR="00352ABD" w:rsidRPr="00626435">
        <w:t xml:space="preserve">these works do not consider the effect of the pressure field on the accuracy of the results provided by </w:t>
      </w:r>
      <w:r w:rsidR="0098773B" w:rsidRPr="00626435">
        <w:t xml:space="preserve">the </w:t>
      </w:r>
      <w:r w:rsidR="00352ABD" w:rsidRPr="00626435">
        <w:t>stability codes</w:t>
      </w:r>
      <w:r w:rsidRPr="00626435">
        <w:t xml:space="preserve">. </w:t>
      </w:r>
    </w:p>
    <w:p w:rsidR="00C85AD3" w:rsidRPr="00626435" w:rsidRDefault="00C85AD3" w:rsidP="0091174B">
      <w:r w:rsidRPr="00626435">
        <w:lastRenderedPageBreak/>
        <w:t xml:space="preserve">With the primary goal of improving the onboard </w:t>
      </w:r>
      <w:r w:rsidR="00352ABD" w:rsidRPr="00626435">
        <w:t xml:space="preserve">systems, in particular the </w:t>
      </w:r>
      <w:r w:rsidR="00AC574F" w:rsidRPr="00626435">
        <w:t>LCS</w:t>
      </w:r>
      <w:r w:rsidRPr="00626435">
        <w:t xml:space="preserve">, as a part of “Risk-Based System to Control Safety Level of Flooded Passenger Ships” </w:t>
      </w:r>
      <w:r w:rsidR="005B4AD5" w:rsidRPr="00626435">
        <w:t>[4]</w:t>
      </w:r>
      <w:r w:rsidR="00352ABD" w:rsidRPr="00626435">
        <w:t>, an updated method to assess ship stability has been</w:t>
      </w:r>
      <w:r w:rsidRPr="00626435">
        <w:t xml:space="preserve"> developed</w:t>
      </w:r>
      <w:r w:rsidR="00352ABD" w:rsidRPr="00626435">
        <w:t>, which is capable to depict</w:t>
      </w:r>
      <w:r w:rsidRPr="00626435">
        <w:t xml:space="preserve"> the physical </w:t>
      </w:r>
      <w:r w:rsidR="005B4AD5" w:rsidRPr="00626435">
        <w:t>behavior</w:t>
      </w:r>
      <w:r w:rsidRPr="00626435">
        <w:t xml:space="preserve"> of the </w:t>
      </w:r>
      <w:r w:rsidR="0026086F" w:rsidRPr="00626435">
        <w:t xml:space="preserve">operating </w:t>
      </w:r>
      <w:r w:rsidRPr="00626435">
        <w:t xml:space="preserve">ship in intact and damage condition </w:t>
      </w:r>
      <w:r w:rsidR="00352ABD" w:rsidRPr="00626435">
        <w:t xml:space="preserve">being the </w:t>
      </w:r>
      <w:r w:rsidR="0026086F" w:rsidRPr="00626435">
        <w:t xml:space="preserve">basis </w:t>
      </w:r>
      <w:r w:rsidR="00352ABD" w:rsidRPr="00626435">
        <w:t xml:space="preserve">for a continuous </w:t>
      </w:r>
      <w:r w:rsidR="00F00A61" w:rsidRPr="00626435">
        <w:t>ship safety monitoring</w:t>
      </w:r>
      <w:r w:rsidRPr="00626435">
        <w:t>. Unlike classical methods which utilize transverse sections</w:t>
      </w:r>
      <w:r w:rsidR="00526A33" w:rsidRPr="00626435">
        <w:t xml:space="preserve"> integration</w:t>
      </w:r>
      <w:r w:rsidRPr="00626435">
        <w:t xml:space="preserve"> through the body of the ship to calculate the displaced volume characteristics</w:t>
      </w:r>
      <w:r w:rsidR="005B4AD5" w:rsidRPr="00626435">
        <w:t xml:space="preserve"> [5]</w:t>
      </w:r>
      <w:r w:rsidRPr="00626435">
        <w:t>, the</w:t>
      </w:r>
      <w:r w:rsidR="00F00A61" w:rsidRPr="00626435">
        <w:t xml:space="preserve"> pressure integral method has been applied allowing to evaluate the hydrostatics in regular waves by the application of different pressure fields</w:t>
      </w:r>
      <w:r w:rsidR="00635F78" w:rsidRPr="00626435">
        <w:t xml:space="preserve"> (PFs)</w:t>
      </w:r>
      <w:r w:rsidRPr="00626435">
        <w:t>.</w:t>
      </w:r>
    </w:p>
    <w:p w:rsidR="00F00A61" w:rsidRPr="00626435" w:rsidRDefault="00F00A61" w:rsidP="0085569F">
      <w:r w:rsidRPr="00626435">
        <w:t xml:space="preserve">Thus, it is possible to compare the outcomes corresponding different </w:t>
      </w:r>
      <w:r w:rsidR="00635F78" w:rsidRPr="00626435">
        <w:t>PFs</w:t>
      </w:r>
      <w:r w:rsidRPr="00626435">
        <w:t xml:space="preserve"> </w:t>
      </w:r>
      <w:r w:rsidR="0026086F" w:rsidRPr="00626435">
        <w:t xml:space="preserve">in </w:t>
      </w:r>
      <w:r w:rsidR="00156752" w:rsidRPr="00626435">
        <w:t>different sea states. T</w:t>
      </w:r>
      <w:r w:rsidRPr="00626435">
        <w:t xml:space="preserve">he ship </w:t>
      </w:r>
      <w:r w:rsidR="0026086F" w:rsidRPr="00626435">
        <w:t xml:space="preserve">sailing </w:t>
      </w:r>
      <w:r w:rsidRPr="00626435">
        <w:t xml:space="preserve">through the waves is simulated </w:t>
      </w:r>
      <w:r w:rsidR="0026086F" w:rsidRPr="00626435">
        <w:t xml:space="preserve">as </w:t>
      </w:r>
      <w:r w:rsidRPr="00626435">
        <w:t>a “static placement on the wave” [</w:t>
      </w:r>
      <w:r w:rsidR="008215CA" w:rsidRPr="00626435">
        <w:t>6</w:t>
      </w:r>
      <w:r w:rsidRPr="00626435">
        <w:t>] in order to study the significance of errors depending on the wave associated pressure field.</w:t>
      </w:r>
      <w:r w:rsidR="00FE34E3" w:rsidRPr="00626435">
        <w:t xml:space="preserve"> This technique has been applied to a ro-ro ship </w:t>
      </w:r>
      <w:r w:rsidR="0026086F" w:rsidRPr="00626435">
        <w:t xml:space="preserve">by </w:t>
      </w:r>
      <w:r w:rsidR="00FE34E3" w:rsidRPr="00626435">
        <w:t xml:space="preserve">comparing the </w:t>
      </w:r>
      <w:r w:rsidR="00AB2A16" w:rsidRPr="00626435">
        <w:t>hydro</w:t>
      </w:r>
      <w:r w:rsidR="00FE34E3" w:rsidRPr="00626435">
        <w:t xml:space="preserve">static pressure field, capable to reproduce exactly the results of a commercial </w:t>
      </w:r>
      <w:r w:rsidR="001F3192" w:rsidRPr="00626435">
        <w:t>LCS</w:t>
      </w:r>
      <w:r w:rsidR="00FE34E3" w:rsidRPr="00626435">
        <w:t xml:space="preserve">, </w:t>
      </w:r>
      <w:r w:rsidR="0026086F" w:rsidRPr="00626435">
        <w:t xml:space="preserve">with </w:t>
      </w:r>
      <w:r w:rsidR="00FE34E3" w:rsidRPr="00626435">
        <w:t>the Airy pressure field, which better reproduce</w:t>
      </w:r>
      <w:r w:rsidR="0026086F" w:rsidRPr="00626435">
        <w:t>s</w:t>
      </w:r>
      <w:r w:rsidR="00FE34E3" w:rsidRPr="00626435">
        <w:t xml:space="preserve"> the dynamic component of the pressure under a regular wave.</w:t>
      </w:r>
    </w:p>
    <w:p w:rsidR="00A930BA" w:rsidRPr="00626435" w:rsidRDefault="00A930BA" w:rsidP="00A930BA">
      <w:pPr>
        <w:pStyle w:val="Titolo1"/>
      </w:pPr>
      <w:bookmarkStart w:id="0" w:name="_Toc486943074"/>
      <w:bookmarkStart w:id="1" w:name="_Toc486948063"/>
      <w:r w:rsidRPr="00626435">
        <w:t>Pressure Fields</w:t>
      </w:r>
    </w:p>
    <w:p w:rsidR="00A930BA" w:rsidRPr="00626435" w:rsidRDefault="00A930BA" w:rsidP="00A930BA">
      <w:pPr>
        <w:ind w:firstLine="0"/>
      </w:pPr>
      <w:r w:rsidRPr="00626435">
        <w:t>It is well known [7] that in a seaway the pressure distribution differs from the hydrostatic</w:t>
      </w:r>
      <w:r w:rsidR="0026086F" w:rsidRPr="00626435">
        <w:t xml:space="preserve"> pressure</w:t>
      </w:r>
      <w:r w:rsidRPr="00626435">
        <w:t xml:space="preserve"> near the free surface. For a regular wave, </w:t>
      </w:r>
      <w:r w:rsidR="0026086F" w:rsidRPr="00626435">
        <w:t xml:space="preserve">on </w:t>
      </w:r>
      <w:r w:rsidRPr="00626435">
        <w:t xml:space="preserve">the crest the pressure is </w:t>
      </w:r>
      <w:r w:rsidR="00E25CAC" w:rsidRPr="00626435">
        <w:t>higher</w:t>
      </w:r>
      <w:r w:rsidR="0026086F" w:rsidRPr="00626435">
        <w:t xml:space="preserve"> </w:t>
      </w:r>
      <w:r w:rsidRPr="00626435">
        <w:t xml:space="preserve">than </w:t>
      </w:r>
      <w:r w:rsidR="0026086F" w:rsidRPr="00626435">
        <w:t xml:space="preserve">the </w:t>
      </w:r>
      <w:r w:rsidRPr="00626435">
        <w:t>hydrostatic</w:t>
      </w:r>
      <w:r w:rsidR="0026086F" w:rsidRPr="00626435">
        <w:t xml:space="preserve"> one</w:t>
      </w:r>
      <w:r w:rsidRPr="00626435">
        <w:t>, whilst in the trough</w:t>
      </w:r>
      <w:r w:rsidR="00D85071" w:rsidRPr="00626435">
        <w:t xml:space="preserve"> it is just the opposite</w:t>
      </w:r>
      <w:r w:rsidRPr="00626435">
        <w:t xml:space="preserve">. In other terms, the </w:t>
      </w:r>
      <w:r w:rsidR="00635F78" w:rsidRPr="00626435">
        <w:t>PF</w:t>
      </w:r>
      <w:r w:rsidRPr="00626435">
        <w:t xml:space="preserve"> associated to </w:t>
      </w:r>
      <w:r w:rsidR="009204DE" w:rsidRPr="00626435">
        <w:t xml:space="preserve">the </w:t>
      </w:r>
      <w:r w:rsidRPr="00626435">
        <w:t xml:space="preserve">free surface depends on the free surface type. It is therefore advisable to evaluate the total pressure </w:t>
      </w:r>
      <w:r w:rsidR="00CF698D" w:rsidRPr="00626435">
        <w:rPr>
          <w:i/>
        </w:rPr>
        <w:t>p</w:t>
      </w:r>
      <w:r w:rsidRPr="00626435">
        <w:t xml:space="preserve"> at each field point </w:t>
      </w:r>
      <w:r w:rsidRPr="00626435">
        <w:rPr>
          <w:i/>
        </w:rPr>
        <w:t>P</w:t>
      </w:r>
      <w:r w:rsidR="00841B82">
        <w:rPr>
          <w:i/>
        </w:rPr>
        <w:t xml:space="preserve"> </w:t>
      </w:r>
      <w:r w:rsidRPr="00626435">
        <w:rPr>
          <w:i/>
        </w:rPr>
        <w:t>=</w:t>
      </w:r>
      <w:r w:rsidR="00841B82">
        <w:rPr>
          <w:i/>
        </w:rPr>
        <w:t xml:space="preserve"> </w:t>
      </w:r>
      <w:r w:rsidRPr="00626435">
        <w:t>(</w:t>
      </w:r>
      <w:r w:rsidRPr="00626435">
        <w:rPr>
          <w:i/>
        </w:rPr>
        <w:t>x</w:t>
      </w:r>
      <w:r w:rsidRPr="00626435">
        <w:t xml:space="preserve">, </w:t>
      </w:r>
      <w:r w:rsidRPr="00626435">
        <w:rPr>
          <w:i/>
        </w:rPr>
        <w:t>y</w:t>
      </w:r>
      <w:r w:rsidRPr="00626435">
        <w:t xml:space="preserve">, </w:t>
      </w:r>
      <w:r w:rsidRPr="00626435">
        <w:rPr>
          <w:i/>
        </w:rPr>
        <w:t>z</w:t>
      </w:r>
      <w:proofErr w:type="gramStart"/>
      <w:r w:rsidRPr="00626435">
        <w:t>)</w:t>
      </w:r>
      <w:r w:rsidRPr="00626435">
        <w:rPr>
          <w:i/>
          <w:vertAlign w:val="superscript"/>
        </w:rPr>
        <w:t>T</w:t>
      </w:r>
      <w:proofErr w:type="gramEnd"/>
      <w:r w:rsidRPr="00626435">
        <w:t xml:space="preserve"> by summing two components, namely, the static pressure </w:t>
      </w:r>
      <w:proofErr w:type="spellStart"/>
      <w:r w:rsidR="00CF698D" w:rsidRPr="00626435">
        <w:rPr>
          <w:i/>
        </w:rPr>
        <w:t>p</w:t>
      </w:r>
      <w:r w:rsidR="00CF698D" w:rsidRPr="00626435">
        <w:rPr>
          <w:i/>
          <w:vertAlign w:val="subscript"/>
        </w:rPr>
        <w:t>s</w:t>
      </w:r>
      <w:proofErr w:type="spellEnd"/>
      <w:r w:rsidRPr="00626435">
        <w:t xml:space="preserve"> and the dynamic pressure </w:t>
      </w:r>
      <w:proofErr w:type="spellStart"/>
      <w:r w:rsidR="00CF698D" w:rsidRPr="00626435">
        <w:rPr>
          <w:i/>
        </w:rPr>
        <w:t>p</w:t>
      </w:r>
      <w:r w:rsidR="00CF698D" w:rsidRPr="00626435">
        <w:rPr>
          <w:i/>
          <w:vertAlign w:val="subscript"/>
        </w:rPr>
        <w:t>d</w:t>
      </w:r>
      <w:proofErr w:type="spellEnd"/>
      <w:r w:rsidR="009204DE" w:rsidRPr="00626435">
        <w:t>:</w:t>
      </w:r>
    </w:p>
    <w:p w:rsidR="00A930BA" w:rsidRPr="00626435" w:rsidRDefault="009204DE" w:rsidP="00A930BA">
      <w:pPr>
        <w:pStyle w:val="Equation"/>
      </w:pPr>
      <w:r w:rsidRPr="00626435">
        <w:rPr>
          <w:position w:val="-12"/>
        </w:rPr>
        <w:object w:dxaOrig="2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45pt;height:15pt" o:ole="">
            <v:imagedata r:id="rId8" o:title=""/>
          </v:shape>
          <o:OLEObject Type="Embed" ProgID="Equation.3" ShapeID="_x0000_i1025" DrawAspect="Content" ObjectID="_1584535216" r:id="rId9"/>
        </w:object>
      </w:r>
      <w:r w:rsidR="00A930BA" w:rsidRPr="00626435">
        <w:tab/>
        <w:t>(</w:t>
      </w:r>
      <w:r w:rsidR="00CF698D" w:rsidRPr="00626435">
        <w:t>1</w:t>
      </w:r>
      <w:r w:rsidR="00A930BA" w:rsidRPr="00626435">
        <w:t>)</w:t>
      </w:r>
    </w:p>
    <w:p w:rsidR="00A930BA" w:rsidRPr="00626435" w:rsidRDefault="00A930BA" w:rsidP="009204DE">
      <w:pPr>
        <w:ind w:firstLine="0"/>
      </w:pPr>
      <w:r w:rsidRPr="00626435">
        <w:t xml:space="preserve">The </w:t>
      </w:r>
      <w:r w:rsidR="00CF698D" w:rsidRPr="00626435">
        <w:t>PF</w:t>
      </w:r>
      <w:r w:rsidRPr="00626435">
        <w:t xml:space="preserve"> is assumed to be null above the free surface</w:t>
      </w:r>
      <w:r w:rsidR="0052288C" w:rsidRPr="00626435">
        <w:t>. T</w:t>
      </w:r>
      <w:r w:rsidRPr="00626435">
        <w:t xml:space="preserve">wo types of </w:t>
      </w:r>
      <w:r w:rsidR="00CF698D" w:rsidRPr="00626435">
        <w:t>PF</w:t>
      </w:r>
      <w:r w:rsidRPr="00626435">
        <w:t xml:space="preserve"> are considered:</w:t>
      </w:r>
    </w:p>
    <w:p w:rsidR="00A930BA" w:rsidRPr="00626435" w:rsidRDefault="00A930BA" w:rsidP="00A930BA">
      <w:pPr>
        <w:pStyle w:val="Listbul"/>
        <w:ind w:left="737" w:hanging="380"/>
      </w:pPr>
      <w:r w:rsidRPr="00626435">
        <w:t xml:space="preserve">Hydrostatic </w:t>
      </w:r>
      <w:r w:rsidR="00CF698D" w:rsidRPr="00626435">
        <w:t>PF</w:t>
      </w:r>
    </w:p>
    <w:p w:rsidR="00A930BA" w:rsidRPr="00626435" w:rsidRDefault="00A930BA" w:rsidP="00A930BA">
      <w:pPr>
        <w:pStyle w:val="Listbul"/>
        <w:spacing w:after="120"/>
        <w:ind w:left="737" w:hanging="380"/>
      </w:pPr>
      <w:r w:rsidRPr="00626435">
        <w:t xml:space="preserve">Airy </w:t>
      </w:r>
      <w:r w:rsidR="00CF698D" w:rsidRPr="00626435">
        <w:t>PF</w:t>
      </w:r>
    </w:p>
    <w:p w:rsidR="00A930BA" w:rsidRPr="00626435" w:rsidRDefault="00B50025" w:rsidP="00A930BA">
      <w:r w:rsidRPr="00626435">
        <w:t xml:space="preserve">The two PFs are the same in calm water where the free surface corresponds to the waterplane, but they differ from one another in a seaway. </w:t>
      </w:r>
      <w:r w:rsidR="00A930BA" w:rsidRPr="00626435">
        <w:t>For both wave types, a sinusoidal regular wave</w:t>
      </w:r>
      <w:r w:rsidR="00CF698D" w:rsidRPr="00626435">
        <w:t xml:space="preserve">, characterized by height </w:t>
      </w:r>
      <w:r w:rsidR="00CF698D" w:rsidRPr="00626435">
        <w:rPr>
          <w:i/>
        </w:rPr>
        <w:t>H</w:t>
      </w:r>
      <w:r w:rsidR="00CF698D" w:rsidRPr="00626435">
        <w:t xml:space="preserve">, length </w:t>
      </w:r>
      <w:r w:rsidR="00CF698D" w:rsidRPr="00626435">
        <w:rPr>
          <w:i/>
        </w:rPr>
        <w:t>λ</w:t>
      </w:r>
      <w:r w:rsidR="00CF698D" w:rsidRPr="00626435">
        <w:t xml:space="preserve"> and position of the first ascending zero </w:t>
      </w:r>
      <w:r w:rsidR="00CF698D" w:rsidRPr="00626435">
        <w:rPr>
          <w:i/>
        </w:rPr>
        <w:t>x</w:t>
      </w:r>
      <w:r w:rsidR="00CF698D" w:rsidRPr="00626435">
        <w:rPr>
          <w:vertAlign w:val="subscript"/>
        </w:rPr>
        <w:t>0</w:t>
      </w:r>
      <w:r w:rsidR="00CF698D" w:rsidRPr="00626435">
        <w:t xml:space="preserve">, </w:t>
      </w:r>
      <w:r w:rsidR="00A930BA" w:rsidRPr="00626435">
        <w:t>is assumed as shape of the free surface.</w:t>
      </w:r>
      <w:r w:rsidR="00CF698D" w:rsidRPr="00626435">
        <w:t xml:space="preserve"> In the earth fixed reference system, the profile is assumed constant along </w:t>
      </w:r>
      <w:r w:rsidR="009204DE" w:rsidRPr="00626435">
        <w:t xml:space="preserve">the transverse </w:t>
      </w:r>
      <w:r w:rsidR="00CF698D" w:rsidRPr="00626435">
        <w:rPr>
          <w:i/>
        </w:rPr>
        <w:t>y</w:t>
      </w:r>
      <w:r w:rsidR="00CF698D" w:rsidRPr="00626435">
        <w:t xml:space="preserve">-axis and has the </w:t>
      </w:r>
      <w:r w:rsidR="00CF698D" w:rsidRPr="00626435">
        <w:rPr>
          <w:i/>
        </w:rPr>
        <w:t>x</w:t>
      </w:r>
      <w:r w:rsidR="00CF698D" w:rsidRPr="00626435">
        <w:rPr>
          <w:rFonts w:eastAsiaTheme="minorEastAsia"/>
        </w:rPr>
        <w:t>-axis</w:t>
      </w:r>
      <w:r w:rsidR="00CF698D" w:rsidRPr="00626435">
        <w:t xml:space="preserve"> oriented along the wave propagation direction.</w:t>
      </w:r>
    </w:p>
    <w:p w:rsidR="00A930BA" w:rsidRPr="00626435" w:rsidRDefault="00635F78" w:rsidP="00A930BA">
      <w:pPr>
        <w:pStyle w:val="Titolo3"/>
      </w:pPr>
      <w:bookmarkStart w:id="2" w:name="_Toc486943079"/>
      <w:bookmarkStart w:id="3" w:name="_Toc486948067"/>
      <w:r w:rsidRPr="00626435">
        <w:t>Hydros</w:t>
      </w:r>
      <w:r w:rsidR="00A930BA" w:rsidRPr="00626435">
        <w:t xml:space="preserve">tatic </w:t>
      </w:r>
      <w:bookmarkEnd w:id="2"/>
      <w:bookmarkEnd w:id="3"/>
      <w:r w:rsidRPr="00626435">
        <w:t>PF</w:t>
      </w:r>
    </w:p>
    <w:p w:rsidR="00A930BA" w:rsidRPr="00626435" w:rsidRDefault="00A930BA" w:rsidP="00EB23B6">
      <w:pPr>
        <w:ind w:firstLine="0"/>
      </w:pPr>
      <w:r w:rsidRPr="00626435">
        <w:t xml:space="preserve">For a </w:t>
      </w:r>
      <w:r w:rsidR="00635F78" w:rsidRPr="00626435">
        <w:t>hydro</w:t>
      </w:r>
      <w:r w:rsidRPr="00626435">
        <w:t xml:space="preserve">static </w:t>
      </w:r>
      <w:r w:rsidR="00635F78" w:rsidRPr="00626435">
        <w:t>PF</w:t>
      </w:r>
      <w:r w:rsidRPr="00626435">
        <w:t xml:space="preserve"> the dynamic pressure component is null, </w:t>
      </w:r>
      <w:r w:rsidR="00E25CAC" w:rsidRPr="00626435">
        <w:t>whereas</w:t>
      </w:r>
      <w:r w:rsidR="00B50025" w:rsidRPr="00626435">
        <w:t xml:space="preserve"> </w:t>
      </w:r>
      <w:r w:rsidRPr="00626435">
        <w:t xml:space="preserve">the static component is the hydrostatic pressure </w:t>
      </w:r>
      <w:r w:rsidR="00B50025" w:rsidRPr="00626435">
        <w:t>evaluated</w:t>
      </w:r>
      <w:r w:rsidR="00B50025" w:rsidRPr="00626435">
        <w:rPr>
          <w:color w:val="FF0000"/>
        </w:rPr>
        <w:t xml:space="preserve"> </w:t>
      </w:r>
      <w:r w:rsidRPr="00626435">
        <w:t>as:</w:t>
      </w:r>
    </w:p>
    <w:p w:rsidR="00CF698D" w:rsidRPr="00626435" w:rsidRDefault="00CF698D" w:rsidP="00CF698D">
      <w:pPr>
        <w:pStyle w:val="Equation"/>
      </w:pPr>
      <w:r w:rsidRPr="00626435">
        <w:rPr>
          <w:position w:val="-30"/>
        </w:rPr>
        <w:object w:dxaOrig="4300" w:dyaOrig="720">
          <v:shape id="_x0000_i1026" type="#_x0000_t75" style="width:179.8pt;height:29.55pt" o:ole="">
            <v:imagedata r:id="rId10" o:title=""/>
          </v:shape>
          <o:OLEObject Type="Embed" ProgID="Equation.3" ShapeID="_x0000_i1026" DrawAspect="Content" ObjectID="_1584535217" r:id="rId11"/>
        </w:object>
      </w:r>
      <w:r w:rsidRPr="00626435">
        <w:tab/>
        <w:t>(</w:t>
      </w:r>
      <w:r w:rsidR="009F635E" w:rsidRPr="00626435">
        <w:t>2</w:t>
      </w:r>
      <w:r w:rsidRPr="00626435">
        <w:t>)</w:t>
      </w:r>
    </w:p>
    <w:p w:rsidR="009F635E" w:rsidRPr="00626435" w:rsidRDefault="00004EED" w:rsidP="009F635E">
      <w:pPr>
        <w:ind w:firstLine="0"/>
      </w:pPr>
      <w:r w:rsidRPr="00626435">
        <w:lastRenderedPageBreak/>
        <w:t>b</w:t>
      </w:r>
      <w:r w:rsidR="00B50025" w:rsidRPr="00626435">
        <w:t xml:space="preserve">y considering </w:t>
      </w:r>
      <w:r w:rsidRPr="00626435">
        <w:t xml:space="preserve">the wave elevation on the free surface, and </w:t>
      </w:r>
      <w:r w:rsidR="009F635E" w:rsidRPr="00626435">
        <w:t>where</w:t>
      </w:r>
      <w:r w:rsidR="00B50025" w:rsidRPr="00626435">
        <w:t xml:space="preserve"> </w:t>
      </w:r>
      <w:r w:rsidR="009F635E" w:rsidRPr="00626435">
        <w:rPr>
          <w:i/>
        </w:rPr>
        <w:t xml:space="preserve">ρ </w:t>
      </w:r>
      <w:r w:rsidR="009F635E" w:rsidRPr="00626435">
        <w:t xml:space="preserve">is the water density and </w:t>
      </w:r>
      <w:r w:rsidR="009F635E" w:rsidRPr="00626435">
        <w:rPr>
          <w:i/>
        </w:rPr>
        <w:t>g</w:t>
      </w:r>
      <w:r w:rsidR="009F635E" w:rsidRPr="00626435">
        <w:t xml:space="preserve"> the gravity constant.</w:t>
      </w:r>
    </w:p>
    <w:p w:rsidR="00A930BA" w:rsidRPr="00626435" w:rsidRDefault="00635F78" w:rsidP="00A930BA">
      <w:r w:rsidRPr="00626435">
        <w:t>The hydrostatic PF does</w:t>
      </w:r>
      <w:r w:rsidR="00A930BA" w:rsidRPr="00626435">
        <w:t xml:space="preserve"> not allow </w:t>
      </w:r>
      <w:r w:rsidR="00004EED" w:rsidRPr="00626435">
        <w:t xml:space="preserve">to reproduce </w:t>
      </w:r>
      <w:r w:rsidR="00A930BA" w:rsidRPr="00626435">
        <w:t xml:space="preserve">the actual pressure </w:t>
      </w:r>
      <w:r w:rsidRPr="00626435">
        <w:t>associated to</w:t>
      </w:r>
      <w:r w:rsidR="00A930BA" w:rsidRPr="00626435">
        <w:t xml:space="preserve"> a regular wave; nonetheless, the </w:t>
      </w:r>
      <w:r w:rsidRPr="00626435">
        <w:t>hydrostatic PF</w:t>
      </w:r>
      <w:r w:rsidR="00A930BA" w:rsidRPr="00626435">
        <w:t xml:space="preserve"> is often (and implicitly) used to evaluate the ship’s longitudinal strength where hydrostatics are evaluated by integrating transverse cross sections.</w:t>
      </w:r>
    </w:p>
    <w:p w:rsidR="00A930BA" w:rsidRPr="00626435" w:rsidRDefault="00A930BA" w:rsidP="00A930BA">
      <w:pPr>
        <w:pStyle w:val="Titolo3"/>
      </w:pPr>
      <w:r w:rsidRPr="00626435">
        <w:t xml:space="preserve">Airy </w:t>
      </w:r>
      <w:r w:rsidR="00635F78" w:rsidRPr="00626435">
        <w:t>PF</w:t>
      </w:r>
    </w:p>
    <w:p w:rsidR="00A930BA" w:rsidRPr="00626435" w:rsidRDefault="00A930BA" w:rsidP="00A930BA">
      <w:pPr>
        <w:ind w:firstLine="0"/>
      </w:pPr>
      <w:r w:rsidRPr="00626435">
        <w:t xml:space="preserve">The </w:t>
      </w:r>
      <w:r w:rsidR="007F1DC1" w:rsidRPr="00626435">
        <w:t xml:space="preserve">Airy </w:t>
      </w:r>
      <w:r w:rsidRPr="00626435">
        <w:t xml:space="preserve">theory </w:t>
      </w:r>
      <w:r w:rsidR="00764370" w:rsidRPr="00626435">
        <w:t>[8</w:t>
      </w:r>
      <w:r w:rsidR="00635F78" w:rsidRPr="00626435">
        <w:t>,</w:t>
      </w:r>
      <w:r w:rsidR="007F1DC1" w:rsidRPr="00626435">
        <w:t xml:space="preserve"> </w:t>
      </w:r>
      <w:r w:rsidR="00635F78" w:rsidRPr="00626435">
        <w:t>9</w:t>
      </w:r>
      <w:r w:rsidR="00764370" w:rsidRPr="00626435">
        <w:t>]</w:t>
      </w:r>
      <w:r w:rsidRPr="00626435">
        <w:t xml:space="preserve"> better describes the </w:t>
      </w:r>
      <w:r w:rsidR="00635F78" w:rsidRPr="00626435">
        <w:t>PF</w:t>
      </w:r>
      <w:r w:rsidRPr="00626435">
        <w:t xml:space="preserve"> associated to a sinusoidal regular wave. In this case, both the components of pressure are non-null, whereas the free surface is assumed to have the same profile defined for a static wave. Since in</w:t>
      </w:r>
      <w:r w:rsidR="007F1DC1" w:rsidRPr="00626435">
        <w:t xml:space="preserve"> the</w:t>
      </w:r>
      <w:r w:rsidRPr="00626435">
        <w:t xml:space="preserve"> Airy approach the waves are assumed to have a small height, the pressure field is defined below the mean waterplane only. Therefore, a discontinuity on this plane is introduced since the Airy theory does not define the pressure under the crests above the waterplane.</w:t>
      </w:r>
    </w:p>
    <w:p w:rsidR="00A930BA" w:rsidRPr="00626435" w:rsidRDefault="00A930BA" w:rsidP="00A930BA">
      <w:r w:rsidRPr="00626435">
        <w:t xml:space="preserve">To remove this discontinuity, a hydrostatic </w:t>
      </w:r>
      <w:r w:rsidR="00635F78" w:rsidRPr="00626435">
        <w:t>PF</w:t>
      </w:r>
      <w:r w:rsidRPr="00626435">
        <w:t xml:space="preserve"> is applied under the </w:t>
      </w:r>
      <w:r w:rsidR="007F1DC1" w:rsidRPr="00626435">
        <w:t xml:space="preserve">wave </w:t>
      </w:r>
      <w:r w:rsidRPr="00626435">
        <w:t>crests as:</w:t>
      </w:r>
    </w:p>
    <w:p w:rsidR="009F635E" w:rsidRPr="00626435" w:rsidRDefault="009F635E" w:rsidP="007F1DC1">
      <w:pPr>
        <w:pStyle w:val="Equation"/>
      </w:pPr>
      <w:r w:rsidRPr="00626435">
        <w:rPr>
          <w:position w:val="-44"/>
        </w:rPr>
        <w:object w:dxaOrig="4660" w:dyaOrig="999">
          <v:shape id="_x0000_i1027" type="#_x0000_t75" style="width:196pt;height:41.6pt" o:ole="">
            <v:imagedata r:id="rId12" o:title=""/>
          </v:shape>
          <o:OLEObject Type="Embed" ProgID="Equation.3" ShapeID="_x0000_i1027" DrawAspect="Content" ObjectID="_1584535218" r:id="rId13"/>
        </w:object>
      </w:r>
      <w:r w:rsidRPr="00626435">
        <w:tab/>
        <w:t>(3)</w:t>
      </w:r>
    </w:p>
    <w:p w:rsidR="00A930BA" w:rsidRPr="00626435" w:rsidRDefault="00A930BA" w:rsidP="009F635E">
      <w:pPr>
        <w:ind w:firstLine="0"/>
      </w:pPr>
      <w:r w:rsidRPr="00626435">
        <w:t>whilst the dynamic field is defined as:</w:t>
      </w:r>
    </w:p>
    <w:p w:rsidR="009F635E" w:rsidRPr="00626435" w:rsidRDefault="00994AE9" w:rsidP="009F635E">
      <w:pPr>
        <w:pStyle w:val="Equation"/>
      </w:pPr>
      <w:r w:rsidRPr="00626435">
        <w:rPr>
          <w:position w:val="-44"/>
        </w:rPr>
        <w:object w:dxaOrig="5880" w:dyaOrig="999">
          <v:shape id="_x0000_i1028" type="#_x0000_t75" style="width:246.4pt;height:41.6pt" o:ole="">
            <v:imagedata r:id="rId14" o:title=""/>
          </v:shape>
          <o:OLEObject Type="Embed" ProgID="Equation.3" ShapeID="_x0000_i1028" DrawAspect="Content" ObjectID="_1584535219" r:id="rId15"/>
        </w:object>
      </w:r>
      <w:r w:rsidR="009F635E" w:rsidRPr="00626435">
        <w:tab/>
        <w:t>(4)</w:t>
      </w:r>
    </w:p>
    <w:p w:rsidR="00526A33" w:rsidRPr="00626435" w:rsidRDefault="00641A47" w:rsidP="004F41D7">
      <w:pPr>
        <w:pStyle w:val="Titolo1"/>
      </w:pPr>
      <w:r w:rsidRPr="00626435">
        <w:t xml:space="preserve">Calculation </w:t>
      </w:r>
      <w:r w:rsidR="002F0E87" w:rsidRPr="00626435">
        <w:t>Methodology</w:t>
      </w:r>
    </w:p>
    <w:p w:rsidR="0091174B" w:rsidRPr="00626435" w:rsidRDefault="004F41D7" w:rsidP="0091174B">
      <w:pPr>
        <w:ind w:firstLine="0"/>
      </w:pPr>
      <w:r w:rsidRPr="00626435">
        <w:t>The method developed</w:t>
      </w:r>
      <w:r w:rsidR="00B5548C" w:rsidRPr="00626435">
        <w:t xml:space="preserve"> </w:t>
      </w:r>
      <w:r w:rsidRPr="00626435">
        <w:t>by ISD Lab expands upon the technique introduced by Chapman [</w:t>
      </w:r>
      <w:r w:rsidR="00E71F3D" w:rsidRPr="00626435">
        <w:t>10</w:t>
      </w:r>
      <w:r w:rsidRPr="00626435">
        <w:t xml:space="preserve">] and has its fundamentals in the </w:t>
      </w:r>
      <w:r w:rsidR="00A10139" w:rsidRPr="00626435">
        <w:t xml:space="preserve">seminal </w:t>
      </w:r>
      <w:r w:rsidRPr="00626435">
        <w:t xml:space="preserve">paper by </w:t>
      </w:r>
      <w:proofErr w:type="spellStart"/>
      <w:r w:rsidRPr="00626435">
        <w:t>Schalck</w:t>
      </w:r>
      <w:proofErr w:type="spellEnd"/>
      <w:r w:rsidRPr="00626435">
        <w:t xml:space="preserve"> </w:t>
      </w:r>
      <w:r w:rsidR="00B60140" w:rsidRPr="00626435">
        <w:t>&amp;</w:t>
      </w:r>
      <w:r w:rsidRPr="00626435">
        <w:t xml:space="preserve"> </w:t>
      </w:r>
      <w:proofErr w:type="spellStart"/>
      <w:r w:rsidRPr="00626435">
        <w:t>Baatrup</w:t>
      </w:r>
      <w:proofErr w:type="spellEnd"/>
      <w:r w:rsidRPr="00626435">
        <w:t xml:space="preserve"> [</w:t>
      </w:r>
      <w:r w:rsidR="00E71F3D" w:rsidRPr="00626435">
        <w:t>11</w:t>
      </w:r>
      <w:r w:rsidRPr="00626435">
        <w:t>]</w:t>
      </w:r>
      <w:r w:rsidR="00A10139" w:rsidRPr="00626435">
        <w:t>, where the authors went</w:t>
      </w:r>
      <w:r w:rsidRPr="00626435">
        <w:t xml:space="preserve"> beyond the assumption of hydrostatic </w:t>
      </w:r>
      <w:r w:rsidR="00635F78" w:rsidRPr="00626435">
        <w:t>PF</w:t>
      </w:r>
      <w:r w:rsidRPr="00626435">
        <w:t xml:space="preserve"> only </w:t>
      </w:r>
      <w:r w:rsidR="00A10139" w:rsidRPr="00626435">
        <w:t xml:space="preserve">by </w:t>
      </w:r>
      <w:r w:rsidRPr="00626435">
        <w:t>providing a</w:t>
      </w:r>
      <w:r w:rsidR="00E25CAC" w:rsidRPr="00626435">
        <w:t>n</w:t>
      </w:r>
      <w:r w:rsidRPr="00626435">
        <w:t xml:space="preserve"> </w:t>
      </w:r>
      <w:r w:rsidR="00E25CAC" w:rsidRPr="00626435">
        <w:t>updated</w:t>
      </w:r>
      <w:r w:rsidR="0091174B">
        <w:t xml:space="preserve"> </w:t>
      </w:r>
      <w:r w:rsidR="0091174B" w:rsidRPr="00626435">
        <w:t>methodology to avoid errors in hydrostatic properties determination, especially in</w:t>
      </w:r>
      <w:r w:rsidR="0091174B">
        <w:br/>
      </w:r>
      <w:r w:rsidR="0091174B" w:rsidRPr="00626435">
        <w:rPr>
          <w:noProof/>
          <w:lang w:val="en-GB" w:eastAsia="en-GB"/>
        </w:rPr>
        <w:drawing>
          <wp:inline distT="0" distB="0" distL="0" distR="0" wp14:anchorId="51CDAAEA" wp14:editId="5A22A953">
            <wp:extent cx="4117899" cy="1846798"/>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p.jpg"/>
                    <pic:cNvPicPr/>
                  </pic:nvPicPr>
                  <pic:blipFill rotWithShape="1">
                    <a:blip r:embed="rId16" cstate="print">
                      <a:extLst>
                        <a:ext uri="{28A0092B-C50C-407E-A947-70E740481C1C}">
                          <a14:useLocalDpi xmlns:a14="http://schemas.microsoft.com/office/drawing/2010/main" val="0"/>
                        </a:ext>
                      </a:extLst>
                    </a:blip>
                    <a:srcRect t="-15419" b="-1"/>
                    <a:stretch/>
                  </pic:blipFill>
                  <pic:spPr bwMode="auto">
                    <a:xfrm>
                      <a:off x="0" y="0"/>
                      <a:ext cx="4120691" cy="1848050"/>
                    </a:xfrm>
                    <a:prstGeom prst="rect">
                      <a:avLst/>
                    </a:prstGeom>
                    <a:ln>
                      <a:noFill/>
                    </a:ln>
                    <a:extLst>
                      <a:ext uri="{53640926-AAD7-44D8-BBD7-CCE9431645EC}">
                        <a14:shadowObscured xmlns:a14="http://schemas.microsoft.com/office/drawing/2010/main"/>
                      </a:ext>
                    </a:extLst>
                  </pic:spPr>
                </pic:pic>
              </a:graphicData>
            </a:graphic>
          </wp:inline>
        </w:drawing>
      </w:r>
    </w:p>
    <w:p w:rsidR="0091174B" w:rsidRPr="00626435" w:rsidRDefault="00913588" w:rsidP="0091174B">
      <w:pPr>
        <w:pStyle w:val="Didascalia"/>
      </w:pPr>
      <w:r>
        <w:rPr>
          <w:b/>
        </w:rPr>
        <w:t>Figure</w:t>
      </w:r>
      <w:r w:rsidR="0091174B" w:rsidRPr="00626435">
        <w:rPr>
          <w:b/>
        </w:rPr>
        <w:t xml:space="preserve"> 1.</w:t>
      </w:r>
      <w:r w:rsidR="0091174B" w:rsidRPr="00626435">
        <w:t xml:space="preserve"> Airy PF in sea state 6 equivalent wave (hogging condition)</w:t>
      </w:r>
    </w:p>
    <w:p w:rsidR="00E25CAC" w:rsidRPr="00626435" w:rsidRDefault="004F41D7" w:rsidP="00EB23B6">
      <w:pPr>
        <w:ind w:firstLine="0"/>
      </w:pPr>
      <w:r w:rsidRPr="00626435">
        <w:lastRenderedPageBreak/>
        <w:t xml:space="preserve">assessing the waterplane area characteristics. The magnitude and line of action of the buoyant force are thus assessed more exactly resulting in the correct location of </w:t>
      </w:r>
      <w:r w:rsidR="00A10139" w:rsidRPr="00626435">
        <w:t xml:space="preserve">the </w:t>
      </w:r>
      <w:r w:rsidRPr="00626435">
        <w:t>metacenter even at large list angles and in a seaway. The updated pressure integral method</w:t>
      </w:r>
      <w:r w:rsidR="00A25B5B" w:rsidRPr="00626435">
        <w:t xml:space="preserve"> combined with a fast equilibrium algorithm</w:t>
      </w:r>
      <w:r w:rsidRPr="00626435">
        <w:t xml:space="preserve"> guarantees high precision in calculating the transverse stability</w:t>
      </w:r>
      <w:r w:rsidR="00A10139" w:rsidRPr="00626435">
        <w:t xml:space="preserve"> of</w:t>
      </w:r>
      <w:r w:rsidRPr="00626435">
        <w:t xml:space="preserve"> a ship </w:t>
      </w:r>
      <w:r w:rsidR="00A10139" w:rsidRPr="00626435">
        <w:t xml:space="preserve">sailing in regular waves </w:t>
      </w:r>
      <w:r w:rsidRPr="00626435">
        <w:t xml:space="preserve">with </w:t>
      </w:r>
      <w:r w:rsidR="00E25CAC" w:rsidRPr="00626435">
        <w:t>whichever</w:t>
      </w:r>
      <w:r w:rsidRPr="00626435">
        <w:t xml:space="preserve"> heel and trim angles </w:t>
      </w:r>
      <w:r w:rsidR="00E71F3D" w:rsidRPr="00626435">
        <w:t xml:space="preserve">(Fig. </w:t>
      </w:r>
      <w:r w:rsidR="00635F78" w:rsidRPr="00626435">
        <w:t>1</w:t>
      </w:r>
      <w:r w:rsidR="00E71F3D" w:rsidRPr="00626435">
        <w:t>)</w:t>
      </w:r>
      <w:r w:rsidRPr="00626435">
        <w:t>.</w:t>
      </w:r>
    </w:p>
    <w:p w:rsidR="00D92F76" w:rsidRPr="00626435" w:rsidRDefault="00B5548C" w:rsidP="00E25CAC">
      <w:r w:rsidRPr="00626435">
        <w:t xml:space="preserve">The method has been validated through comparison with the outcomes of commercial computer programs in steel water and hydrostatic </w:t>
      </w:r>
      <w:r w:rsidR="00635F78" w:rsidRPr="00626435">
        <w:t>PF</w:t>
      </w:r>
      <w:r w:rsidR="003416A4" w:rsidRPr="00626435">
        <w:t xml:space="preserve"> conditions</w:t>
      </w:r>
      <w:r w:rsidRPr="00626435">
        <w:t>.</w:t>
      </w:r>
    </w:p>
    <w:p w:rsidR="002652DA" w:rsidRPr="00626435" w:rsidRDefault="002652DA" w:rsidP="004F41D7">
      <w:pPr>
        <w:pStyle w:val="Titolo2"/>
      </w:pPr>
      <w:r w:rsidRPr="00626435">
        <w:t>Updated Pressure Integration Method</w:t>
      </w:r>
    </w:p>
    <w:p w:rsidR="00635F78" w:rsidRPr="00626435" w:rsidRDefault="00A25B5B" w:rsidP="00EB23B6">
      <w:pPr>
        <w:ind w:firstLine="0"/>
      </w:pPr>
      <w:r w:rsidRPr="00626435">
        <w:t>In order to apply pressure integration, t</w:t>
      </w:r>
      <w:r w:rsidR="00526A33" w:rsidRPr="00626435">
        <w:t>he</w:t>
      </w:r>
      <w:r w:rsidR="00AB2A16" w:rsidRPr="00626435">
        <w:t xml:space="preserve"> hull is modelled by trian</w:t>
      </w:r>
      <w:r w:rsidR="00A10139" w:rsidRPr="00626435">
        <w:t xml:space="preserve">gular panels with small area. The </w:t>
      </w:r>
      <w:r w:rsidR="00526A33" w:rsidRPr="00626435">
        <w:t>pressure</w:t>
      </w:r>
      <w:r w:rsidR="00AB2A16" w:rsidRPr="00626435">
        <w:t xml:space="preserve"> acting on each of them</w:t>
      </w:r>
      <w:r w:rsidR="00526A33" w:rsidRPr="00626435">
        <w:t xml:space="preserve"> is assumed to be constant </w:t>
      </w:r>
      <w:r w:rsidR="00AB2A16" w:rsidRPr="00626435">
        <w:t>and equal to the pressure acting on the panel’s centroid.</w:t>
      </w:r>
      <w:r w:rsidR="00635F78" w:rsidRPr="00626435">
        <w:t xml:space="preserve"> </w:t>
      </w:r>
      <w:r w:rsidR="00AB2A16" w:rsidRPr="00626435">
        <w:t xml:space="preserve">This approach allows </w:t>
      </w:r>
      <w:r w:rsidR="00526A33" w:rsidRPr="00626435">
        <w:t xml:space="preserve">a simple application of a generic </w:t>
      </w:r>
      <w:r w:rsidR="00635F78" w:rsidRPr="00626435">
        <w:t>PF</w:t>
      </w:r>
      <w:r w:rsidR="00526A33" w:rsidRPr="00626435">
        <w:t xml:space="preserve"> associated to the free surface even if </w:t>
      </w:r>
      <w:r w:rsidR="003416A4" w:rsidRPr="00626435">
        <w:t>the PF is</w:t>
      </w:r>
      <w:r w:rsidR="00526A33" w:rsidRPr="00626435">
        <w:t xml:space="preserve"> not conservative (this is a necessary assumption to apply Green theorem). The assumption of constant pressure on a panel compels to control the maximum size of the panels</w:t>
      </w:r>
      <w:r w:rsidR="00B94FF9" w:rsidRPr="00626435">
        <w:t xml:space="preserve"> and to decompose the panels crossed by </w:t>
      </w:r>
      <w:r w:rsidR="00A10139" w:rsidRPr="00626435">
        <w:t xml:space="preserve">the </w:t>
      </w:r>
      <w:r w:rsidR="00B94FF9" w:rsidRPr="00626435">
        <w:t>free surface in completely emerged or</w:t>
      </w:r>
      <w:r w:rsidR="00B5548C" w:rsidRPr="00626435">
        <w:t xml:space="preserve"> </w:t>
      </w:r>
      <w:r w:rsidR="00635F78" w:rsidRPr="00626435">
        <w:t>completely submerged subpanels.</w:t>
      </w:r>
    </w:p>
    <w:p w:rsidR="00164A4B" w:rsidRPr="00626435" w:rsidRDefault="00A25B5B" w:rsidP="00526A33">
      <w:r w:rsidRPr="00626435">
        <w:t xml:space="preserve">The overall forces and moments acting on the hull surface are directly evaluated </w:t>
      </w:r>
      <w:r w:rsidR="00B5548C" w:rsidRPr="00626435">
        <w:t xml:space="preserve">summing the contribution of each panel, </w:t>
      </w:r>
      <w:r w:rsidR="007E3825" w:rsidRPr="00626435">
        <w:t xml:space="preserve">thus allowing to immediately derive </w:t>
      </w:r>
      <w:r w:rsidRPr="00626435">
        <w:t xml:space="preserve">the hydrostatic </w:t>
      </w:r>
      <w:r w:rsidR="00B5548C" w:rsidRPr="00626435">
        <w:t>properties</w:t>
      </w:r>
      <w:r w:rsidRPr="00626435">
        <w:t xml:space="preserve">. A new method has been applied to evaluate the waterplane area characteristics in order to avoid the errors connected to large angles </w:t>
      </w:r>
      <w:r w:rsidR="007E3825" w:rsidRPr="00626435">
        <w:t xml:space="preserve">when </w:t>
      </w:r>
      <w:r w:rsidRPr="00626435">
        <w:t>using</w:t>
      </w:r>
      <w:r w:rsidR="007E3825" w:rsidRPr="00626435">
        <w:t xml:space="preserve"> the</w:t>
      </w:r>
      <w:r w:rsidRPr="00626435">
        <w:t xml:space="preserve"> </w:t>
      </w:r>
      <w:proofErr w:type="spellStart"/>
      <w:r w:rsidRPr="00626435">
        <w:t>Schalck</w:t>
      </w:r>
      <w:proofErr w:type="spellEnd"/>
      <w:r w:rsidRPr="00626435">
        <w:t xml:space="preserve"> </w:t>
      </w:r>
      <w:r w:rsidR="00B60140" w:rsidRPr="00626435">
        <w:t>&amp;</w:t>
      </w:r>
      <w:r w:rsidRPr="00626435">
        <w:t xml:space="preserve"> </w:t>
      </w:r>
      <w:proofErr w:type="spellStart"/>
      <w:r w:rsidRPr="00626435">
        <w:t>Baatrup</w:t>
      </w:r>
      <w:proofErr w:type="spellEnd"/>
      <w:r w:rsidRPr="00626435">
        <w:t xml:space="preserve"> approach: the submerged panels are projected on the water</w:t>
      </w:r>
      <w:r w:rsidR="00164A4B" w:rsidRPr="00626435">
        <w:t>p</w:t>
      </w:r>
      <w:r w:rsidRPr="00626435">
        <w:t xml:space="preserve">lane and their contribution </w:t>
      </w:r>
      <w:r w:rsidR="00164A4B" w:rsidRPr="00626435">
        <w:t>to each characteristic is multiplied by a sign function depending upon the direction of panel normal in the earth fixed reference system.</w:t>
      </w:r>
    </w:p>
    <w:p w:rsidR="00641A47" w:rsidRPr="00626435" w:rsidRDefault="00A25B5B" w:rsidP="00164A4B">
      <w:r w:rsidRPr="00626435">
        <w:t>O</w:t>
      </w:r>
      <w:r w:rsidR="00526A33" w:rsidRPr="00626435">
        <w:t xml:space="preserve">ld difficulties related to long run computation times (20-25 CPU seconds on a CRAY supercomputer or roughly 7 CPU minutes on a DEC VAX 11/750 minicomputer for a 120-panel hull) are overcome nowadays </w:t>
      </w:r>
      <w:r w:rsidR="007E3825" w:rsidRPr="00626435">
        <w:t xml:space="preserve">due to dramatic development` of </w:t>
      </w:r>
      <w:r w:rsidR="003416A4" w:rsidRPr="00626435">
        <w:t>IT</w:t>
      </w:r>
      <w:r w:rsidR="00526A33" w:rsidRPr="00626435">
        <w:t xml:space="preserve">. Therefore, even with a large number of panels this technique provides an accurate </w:t>
      </w:r>
      <w:r w:rsidR="007E3825" w:rsidRPr="00626435">
        <w:t xml:space="preserve">and very fast </w:t>
      </w:r>
      <w:r w:rsidR="00526A33" w:rsidRPr="00626435">
        <w:t>result (0.15 CPU second on a standard laptop for a 65,000-panel mesh).</w:t>
      </w:r>
    </w:p>
    <w:p w:rsidR="002652DA" w:rsidRPr="00626435" w:rsidRDefault="002652DA" w:rsidP="004F41D7">
      <w:pPr>
        <w:pStyle w:val="Titolo2"/>
      </w:pPr>
      <w:bookmarkStart w:id="4" w:name="_Toc486943104"/>
      <w:bookmarkStart w:id="5" w:name="_Toc486948092"/>
      <w:r w:rsidRPr="00626435">
        <w:t>Equilibrium</w:t>
      </w:r>
      <w:bookmarkEnd w:id="4"/>
      <w:bookmarkEnd w:id="5"/>
      <w:r w:rsidRPr="00626435">
        <w:t xml:space="preserve"> </w:t>
      </w:r>
      <w:r w:rsidR="003A032A" w:rsidRPr="00626435">
        <w:t>A</w:t>
      </w:r>
      <w:r w:rsidRPr="00626435">
        <w:t>ssessment</w:t>
      </w:r>
    </w:p>
    <w:p w:rsidR="00B5548C" w:rsidRPr="00626435" w:rsidRDefault="003416A4" w:rsidP="00B5548C">
      <w:pPr>
        <w:ind w:firstLine="0"/>
      </w:pPr>
      <w:r w:rsidRPr="00626435">
        <w:t>A</w:t>
      </w:r>
      <w:r w:rsidR="002652DA" w:rsidRPr="00626435">
        <w:t xml:space="preserve"> floating body is </w:t>
      </w:r>
      <w:r w:rsidR="001735D7" w:rsidRPr="00626435">
        <w:t xml:space="preserve">considered </w:t>
      </w:r>
      <w:r w:rsidR="002652DA" w:rsidRPr="00626435">
        <w:t xml:space="preserve">in equilibrium when the center of mass </w:t>
      </w:r>
      <w:r w:rsidR="002F0E87" w:rsidRPr="00626435">
        <w:rPr>
          <w:i/>
        </w:rPr>
        <w:t>G</w:t>
      </w:r>
      <w:r w:rsidR="002652DA" w:rsidRPr="00626435">
        <w:rPr>
          <w:rFonts w:eastAsiaTheme="minorEastAsia"/>
        </w:rPr>
        <w:t xml:space="preserve"> </w:t>
      </w:r>
      <w:r w:rsidR="002652DA" w:rsidRPr="00626435">
        <w:t>belongs to the line of the buoyancy force and the buoyancy force is equal to the ship weight. In the earth-fixed reference system</w:t>
      </w:r>
      <w:r w:rsidR="002652DA" w:rsidRPr="00626435">
        <w:rPr>
          <w:rFonts w:eastAsiaTheme="minorEastAsia"/>
        </w:rPr>
        <w:t xml:space="preserve">, this statement means </w:t>
      </w:r>
      <w:r w:rsidR="007E3825" w:rsidRPr="00626435">
        <w:rPr>
          <w:rFonts w:eastAsiaTheme="minorEastAsia"/>
        </w:rPr>
        <w:t xml:space="preserve">to verify </w:t>
      </w:r>
      <w:r w:rsidR="002652DA" w:rsidRPr="00626435">
        <w:rPr>
          <w:rFonts w:eastAsiaTheme="minorEastAsia"/>
        </w:rPr>
        <w:t xml:space="preserve">that the vertical component of the buoyancy force is equal to weight </w:t>
      </w:r>
      <w:r w:rsidR="002F0E87" w:rsidRPr="00626435">
        <w:rPr>
          <w:rFonts w:eastAsiaTheme="minorEastAsia"/>
          <w:i/>
        </w:rPr>
        <w:t>W</w:t>
      </w:r>
      <w:r w:rsidR="002652DA" w:rsidRPr="00626435">
        <w:rPr>
          <w:rFonts w:eastAsiaTheme="minorEastAsia"/>
        </w:rPr>
        <w:t xml:space="preserve">, </w:t>
      </w:r>
      <w:r w:rsidR="002F0E87" w:rsidRPr="00626435">
        <w:rPr>
          <w:rFonts w:eastAsiaTheme="minorEastAsia"/>
        </w:rPr>
        <w:t>while</w:t>
      </w:r>
      <w:r w:rsidR="002652DA" w:rsidRPr="00626435">
        <w:rPr>
          <w:rFonts w:eastAsiaTheme="minorEastAsia"/>
        </w:rPr>
        <w:t xml:space="preserve"> </w:t>
      </w:r>
      <w:r w:rsidR="002F0E87" w:rsidRPr="00626435">
        <w:rPr>
          <w:rFonts w:eastAsiaTheme="minorEastAsia"/>
          <w:i/>
        </w:rPr>
        <w:t>G</w:t>
      </w:r>
      <w:r w:rsidR="002F0E87" w:rsidRPr="00626435">
        <w:rPr>
          <w:rFonts w:eastAsiaTheme="minorEastAsia"/>
        </w:rPr>
        <w:t xml:space="preserve"> </w:t>
      </w:r>
      <w:r w:rsidR="002652DA" w:rsidRPr="00626435">
        <w:rPr>
          <w:rFonts w:eastAsiaTheme="minorEastAsia"/>
        </w:rPr>
        <w:t xml:space="preserve">and </w:t>
      </w:r>
      <w:r w:rsidR="007E3825" w:rsidRPr="00626435">
        <w:rPr>
          <w:rFonts w:eastAsiaTheme="minorEastAsia"/>
        </w:rPr>
        <w:t xml:space="preserve">the </w:t>
      </w:r>
      <w:r w:rsidR="002F0E87" w:rsidRPr="00626435">
        <w:rPr>
          <w:rFonts w:eastAsiaTheme="minorEastAsia"/>
        </w:rPr>
        <w:t>center</w:t>
      </w:r>
      <w:r w:rsidR="002652DA" w:rsidRPr="00626435">
        <w:rPr>
          <w:rFonts w:eastAsiaTheme="minorEastAsia"/>
        </w:rPr>
        <w:t xml:space="preserve"> of buoyancy </w:t>
      </w:r>
      <w:r w:rsidR="002F0E87" w:rsidRPr="00626435">
        <w:rPr>
          <w:rFonts w:eastAsiaTheme="minorEastAsia"/>
          <w:i/>
        </w:rPr>
        <w:t>B</w:t>
      </w:r>
      <w:r w:rsidR="002652DA" w:rsidRPr="00626435">
        <w:rPr>
          <w:rFonts w:eastAsiaTheme="minorEastAsia"/>
        </w:rPr>
        <w:t xml:space="preserve"> have the same longitudinal and transversal coordinates.</w:t>
      </w:r>
    </w:p>
    <w:p w:rsidR="002652DA" w:rsidRPr="00626435" w:rsidRDefault="002652DA" w:rsidP="001735D7">
      <w:r w:rsidRPr="00626435">
        <w:t>In whichever floating position defined univocally by the triple</w:t>
      </w:r>
      <w:r w:rsidR="002F0E87" w:rsidRPr="00626435">
        <w:t xml:space="preserve"> </w:t>
      </w:r>
      <w:r w:rsidR="002F0E87" w:rsidRPr="00626435">
        <w:rPr>
          <w:i/>
        </w:rPr>
        <w:t>T=</w:t>
      </w:r>
      <w:r w:rsidR="002F0E87" w:rsidRPr="00626435">
        <w:t>(</w:t>
      </w:r>
      <w:r w:rsidR="00EB0B92" w:rsidRPr="00626435">
        <w:rPr>
          <w:i/>
        </w:rPr>
        <w:t>T</w:t>
      </w:r>
      <w:r w:rsidR="00EB0B92" w:rsidRPr="00626435">
        <w:rPr>
          <w:i/>
          <w:vertAlign w:val="subscript"/>
        </w:rPr>
        <w:t>M</w:t>
      </w:r>
      <w:r w:rsidR="00EB0B92" w:rsidRPr="00626435">
        <w:t xml:space="preserve">, </w:t>
      </w:r>
      <w:r w:rsidR="00EB0B92" w:rsidRPr="00626435">
        <w:rPr>
          <w:i/>
        </w:rPr>
        <w:t>ϑ</w:t>
      </w:r>
      <w:r w:rsidR="00EB0B92" w:rsidRPr="00626435">
        <w:t xml:space="preserve">, </w:t>
      </w:r>
      <w:r w:rsidR="00EB0B92" w:rsidRPr="00626435">
        <w:rPr>
          <w:i/>
        </w:rPr>
        <w:t>φ</w:t>
      </w:r>
      <w:r w:rsidR="002F0E87" w:rsidRPr="00626435">
        <w:t>)</w:t>
      </w:r>
      <w:r w:rsidR="002F0E87" w:rsidRPr="00626435">
        <w:rPr>
          <w:i/>
          <w:vertAlign w:val="superscript"/>
        </w:rPr>
        <w:t>T</w:t>
      </w:r>
      <w:r w:rsidR="002F0E87" w:rsidRPr="00626435">
        <w:t xml:space="preserve"> composed respectively by the mean draught, the trim angle and the heel angle</w:t>
      </w:r>
      <w:r w:rsidRPr="00626435">
        <w:t xml:space="preserve">, the residual vector </w:t>
      </w:r>
      <w:r w:rsidR="002F0E87" w:rsidRPr="00626435">
        <w:rPr>
          <w:i/>
        </w:rPr>
        <w:t>D</w:t>
      </w:r>
      <w:r w:rsidRPr="00626435">
        <w:t xml:space="preserve"> representing the distance between such a position and the equilibrium floating position is defined as:</w:t>
      </w:r>
    </w:p>
    <w:p w:rsidR="002F0E87" w:rsidRPr="00626435" w:rsidRDefault="00E71F3D" w:rsidP="002F0E87">
      <w:pPr>
        <w:pStyle w:val="Equation"/>
      </w:pPr>
      <w:r w:rsidRPr="00626435">
        <w:rPr>
          <w:position w:val="-12"/>
        </w:rPr>
        <w:object w:dxaOrig="4540" w:dyaOrig="400">
          <v:shape id="_x0000_i1029" type="#_x0000_t75" style="width:190.6pt;height:16.65pt" o:ole="">
            <v:imagedata r:id="rId17" o:title=""/>
          </v:shape>
          <o:OLEObject Type="Embed" ProgID="Equation.3" ShapeID="_x0000_i1029" DrawAspect="Content" ObjectID="_1584535220" r:id="rId18"/>
        </w:object>
      </w:r>
      <w:r w:rsidR="002F0E87" w:rsidRPr="00626435">
        <w:tab/>
        <w:t>(5)</w:t>
      </w:r>
    </w:p>
    <w:p w:rsidR="002652DA" w:rsidRPr="00626435" w:rsidRDefault="002652DA" w:rsidP="002652DA">
      <w:r w:rsidRPr="00626435">
        <w:t>With linear approximation, the increment vector</w:t>
      </w:r>
      <w:r w:rsidR="005D6C73" w:rsidRPr="00626435">
        <w:t xml:space="preserve"> </w:t>
      </w:r>
      <w:proofErr w:type="spellStart"/>
      <w:r w:rsidR="005D6C73" w:rsidRPr="00626435">
        <w:rPr>
          <w:i/>
        </w:rPr>
        <w:t>dT</w:t>
      </w:r>
      <w:proofErr w:type="spellEnd"/>
      <w:r w:rsidR="005D6C73" w:rsidRPr="00626435">
        <w:rPr>
          <w:i/>
        </w:rPr>
        <w:t>=</w:t>
      </w:r>
      <w:r w:rsidR="005D6C73" w:rsidRPr="00626435">
        <w:t>(</w:t>
      </w:r>
      <w:proofErr w:type="spellStart"/>
      <w:r w:rsidR="005D6C73" w:rsidRPr="00626435">
        <w:rPr>
          <w:i/>
        </w:rPr>
        <w:t>dT</w:t>
      </w:r>
      <w:r w:rsidR="005D6C73" w:rsidRPr="00626435">
        <w:rPr>
          <w:i/>
          <w:vertAlign w:val="subscript"/>
        </w:rPr>
        <w:t>M</w:t>
      </w:r>
      <w:proofErr w:type="spellEnd"/>
      <w:r w:rsidR="005D6C73" w:rsidRPr="00626435">
        <w:t xml:space="preserve">, </w:t>
      </w:r>
      <w:proofErr w:type="spellStart"/>
      <w:r w:rsidR="005D6C73" w:rsidRPr="00626435">
        <w:rPr>
          <w:i/>
        </w:rPr>
        <w:t>d</w:t>
      </w:r>
      <w:r w:rsidR="00EB0B92" w:rsidRPr="00626435">
        <w:rPr>
          <w:i/>
        </w:rPr>
        <w:t>ϑ</w:t>
      </w:r>
      <w:proofErr w:type="spellEnd"/>
      <w:r w:rsidR="005D6C73" w:rsidRPr="00626435">
        <w:t xml:space="preserve">, </w:t>
      </w:r>
      <w:proofErr w:type="spellStart"/>
      <w:r w:rsidR="005D6C73" w:rsidRPr="00626435">
        <w:rPr>
          <w:i/>
        </w:rPr>
        <w:t>d</w:t>
      </w:r>
      <w:r w:rsidR="00EB0B92" w:rsidRPr="00626435">
        <w:rPr>
          <w:i/>
        </w:rPr>
        <w:t>φ</w:t>
      </w:r>
      <w:proofErr w:type="spellEnd"/>
      <w:r w:rsidR="00EB0B92" w:rsidRPr="00626435">
        <w:rPr>
          <w:i/>
        </w:rPr>
        <w:t>)</w:t>
      </w:r>
      <w:r w:rsidR="005D6C73" w:rsidRPr="00626435">
        <w:rPr>
          <w:i/>
          <w:vertAlign w:val="superscript"/>
        </w:rPr>
        <w:t>T</w:t>
      </w:r>
      <w:r w:rsidRPr="00626435">
        <w:rPr>
          <w:vertAlign w:val="subscript"/>
        </w:rPr>
        <w:t xml:space="preserve"> </w:t>
      </w:r>
      <w:r w:rsidRPr="00626435">
        <w:t xml:space="preserve"> to reach the equilibrium floating position can be found from the Jacobean matrix of residual vector </w:t>
      </w:r>
      <w:r w:rsidR="005D6C73" w:rsidRPr="00626435">
        <w:rPr>
          <w:b/>
        </w:rPr>
        <w:t>J</w:t>
      </w:r>
      <w:r w:rsidR="005D6C73" w:rsidRPr="00626435">
        <w:rPr>
          <w:i/>
          <w:vertAlign w:val="subscript"/>
        </w:rPr>
        <w:t>D</w:t>
      </w:r>
      <w:r w:rsidRPr="00626435">
        <w:t xml:space="preserve"> solving for the following system of equations:</w:t>
      </w:r>
    </w:p>
    <w:p w:rsidR="005D6C73" w:rsidRPr="00626435" w:rsidRDefault="005D6C73" w:rsidP="005D6C73">
      <w:pPr>
        <w:pStyle w:val="Equation"/>
      </w:pPr>
      <w:r w:rsidRPr="00626435">
        <w:rPr>
          <w:position w:val="-10"/>
        </w:rPr>
        <w:object w:dxaOrig="1260" w:dyaOrig="340">
          <v:shape id="_x0000_i1030" type="#_x0000_t75" style="width:52.85pt;height:14.55pt" o:ole="">
            <v:imagedata r:id="rId19" o:title=""/>
          </v:shape>
          <o:OLEObject Type="Embed" ProgID="Equation.3" ShapeID="_x0000_i1030" DrawAspect="Content" ObjectID="_1584535221" r:id="rId20"/>
        </w:object>
      </w:r>
      <w:r w:rsidRPr="00626435">
        <w:tab/>
        <w:t>(6)</w:t>
      </w:r>
    </w:p>
    <w:p w:rsidR="002652DA" w:rsidRPr="00626435" w:rsidRDefault="002652DA" w:rsidP="002652DA">
      <w:r w:rsidRPr="00626435">
        <w:t xml:space="preserve">According to </w:t>
      </w:r>
      <w:proofErr w:type="spellStart"/>
      <w:r w:rsidRPr="00626435">
        <w:t>Grinnaert</w:t>
      </w:r>
      <w:proofErr w:type="spellEnd"/>
      <w:r w:rsidRPr="00626435">
        <w:t xml:space="preserve"> et al. [</w:t>
      </w:r>
      <w:r w:rsidR="00E71F3D" w:rsidRPr="00626435">
        <w:t>12</w:t>
      </w:r>
      <w:r w:rsidRPr="00626435">
        <w:t>] the Jacobean matrix can be approximated as:</w:t>
      </w:r>
    </w:p>
    <w:p w:rsidR="005D6C73" w:rsidRPr="00626435" w:rsidRDefault="00EB0B92" w:rsidP="005D6C73">
      <w:pPr>
        <w:pStyle w:val="Equation"/>
      </w:pPr>
      <w:r w:rsidRPr="00626435">
        <w:rPr>
          <w:position w:val="-102"/>
        </w:rPr>
        <w:object w:dxaOrig="4380" w:dyaOrig="2160">
          <v:shape id="_x0000_i1031" type="#_x0000_t75" style="width:183.55pt;height:89.5pt" o:ole="">
            <v:imagedata r:id="rId21" o:title=""/>
          </v:shape>
          <o:OLEObject Type="Embed" ProgID="Equation.3" ShapeID="_x0000_i1031" DrawAspect="Content" ObjectID="_1584535222" r:id="rId22"/>
        </w:object>
      </w:r>
      <w:r w:rsidR="005D6C73" w:rsidRPr="00626435">
        <w:tab/>
        <w:t>(</w:t>
      </w:r>
      <w:r w:rsidRPr="00626435">
        <w:t>7</w:t>
      </w:r>
      <w:r w:rsidR="005D6C73" w:rsidRPr="00626435">
        <w:t>)</w:t>
      </w:r>
    </w:p>
    <w:p w:rsidR="001735D7" w:rsidRPr="00626435" w:rsidRDefault="00B81F1E" w:rsidP="001735D7">
      <w:pPr>
        <w:ind w:firstLine="0"/>
      </w:pPr>
      <w:r w:rsidRPr="00626435">
        <w:t>w</w:t>
      </w:r>
      <w:r w:rsidR="002652DA" w:rsidRPr="00626435">
        <w:t>here</w:t>
      </w:r>
      <w:r w:rsidR="00B60140" w:rsidRPr="00626435">
        <w:t xml:space="preserve"> </w:t>
      </w:r>
      <w:proofErr w:type="spellStart"/>
      <w:r w:rsidR="002030B3" w:rsidRPr="00626435">
        <w:rPr>
          <w:i/>
        </w:rPr>
        <w:t>ε</w:t>
      </w:r>
      <w:r w:rsidR="002030B3" w:rsidRPr="00626435">
        <w:rPr>
          <w:i/>
          <w:vertAlign w:val="subscript"/>
        </w:rPr>
        <w:t>T</w:t>
      </w:r>
      <w:proofErr w:type="spellEnd"/>
      <w:r w:rsidR="002652DA" w:rsidRPr="00626435">
        <w:t xml:space="preserve"> is a small increment in draft (1% of ship depth)</w:t>
      </w:r>
      <w:r w:rsidR="00B60140" w:rsidRPr="00626435">
        <w:t xml:space="preserve">, </w:t>
      </w:r>
      <w:proofErr w:type="spellStart"/>
      <w:r w:rsidR="00EB0195" w:rsidRPr="00626435">
        <w:rPr>
          <w:i/>
        </w:rPr>
        <w:t>ε</w:t>
      </w:r>
      <w:r w:rsidR="00EB0195" w:rsidRPr="00626435">
        <w:rPr>
          <w:i/>
          <w:vertAlign w:val="subscript"/>
        </w:rPr>
        <w:t>ϑ</w:t>
      </w:r>
      <w:proofErr w:type="spellEnd"/>
      <w:r w:rsidR="002652DA" w:rsidRPr="00626435">
        <w:t xml:space="preserve"> is a small increment in trim (0.1 </w:t>
      </w:r>
      <w:proofErr w:type="spellStart"/>
      <w:r w:rsidR="002652DA" w:rsidRPr="00626435">
        <w:t>deg</w:t>
      </w:r>
      <w:proofErr w:type="spellEnd"/>
      <w:r w:rsidR="002652DA" w:rsidRPr="00626435">
        <w:t>)</w:t>
      </w:r>
      <w:r w:rsidR="00B60140" w:rsidRPr="00626435">
        <w:t xml:space="preserve">, </w:t>
      </w:r>
      <w:proofErr w:type="spellStart"/>
      <w:r w:rsidR="00EB0195" w:rsidRPr="00626435">
        <w:rPr>
          <w:i/>
        </w:rPr>
        <w:t>ε</w:t>
      </w:r>
      <w:r w:rsidR="00EB0195" w:rsidRPr="00626435">
        <w:rPr>
          <w:i/>
          <w:vertAlign w:val="subscript"/>
        </w:rPr>
        <w:t>φ</w:t>
      </w:r>
      <w:proofErr w:type="spellEnd"/>
      <w:r w:rsidR="002652DA" w:rsidRPr="00626435">
        <w:t xml:space="preserve"> is a small increment in heel (1 </w:t>
      </w:r>
      <w:proofErr w:type="spellStart"/>
      <w:r w:rsidR="002652DA" w:rsidRPr="00626435">
        <w:t>deg</w:t>
      </w:r>
      <w:proofErr w:type="spellEnd"/>
      <w:r w:rsidR="002652DA" w:rsidRPr="00626435">
        <w:t>)</w:t>
      </w:r>
      <w:r w:rsidR="00B60140" w:rsidRPr="00626435">
        <w:t xml:space="preserve">, </w:t>
      </w:r>
      <w:r w:rsidR="00EB0195" w:rsidRPr="00626435">
        <w:rPr>
          <w:i/>
        </w:rPr>
        <w:t>D</w:t>
      </w:r>
      <w:r w:rsidR="00EB0195" w:rsidRPr="00626435">
        <w:rPr>
          <w:i/>
          <w:vertAlign w:val="subscript"/>
        </w:rPr>
        <w:t>T</w:t>
      </w:r>
      <w:r w:rsidR="001F3192" w:rsidRPr="00626435">
        <w:rPr>
          <w:i/>
        </w:rPr>
        <w:t xml:space="preserve">, </w:t>
      </w:r>
      <w:proofErr w:type="spellStart"/>
      <w:r w:rsidR="001F3192" w:rsidRPr="00626435">
        <w:rPr>
          <w:i/>
        </w:rPr>
        <w:t>D</w:t>
      </w:r>
      <w:r w:rsidR="001F3192" w:rsidRPr="00626435">
        <w:rPr>
          <w:i/>
          <w:vertAlign w:val="subscript"/>
        </w:rPr>
        <w:t>ϑ</w:t>
      </w:r>
      <w:proofErr w:type="spellEnd"/>
      <w:r w:rsidR="001F3192" w:rsidRPr="00626435">
        <w:t xml:space="preserve"> and </w:t>
      </w:r>
      <w:proofErr w:type="spellStart"/>
      <w:r w:rsidR="001F3192" w:rsidRPr="00626435">
        <w:rPr>
          <w:i/>
        </w:rPr>
        <w:t>D</w:t>
      </w:r>
      <w:r w:rsidR="001F3192" w:rsidRPr="00626435">
        <w:rPr>
          <w:i/>
          <w:vertAlign w:val="subscript"/>
        </w:rPr>
        <w:t>φ</w:t>
      </w:r>
      <w:proofErr w:type="spellEnd"/>
      <w:r w:rsidR="001F3192" w:rsidRPr="00626435">
        <w:t xml:space="preserve"> are the residual vectors as defined in (5)</w:t>
      </w:r>
      <w:r w:rsidR="002652DA" w:rsidRPr="00626435">
        <w:t xml:space="preserve"> </w:t>
      </w:r>
      <w:r w:rsidR="001F3192" w:rsidRPr="00626435">
        <w:t xml:space="preserve">evaluated respectively at the floating positions </w:t>
      </w:r>
      <w:r w:rsidR="00EB0195" w:rsidRPr="00626435">
        <w:rPr>
          <w:i/>
        </w:rPr>
        <w:t>T</w:t>
      </w:r>
      <w:r w:rsidR="00EB0195" w:rsidRPr="00626435">
        <w:rPr>
          <w:i/>
          <w:vertAlign w:val="subscript"/>
        </w:rPr>
        <w:t>T</w:t>
      </w:r>
      <w:r w:rsidR="00EB0195" w:rsidRPr="00626435">
        <w:t xml:space="preserve"> = </w:t>
      </w:r>
      <w:r w:rsidR="00B60140" w:rsidRPr="00626435">
        <w:t>(</w:t>
      </w:r>
      <w:proofErr w:type="spellStart"/>
      <w:r w:rsidR="00B60140" w:rsidRPr="00626435">
        <w:rPr>
          <w:i/>
        </w:rPr>
        <w:t>T</w:t>
      </w:r>
      <w:r w:rsidR="00EB0195" w:rsidRPr="00626435">
        <w:rPr>
          <w:i/>
          <w:vertAlign w:val="subscript"/>
        </w:rPr>
        <w:t>M</w:t>
      </w:r>
      <w:r w:rsidR="00EB0195" w:rsidRPr="00626435">
        <w:t>+</w:t>
      </w:r>
      <w:r w:rsidR="00EB0195" w:rsidRPr="00626435">
        <w:rPr>
          <w:i/>
        </w:rPr>
        <w:t>ε</w:t>
      </w:r>
      <w:r w:rsidR="00EB0195" w:rsidRPr="00626435">
        <w:rPr>
          <w:i/>
          <w:vertAlign w:val="subscript"/>
        </w:rPr>
        <w:t>T</w:t>
      </w:r>
      <w:proofErr w:type="spellEnd"/>
      <w:r w:rsidR="00EB0195" w:rsidRPr="00626435">
        <w:t>,</w:t>
      </w:r>
      <w:r w:rsidR="00B60140" w:rsidRPr="00626435">
        <w:t xml:space="preserve"> </w:t>
      </w:r>
      <w:r w:rsidR="00EB0195" w:rsidRPr="00626435">
        <w:rPr>
          <w:i/>
        </w:rPr>
        <w:t>ϑ</w:t>
      </w:r>
      <w:r w:rsidR="00EB0195" w:rsidRPr="00626435">
        <w:t>,</w:t>
      </w:r>
      <w:r w:rsidR="00B60140" w:rsidRPr="00626435">
        <w:t xml:space="preserve"> </w:t>
      </w:r>
      <w:r w:rsidR="00EB0195" w:rsidRPr="00626435">
        <w:rPr>
          <w:i/>
        </w:rPr>
        <w:t>φ</w:t>
      </w:r>
      <w:r w:rsidR="00EB0195" w:rsidRPr="00626435">
        <w:t>)</w:t>
      </w:r>
      <w:r w:rsidR="00EB0195" w:rsidRPr="00626435">
        <w:rPr>
          <w:i/>
          <w:vertAlign w:val="superscript"/>
        </w:rPr>
        <w:t>T</w:t>
      </w:r>
      <w:r w:rsidR="00B60140" w:rsidRPr="00626435">
        <w:t xml:space="preserve">, </w:t>
      </w:r>
      <w:proofErr w:type="spellStart"/>
      <w:r w:rsidR="00B60140" w:rsidRPr="00626435">
        <w:rPr>
          <w:i/>
        </w:rPr>
        <w:t>T</w:t>
      </w:r>
      <w:r w:rsidRPr="00626435">
        <w:rPr>
          <w:i/>
          <w:vertAlign w:val="subscript"/>
        </w:rPr>
        <w:t>ϑ</w:t>
      </w:r>
      <w:proofErr w:type="spellEnd"/>
      <w:r w:rsidR="00B60140" w:rsidRPr="00626435">
        <w:t xml:space="preserve"> = (</w:t>
      </w:r>
      <w:r w:rsidR="00B60140" w:rsidRPr="00626435">
        <w:rPr>
          <w:i/>
        </w:rPr>
        <w:t>T</w:t>
      </w:r>
      <w:r w:rsidR="00B60140" w:rsidRPr="00626435">
        <w:rPr>
          <w:i/>
          <w:vertAlign w:val="subscript"/>
        </w:rPr>
        <w:t>M</w:t>
      </w:r>
      <w:r w:rsidR="00B60140" w:rsidRPr="00626435">
        <w:t xml:space="preserve">, </w:t>
      </w:r>
      <w:proofErr w:type="spellStart"/>
      <w:r w:rsidR="00B60140" w:rsidRPr="00626435">
        <w:rPr>
          <w:i/>
        </w:rPr>
        <w:t>ϑ</w:t>
      </w:r>
      <w:r w:rsidR="00B60140" w:rsidRPr="00626435">
        <w:t>+</w:t>
      </w:r>
      <w:r w:rsidR="00B60140" w:rsidRPr="00626435">
        <w:rPr>
          <w:i/>
        </w:rPr>
        <w:t>ε</w:t>
      </w:r>
      <w:r w:rsidR="00B60140" w:rsidRPr="00626435">
        <w:rPr>
          <w:i/>
          <w:vertAlign w:val="subscript"/>
        </w:rPr>
        <w:t>ϑ</w:t>
      </w:r>
      <w:proofErr w:type="spellEnd"/>
      <w:r w:rsidR="00B60140" w:rsidRPr="00626435">
        <w:t xml:space="preserve">, </w:t>
      </w:r>
      <w:r w:rsidR="00B60140" w:rsidRPr="00626435">
        <w:rPr>
          <w:i/>
        </w:rPr>
        <w:t>φ</w:t>
      </w:r>
      <w:r w:rsidR="00B60140" w:rsidRPr="00626435">
        <w:t>)</w:t>
      </w:r>
      <w:r w:rsidR="00B60140" w:rsidRPr="00626435">
        <w:rPr>
          <w:i/>
          <w:vertAlign w:val="superscript"/>
        </w:rPr>
        <w:t>T</w:t>
      </w:r>
      <w:r w:rsidR="00B60140" w:rsidRPr="00626435">
        <w:t xml:space="preserve"> </w:t>
      </w:r>
      <w:r w:rsidR="001F3192" w:rsidRPr="00626435">
        <w:t>and</w:t>
      </w:r>
      <w:r w:rsidR="002652DA" w:rsidRPr="00626435">
        <w:t xml:space="preserve"> </w:t>
      </w:r>
      <w:proofErr w:type="spellStart"/>
      <w:r w:rsidRPr="00626435">
        <w:rPr>
          <w:i/>
        </w:rPr>
        <w:t>T</w:t>
      </w:r>
      <w:r w:rsidRPr="00626435">
        <w:rPr>
          <w:i/>
          <w:vertAlign w:val="subscript"/>
        </w:rPr>
        <w:t>φ</w:t>
      </w:r>
      <w:proofErr w:type="spellEnd"/>
      <w:r w:rsidRPr="00626435">
        <w:t xml:space="preserve"> = (</w:t>
      </w:r>
      <w:r w:rsidRPr="00626435">
        <w:rPr>
          <w:i/>
        </w:rPr>
        <w:t>T</w:t>
      </w:r>
      <w:r w:rsidRPr="00626435">
        <w:rPr>
          <w:i/>
          <w:vertAlign w:val="subscript"/>
        </w:rPr>
        <w:t>M</w:t>
      </w:r>
      <w:r w:rsidRPr="00626435">
        <w:t xml:space="preserve">, </w:t>
      </w:r>
      <w:r w:rsidRPr="00626435">
        <w:rPr>
          <w:i/>
        </w:rPr>
        <w:t>ϑ</w:t>
      </w:r>
      <w:r w:rsidRPr="00626435">
        <w:t xml:space="preserve">, </w:t>
      </w:r>
      <w:proofErr w:type="spellStart"/>
      <w:r w:rsidRPr="00626435">
        <w:rPr>
          <w:i/>
        </w:rPr>
        <w:t>φ</w:t>
      </w:r>
      <w:r w:rsidRPr="00626435">
        <w:t>+</w:t>
      </w:r>
      <w:r w:rsidRPr="00626435">
        <w:rPr>
          <w:i/>
        </w:rPr>
        <w:t>ε</w:t>
      </w:r>
      <w:r w:rsidRPr="00626435">
        <w:rPr>
          <w:i/>
          <w:vertAlign w:val="subscript"/>
        </w:rPr>
        <w:t>φ</w:t>
      </w:r>
      <w:proofErr w:type="spellEnd"/>
      <w:r w:rsidRPr="00626435">
        <w:t>)</w:t>
      </w:r>
      <w:r w:rsidRPr="00626435">
        <w:rPr>
          <w:i/>
          <w:vertAlign w:val="superscript"/>
        </w:rPr>
        <w:t>T</w:t>
      </w:r>
      <w:r w:rsidRPr="00626435">
        <w:t>.</w:t>
      </w:r>
    </w:p>
    <w:p w:rsidR="00641A47" w:rsidRPr="00626435" w:rsidRDefault="004F41D7" w:rsidP="001735D7">
      <w:r w:rsidRPr="00626435">
        <w:t>The system is solved by means of</w:t>
      </w:r>
      <w:r w:rsidR="002652DA" w:rsidRPr="00626435">
        <w:t xml:space="preserve"> Lower Upper Decomposition method </w:t>
      </w:r>
      <w:r w:rsidRPr="00626435">
        <w:t>finding</w:t>
      </w:r>
      <w:r w:rsidR="002652DA" w:rsidRPr="00626435">
        <w:t xml:space="preserve"> out the increments for draft, trim and heel. These increments are used to update the floating position to approach the equilibrium floating position </w:t>
      </w:r>
      <w:r w:rsidRPr="00626435">
        <w:t xml:space="preserve">in an iterative process. </w:t>
      </w:r>
      <w:r w:rsidR="002652DA" w:rsidRPr="00626435">
        <w:t>A low number of iterations is required to find out the equilibrium floating position within the required accuracy defined through tolerances on residuals.</w:t>
      </w:r>
    </w:p>
    <w:bookmarkEnd w:id="0"/>
    <w:bookmarkEnd w:id="1"/>
    <w:p w:rsidR="0085569F" w:rsidRPr="00626435" w:rsidRDefault="002652DA" w:rsidP="004F41D7">
      <w:pPr>
        <w:pStyle w:val="Titolo1"/>
      </w:pPr>
      <w:r w:rsidRPr="00626435">
        <w:t>Accuracy Analysis</w:t>
      </w:r>
    </w:p>
    <w:p w:rsidR="00A63BA5" w:rsidRPr="00626435" w:rsidRDefault="00FD13BD" w:rsidP="00913588">
      <w:pPr>
        <w:ind w:firstLine="0"/>
      </w:pPr>
      <w:bookmarkStart w:id="6" w:name="_GoBack"/>
      <w:bookmarkEnd w:id="6"/>
      <w:r w:rsidRPr="00626435">
        <w:t>The loading computer systems</w:t>
      </w:r>
      <w:r w:rsidR="001F3192" w:rsidRPr="00626435">
        <w:t xml:space="preserve"> which verify onboard the compliance with stability and structural strength regulations, are subject to certification by class societies. In particular, the accuracy of the results pro</w:t>
      </w:r>
      <w:r w:rsidR="006B0902" w:rsidRPr="00626435">
        <w:t>v</w:t>
      </w:r>
      <w:r w:rsidR="001F3192" w:rsidRPr="00626435">
        <w:t>ided by a LCS</w:t>
      </w:r>
      <w:r w:rsidR="006B0902" w:rsidRPr="00626435">
        <w:t xml:space="preserve"> is governed by IACS requirements</w:t>
      </w:r>
      <w:r w:rsidR="00FE263E" w:rsidRPr="00626435">
        <w:t xml:space="preserve"> [12]</w:t>
      </w:r>
      <w:r w:rsidR="006B0902" w:rsidRPr="00626435">
        <w:t>.</w:t>
      </w:r>
      <w:r w:rsidR="00FE263E" w:rsidRPr="00626435">
        <w:t xml:space="preserve"> In order to obtain the certification</w:t>
      </w:r>
      <w:r w:rsidRPr="00626435">
        <w:t>,</w:t>
      </w:r>
      <w:r w:rsidR="00FE263E" w:rsidRPr="00626435">
        <w:t xml:space="preserve"> </w:t>
      </w:r>
      <w:r w:rsidRPr="00626435">
        <w:t xml:space="preserve">whichever </w:t>
      </w:r>
      <w:r w:rsidR="00FE263E" w:rsidRPr="00626435">
        <w:t xml:space="preserve">new </w:t>
      </w:r>
      <w:r w:rsidR="002049A8" w:rsidRPr="00626435">
        <w:t>LCS</w:t>
      </w:r>
      <w:r w:rsidR="00FE263E" w:rsidRPr="00626435">
        <w:t xml:space="preserve"> </w:t>
      </w:r>
      <w:r w:rsidRPr="00626435">
        <w:t xml:space="preserve">has to </w:t>
      </w:r>
      <w:r w:rsidR="00FE263E" w:rsidRPr="00626435">
        <w:t xml:space="preserve">be capable to reproduce the outcomes obtained using </w:t>
      </w:r>
      <w:r w:rsidRPr="00626435">
        <w:t xml:space="preserve">an already </w:t>
      </w:r>
      <w:r w:rsidR="00FE263E" w:rsidRPr="00626435">
        <w:t xml:space="preserve">certified code. Thus, </w:t>
      </w:r>
      <w:r w:rsidRPr="00626435">
        <w:t xml:space="preserve">when </w:t>
      </w:r>
      <w:r w:rsidR="00FE263E" w:rsidRPr="00626435">
        <w:t xml:space="preserve">introducing the regular waves, </w:t>
      </w:r>
      <w:r w:rsidRPr="00626435">
        <w:t xml:space="preserve">it </w:t>
      </w:r>
      <w:r w:rsidR="00FE263E" w:rsidRPr="00626435">
        <w:t xml:space="preserve">is </w:t>
      </w:r>
      <w:r w:rsidRPr="00626435">
        <w:t xml:space="preserve">important </w:t>
      </w:r>
      <w:r w:rsidR="00FE263E" w:rsidRPr="00626435">
        <w:t xml:space="preserve">to analyze how </w:t>
      </w:r>
      <w:r w:rsidR="0057328B" w:rsidRPr="00626435">
        <w:t xml:space="preserve">different </w:t>
      </w:r>
      <w:r w:rsidR="00D92F76" w:rsidRPr="00626435">
        <w:t>PFs</w:t>
      </w:r>
      <w:r w:rsidR="0057328B" w:rsidRPr="00626435">
        <w:t xml:space="preserve"> </w:t>
      </w:r>
      <w:r w:rsidR="002049A8" w:rsidRPr="00626435">
        <w:t>affect</w:t>
      </w:r>
      <w:r w:rsidR="0057328B" w:rsidRPr="00626435">
        <w:t xml:space="preserve"> </w:t>
      </w:r>
      <w:r w:rsidR="002049A8" w:rsidRPr="00626435">
        <w:t>the accuracy of the outcomes of onboard stability codes in different sea states.</w:t>
      </w:r>
    </w:p>
    <w:p w:rsidR="0085569F" w:rsidRPr="00626435" w:rsidRDefault="002049A8" w:rsidP="001F3192">
      <w:r w:rsidRPr="00626435">
        <w:t>With this objective</w:t>
      </w:r>
      <w:r w:rsidR="00FD13BD" w:rsidRPr="00626435">
        <w:t xml:space="preserve"> in mind</w:t>
      </w:r>
      <w:r w:rsidRPr="00626435">
        <w:t>,</w:t>
      </w:r>
      <w:r w:rsidR="0085569F" w:rsidRPr="00626435">
        <w:t xml:space="preserve"> the pressure integration technique is applied to a </w:t>
      </w:r>
      <w:proofErr w:type="spellStart"/>
      <w:r w:rsidR="0085569F" w:rsidRPr="00626435">
        <w:t>ro-ro</w:t>
      </w:r>
      <w:proofErr w:type="spellEnd"/>
      <w:r w:rsidR="0085569F" w:rsidRPr="00626435">
        <w:t>/</w:t>
      </w:r>
      <w:proofErr w:type="spellStart"/>
      <w:r w:rsidR="0085569F" w:rsidRPr="00626435">
        <w:t>pax</w:t>
      </w:r>
      <w:proofErr w:type="spellEnd"/>
      <w:r w:rsidR="0085569F" w:rsidRPr="00626435">
        <w:t xml:space="preserve"> ship </w:t>
      </w:r>
      <w:r w:rsidR="00FD13BD" w:rsidRPr="00626435">
        <w:t xml:space="preserve">whose </w:t>
      </w:r>
      <w:r w:rsidR="0085569F" w:rsidRPr="00626435">
        <w:t xml:space="preserve">main characteristics </w:t>
      </w:r>
      <w:r w:rsidR="00FD13BD" w:rsidRPr="00626435">
        <w:t xml:space="preserve">are </w:t>
      </w:r>
      <w:r w:rsidR="0085569F" w:rsidRPr="00626435">
        <w:t xml:space="preserve">given in </w:t>
      </w:r>
      <w:r w:rsidR="0085569F" w:rsidRPr="00626435">
        <w:fldChar w:fldCharType="begin"/>
      </w:r>
      <w:r w:rsidR="0085569F" w:rsidRPr="00626435">
        <w:instrText xml:space="preserve"> REF _Ref487639300 \h  \* MERGEFORMAT </w:instrText>
      </w:r>
      <w:r w:rsidR="0085569F" w:rsidRPr="00626435">
        <w:fldChar w:fldCharType="separate"/>
      </w:r>
      <w:r w:rsidR="00F02B49" w:rsidRPr="00F02B49">
        <w:t xml:space="preserve">Table </w:t>
      </w:r>
      <w:r w:rsidR="00F02B49" w:rsidRPr="00F02B49">
        <w:rPr>
          <w:noProof/>
        </w:rPr>
        <w:t>1</w:t>
      </w:r>
      <w:r w:rsidR="0085569F" w:rsidRPr="00626435">
        <w:fldChar w:fldCharType="end"/>
      </w:r>
      <w:r w:rsidR="0085569F" w:rsidRPr="00626435">
        <w:t xml:space="preserve">. </w:t>
      </w:r>
      <w:r w:rsidR="00E71F3D" w:rsidRPr="00626435">
        <w:t xml:space="preserve">The </w:t>
      </w:r>
      <w:r w:rsidR="00FD13BD" w:rsidRPr="00626435">
        <w:t xml:space="preserve">underwater </w:t>
      </w:r>
      <w:r w:rsidR="00E71F3D" w:rsidRPr="00626435">
        <w:t xml:space="preserve">hull </w:t>
      </w:r>
      <w:r w:rsidR="00FD13BD" w:rsidRPr="00626435">
        <w:t xml:space="preserve">form </w:t>
      </w:r>
      <w:r w:rsidR="00E71F3D" w:rsidRPr="00626435">
        <w:t>is discretized by a mesh of 63,464 panels having maximum area of 0.5 square meters.</w:t>
      </w:r>
    </w:p>
    <w:p w:rsidR="00EC2AA2" w:rsidRPr="00626435" w:rsidRDefault="0058308F" w:rsidP="00EC2AA2">
      <w:pPr>
        <w:pStyle w:val="Titolo2"/>
      </w:pPr>
      <w:r w:rsidRPr="00626435">
        <w:t>Non-dimensional Compliance Index</w:t>
      </w:r>
    </w:p>
    <w:p w:rsidR="00EA5CB3" w:rsidRDefault="00EC2AA2" w:rsidP="00EC2AA2">
      <w:pPr>
        <w:ind w:firstLine="0"/>
      </w:pPr>
      <w:r w:rsidRPr="00626435">
        <w:t xml:space="preserve">If different </w:t>
      </w:r>
      <w:r w:rsidR="00D92F76" w:rsidRPr="00626435">
        <w:t>PF</w:t>
      </w:r>
      <w:r w:rsidRPr="00626435">
        <w:t xml:space="preserve">s are applied to a regular sinusoidal wave, they lead to different results. In this study, the differences resulting in application of the two </w:t>
      </w:r>
      <w:r w:rsidR="00D92F76" w:rsidRPr="00626435">
        <w:t>PF</w:t>
      </w:r>
      <w:r w:rsidRPr="00626435">
        <w:t xml:space="preserve">s </w:t>
      </w:r>
      <w:r w:rsidR="00557AE0" w:rsidRPr="00626435">
        <w:t xml:space="preserve">in each sea state </w:t>
      </w:r>
      <w:r w:rsidRPr="00626435">
        <w:t>are considered relevant if they exceed the tolerances on hydrostatic characteristics defined in IACS UR L5.</w:t>
      </w:r>
    </w:p>
    <w:p w:rsidR="0091174B" w:rsidRPr="00626435" w:rsidRDefault="0091174B" w:rsidP="0091174B">
      <w:pPr>
        <w:rPr>
          <w:sz w:val="12"/>
        </w:rPr>
      </w:pPr>
    </w:p>
    <w:p w:rsidR="0091174B" w:rsidRPr="00626435" w:rsidRDefault="0091174B" w:rsidP="00913588">
      <w:pPr>
        <w:pStyle w:val="CaptionShort"/>
      </w:pPr>
      <w:bookmarkStart w:id="7" w:name="_Ref487639300"/>
      <w:r w:rsidRPr="00913588">
        <w:rPr>
          <w:b/>
        </w:rPr>
        <w:t xml:space="preserve">Table </w:t>
      </w:r>
      <w:r w:rsidRPr="00913588">
        <w:rPr>
          <w:b/>
        </w:rPr>
        <w:fldChar w:fldCharType="begin"/>
      </w:r>
      <w:r w:rsidRPr="00913588">
        <w:rPr>
          <w:b/>
        </w:rPr>
        <w:instrText xml:space="preserve"> SEQ Table \* ARABIC </w:instrText>
      </w:r>
      <w:r w:rsidRPr="00913588">
        <w:rPr>
          <w:b/>
        </w:rPr>
        <w:fldChar w:fldCharType="separate"/>
      </w:r>
      <w:r w:rsidR="00F02B49">
        <w:rPr>
          <w:b/>
          <w:noProof/>
        </w:rPr>
        <w:t>1</w:t>
      </w:r>
      <w:r w:rsidRPr="00913588">
        <w:rPr>
          <w:b/>
          <w:noProof/>
        </w:rPr>
        <w:fldChar w:fldCharType="end"/>
      </w:r>
      <w:bookmarkEnd w:id="7"/>
      <w:r w:rsidRPr="00913588">
        <w:rPr>
          <w:b/>
          <w:noProof/>
        </w:rPr>
        <w:t>.</w:t>
      </w:r>
      <w:r w:rsidRPr="00626435">
        <w:t xml:space="preserve"> Ship main dimensions</w:t>
      </w:r>
    </w:p>
    <w:tbl>
      <w:tblPr>
        <w:tblStyle w:val="Grigliatabel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473"/>
        <w:gridCol w:w="1478"/>
        <w:gridCol w:w="1478"/>
        <w:gridCol w:w="1301"/>
        <w:gridCol w:w="1301"/>
      </w:tblGrid>
      <w:tr w:rsidR="0091174B" w:rsidRPr="00626435" w:rsidTr="002003A6">
        <w:tc>
          <w:tcPr>
            <w:tcW w:w="1048" w:type="pct"/>
          </w:tcPr>
          <w:p w:rsidR="0091174B" w:rsidRPr="00626435" w:rsidRDefault="0091174B" w:rsidP="002003A6">
            <w:pPr>
              <w:jc w:val="center"/>
              <w:rPr>
                <w:rFonts w:ascii="Times New Roman" w:hAnsi="Times New Roman" w:cs="Times New Roman"/>
                <w:b/>
                <w:i/>
                <w:sz w:val="16"/>
                <w:szCs w:val="16"/>
                <w:lang w:eastAsia="en-GB"/>
              </w:rPr>
            </w:pPr>
            <w:r w:rsidRPr="00626435">
              <w:rPr>
                <w:rFonts w:ascii="Times New Roman" w:hAnsi="Times New Roman" w:cs="Times New Roman"/>
                <w:b/>
                <w:i/>
                <w:sz w:val="16"/>
                <w:szCs w:val="16"/>
                <w:lang w:eastAsia="en-GB"/>
              </w:rPr>
              <w:t>L</w:t>
            </w:r>
            <w:r w:rsidRPr="00626435">
              <w:rPr>
                <w:rFonts w:ascii="Times New Roman" w:hAnsi="Times New Roman" w:cs="Times New Roman"/>
                <w:b/>
                <w:i/>
                <w:sz w:val="16"/>
                <w:szCs w:val="16"/>
                <w:vertAlign w:val="subscript"/>
                <w:lang w:eastAsia="en-GB"/>
              </w:rPr>
              <w:t>PP</w:t>
            </w:r>
          </w:p>
        </w:tc>
        <w:tc>
          <w:tcPr>
            <w:tcW w:w="1051" w:type="pct"/>
          </w:tcPr>
          <w:p w:rsidR="0091174B" w:rsidRPr="00626435" w:rsidRDefault="0091174B" w:rsidP="002003A6">
            <w:pPr>
              <w:jc w:val="center"/>
              <w:rPr>
                <w:rFonts w:ascii="Times New Roman" w:hAnsi="Times New Roman" w:cs="Times New Roman"/>
                <w:b/>
                <w:sz w:val="16"/>
                <w:szCs w:val="16"/>
                <w:lang w:eastAsia="en-GB"/>
              </w:rPr>
            </w:pPr>
            <w:r w:rsidRPr="00626435">
              <w:rPr>
                <w:rFonts w:ascii="Times New Roman" w:hAnsi="Times New Roman" w:cs="Times New Roman"/>
                <w:b/>
                <w:i/>
                <w:sz w:val="16"/>
                <w:szCs w:val="16"/>
                <w:lang w:eastAsia="en-GB"/>
              </w:rPr>
              <w:t>L</w:t>
            </w:r>
            <w:r w:rsidRPr="00626435">
              <w:rPr>
                <w:rFonts w:ascii="Times New Roman" w:hAnsi="Times New Roman" w:cs="Times New Roman"/>
                <w:b/>
                <w:i/>
                <w:sz w:val="16"/>
                <w:szCs w:val="16"/>
                <w:vertAlign w:val="subscript"/>
                <w:lang w:eastAsia="en-GB"/>
              </w:rPr>
              <w:t>OA</w:t>
            </w:r>
          </w:p>
        </w:tc>
        <w:tc>
          <w:tcPr>
            <w:tcW w:w="1051" w:type="pct"/>
          </w:tcPr>
          <w:p w:rsidR="0091174B" w:rsidRPr="00626435" w:rsidRDefault="0091174B" w:rsidP="002003A6">
            <w:pPr>
              <w:jc w:val="center"/>
              <w:rPr>
                <w:rFonts w:ascii="Times New Roman" w:hAnsi="Times New Roman" w:cs="Times New Roman"/>
                <w:b/>
                <w:sz w:val="16"/>
                <w:szCs w:val="16"/>
                <w:lang w:eastAsia="en-GB"/>
              </w:rPr>
            </w:pPr>
            <w:r w:rsidRPr="00626435">
              <w:rPr>
                <w:rFonts w:ascii="Times New Roman" w:hAnsi="Times New Roman" w:cs="Times New Roman"/>
                <w:b/>
                <w:i/>
                <w:sz w:val="16"/>
                <w:szCs w:val="16"/>
                <w:lang w:eastAsia="en-GB"/>
              </w:rPr>
              <w:t>L</w:t>
            </w:r>
            <w:r w:rsidRPr="00626435">
              <w:rPr>
                <w:rFonts w:ascii="Times New Roman" w:hAnsi="Times New Roman" w:cs="Times New Roman"/>
                <w:b/>
                <w:i/>
                <w:sz w:val="16"/>
                <w:szCs w:val="16"/>
                <w:vertAlign w:val="subscript"/>
                <w:lang w:eastAsia="en-GB"/>
              </w:rPr>
              <w:t>WL</w:t>
            </w:r>
          </w:p>
        </w:tc>
        <w:tc>
          <w:tcPr>
            <w:tcW w:w="925" w:type="pct"/>
          </w:tcPr>
          <w:p w:rsidR="0091174B" w:rsidRPr="00626435" w:rsidRDefault="0091174B" w:rsidP="002003A6">
            <w:pPr>
              <w:jc w:val="center"/>
              <w:rPr>
                <w:rFonts w:ascii="Times New Roman" w:hAnsi="Times New Roman" w:cs="Times New Roman"/>
                <w:b/>
                <w:i/>
                <w:sz w:val="16"/>
                <w:szCs w:val="16"/>
                <w:lang w:eastAsia="en-GB"/>
              </w:rPr>
            </w:pPr>
            <w:r w:rsidRPr="00626435">
              <w:rPr>
                <w:rFonts w:ascii="Times New Roman" w:hAnsi="Times New Roman" w:cs="Times New Roman"/>
                <w:b/>
                <w:i/>
                <w:sz w:val="16"/>
                <w:szCs w:val="16"/>
                <w:lang w:eastAsia="en-GB"/>
              </w:rPr>
              <w:t>B</w:t>
            </w:r>
          </w:p>
        </w:tc>
        <w:tc>
          <w:tcPr>
            <w:tcW w:w="925" w:type="pct"/>
          </w:tcPr>
          <w:p w:rsidR="0091174B" w:rsidRPr="00626435" w:rsidRDefault="0091174B" w:rsidP="002003A6">
            <w:pPr>
              <w:jc w:val="center"/>
              <w:rPr>
                <w:rFonts w:ascii="Times New Roman" w:hAnsi="Times New Roman" w:cs="Times New Roman"/>
                <w:b/>
                <w:i/>
                <w:sz w:val="16"/>
                <w:szCs w:val="16"/>
                <w:lang w:eastAsia="en-GB"/>
              </w:rPr>
            </w:pPr>
            <w:r w:rsidRPr="00626435">
              <w:rPr>
                <w:rFonts w:ascii="Times New Roman" w:hAnsi="Times New Roman" w:cs="Times New Roman"/>
                <w:b/>
                <w:i/>
                <w:sz w:val="16"/>
                <w:szCs w:val="16"/>
                <w:lang w:eastAsia="en-GB"/>
              </w:rPr>
              <w:t>T</w:t>
            </w:r>
          </w:p>
        </w:tc>
      </w:tr>
      <w:tr w:rsidR="0091174B" w:rsidRPr="00626435" w:rsidTr="002003A6">
        <w:tc>
          <w:tcPr>
            <w:tcW w:w="1048" w:type="pct"/>
          </w:tcPr>
          <w:p w:rsidR="0091174B" w:rsidRPr="00626435" w:rsidRDefault="0091174B" w:rsidP="002003A6">
            <w:pPr>
              <w:jc w:val="center"/>
              <w:rPr>
                <w:rFonts w:ascii="Times New Roman" w:hAnsi="Times New Roman" w:cs="Times New Roman"/>
                <w:sz w:val="16"/>
                <w:szCs w:val="16"/>
                <w:lang w:eastAsia="en-GB"/>
              </w:rPr>
            </w:pPr>
            <w:r w:rsidRPr="00626435">
              <w:rPr>
                <w:rFonts w:ascii="Times New Roman" w:hAnsi="Times New Roman" w:cs="Times New Roman"/>
                <w:sz w:val="16"/>
                <w:szCs w:val="16"/>
                <w:lang w:eastAsia="en-GB"/>
              </w:rPr>
              <w:t>177.00 m</w:t>
            </w:r>
          </w:p>
        </w:tc>
        <w:tc>
          <w:tcPr>
            <w:tcW w:w="1051" w:type="pct"/>
          </w:tcPr>
          <w:p w:rsidR="0091174B" w:rsidRPr="00626435" w:rsidRDefault="0091174B" w:rsidP="002003A6">
            <w:pPr>
              <w:jc w:val="center"/>
              <w:rPr>
                <w:rFonts w:ascii="Times New Roman" w:hAnsi="Times New Roman" w:cs="Times New Roman"/>
                <w:sz w:val="16"/>
                <w:szCs w:val="16"/>
                <w:lang w:eastAsia="en-GB"/>
              </w:rPr>
            </w:pPr>
            <w:r w:rsidRPr="00626435">
              <w:rPr>
                <w:rFonts w:ascii="Times New Roman" w:hAnsi="Times New Roman" w:cs="Times New Roman"/>
                <w:sz w:val="16"/>
                <w:szCs w:val="16"/>
                <w:lang w:eastAsia="en-GB"/>
              </w:rPr>
              <w:t>197.50 m</w:t>
            </w:r>
          </w:p>
        </w:tc>
        <w:tc>
          <w:tcPr>
            <w:tcW w:w="1051" w:type="pct"/>
          </w:tcPr>
          <w:p w:rsidR="0091174B" w:rsidRPr="00626435" w:rsidRDefault="0091174B" w:rsidP="002003A6">
            <w:pPr>
              <w:jc w:val="center"/>
              <w:rPr>
                <w:rFonts w:ascii="Times New Roman" w:hAnsi="Times New Roman" w:cs="Times New Roman"/>
                <w:sz w:val="16"/>
                <w:szCs w:val="16"/>
                <w:lang w:eastAsia="en-GB"/>
              </w:rPr>
            </w:pPr>
            <w:r w:rsidRPr="00626435">
              <w:rPr>
                <w:rFonts w:ascii="Times New Roman" w:hAnsi="Times New Roman" w:cs="Times New Roman"/>
                <w:sz w:val="16"/>
                <w:szCs w:val="16"/>
                <w:lang w:eastAsia="en-GB"/>
              </w:rPr>
              <w:t>181.42 m</w:t>
            </w:r>
          </w:p>
        </w:tc>
        <w:tc>
          <w:tcPr>
            <w:tcW w:w="925" w:type="pct"/>
          </w:tcPr>
          <w:p w:rsidR="0091174B" w:rsidRPr="00626435" w:rsidRDefault="0091174B" w:rsidP="002003A6">
            <w:pPr>
              <w:jc w:val="center"/>
              <w:rPr>
                <w:rFonts w:ascii="Times New Roman" w:hAnsi="Times New Roman" w:cs="Times New Roman"/>
                <w:sz w:val="16"/>
                <w:szCs w:val="16"/>
                <w:lang w:eastAsia="en-GB"/>
              </w:rPr>
            </w:pPr>
            <w:r w:rsidRPr="00626435">
              <w:rPr>
                <w:rFonts w:ascii="Times New Roman" w:hAnsi="Times New Roman" w:cs="Times New Roman"/>
                <w:sz w:val="16"/>
                <w:szCs w:val="16"/>
                <w:lang w:eastAsia="en-GB"/>
              </w:rPr>
              <w:t>29.50 m</w:t>
            </w:r>
          </w:p>
        </w:tc>
        <w:tc>
          <w:tcPr>
            <w:tcW w:w="925" w:type="pct"/>
          </w:tcPr>
          <w:p w:rsidR="0091174B" w:rsidRPr="00626435" w:rsidRDefault="0091174B" w:rsidP="002003A6">
            <w:pPr>
              <w:jc w:val="center"/>
              <w:rPr>
                <w:rFonts w:ascii="Times New Roman" w:hAnsi="Times New Roman" w:cs="Times New Roman"/>
                <w:sz w:val="16"/>
                <w:szCs w:val="16"/>
                <w:lang w:eastAsia="en-GB"/>
              </w:rPr>
            </w:pPr>
            <w:r w:rsidRPr="00626435">
              <w:rPr>
                <w:rFonts w:ascii="Times New Roman" w:hAnsi="Times New Roman" w:cs="Times New Roman"/>
                <w:sz w:val="16"/>
                <w:szCs w:val="16"/>
                <w:lang w:eastAsia="en-GB"/>
              </w:rPr>
              <w:t>6.40 m</w:t>
            </w:r>
          </w:p>
        </w:tc>
      </w:tr>
    </w:tbl>
    <w:p w:rsidR="0091174B" w:rsidRPr="00626435" w:rsidRDefault="0091174B" w:rsidP="00EC2AA2">
      <w:pPr>
        <w:ind w:firstLine="0"/>
      </w:pPr>
    </w:p>
    <w:p w:rsidR="00EC2AA2" w:rsidRPr="00626435" w:rsidRDefault="005D71CF" w:rsidP="00EC2AA2">
      <w:r w:rsidRPr="00626435">
        <w:lastRenderedPageBreak/>
        <w:t xml:space="preserve">Thus, </w:t>
      </w:r>
      <w:r w:rsidR="00557AE0" w:rsidRPr="00626435">
        <w:t>in a defined sea state</w:t>
      </w:r>
      <w:r w:rsidR="00EC2AA2" w:rsidRPr="00626435">
        <w:t xml:space="preserve"> it is possible to evaluate the equilibrium position of the ship on </w:t>
      </w:r>
      <w:r w:rsidRPr="00626435">
        <w:t>a</w:t>
      </w:r>
      <w:r w:rsidR="00EC2AA2" w:rsidRPr="00626435">
        <w:t xml:space="preserve"> related equivalent wave. In this position</w:t>
      </w:r>
      <w:r w:rsidRPr="00626435">
        <w:t xml:space="preserve"> all</w:t>
      </w:r>
      <w:r w:rsidR="00EC2AA2" w:rsidRPr="00626435">
        <w:t xml:space="preserve"> the hydrostatic properties </w:t>
      </w:r>
      <w:proofErr w:type="spellStart"/>
      <w:r w:rsidR="00EC2AA2" w:rsidRPr="00626435">
        <w:rPr>
          <w:i/>
        </w:rPr>
        <w:t>a</w:t>
      </w:r>
      <w:r w:rsidR="00EC2AA2" w:rsidRPr="00626435">
        <w:rPr>
          <w:i/>
          <w:vertAlign w:val="subscript"/>
        </w:rPr>
        <w:t>i</w:t>
      </w:r>
      <w:proofErr w:type="spellEnd"/>
      <w:r w:rsidR="000158FA" w:rsidRPr="00626435">
        <w:t xml:space="preserve">, </w:t>
      </w:r>
      <w:r w:rsidR="00EC2AA2" w:rsidRPr="00626435">
        <w:t>subject to IACS tolerances</w:t>
      </w:r>
      <w:r w:rsidR="000158FA" w:rsidRPr="00626435">
        <w:t>,</w:t>
      </w:r>
      <w:r w:rsidR="00EC2AA2" w:rsidRPr="00626435">
        <w:t xml:space="preserve"> are evaluated</w:t>
      </w:r>
      <w:r w:rsidR="000158FA" w:rsidRPr="00626435">
        <w:t xml:space="preserve"> in both hydrostatics and Airy PFs in order to define</w:t>
      </w:r>
      <w:r w:rsidR="00EC2AA2" w:rsidRPr="00626435">
        <w:t xml:space="preserve"> their difference </w:t>
      </w:r>
      <w:proofErr w:type="spellStart"/>
      <w:r w:rsidR="00EC2AA2" w:rsidRPr="00626435">
        <w:t>Δ</w:t>
      </w:r>
      <w:r w:rsidR="00EC2AA2" w:rsidRPr="00626435">
        <w:rPr>
          <w:i/>
        </w:rPr>
        <w:t>a</w:t>
      </w:r>
      <w:r w:rsidR="00EC2AA2" w:rsidRPr="00626435">
        <w:rPr>
          <w:i/>
          <w:vertAlign w:val="subscript"/>
        </w:rPr>
        <w:t>i</w:t>
      </w:r>
      <w:proofErr w:type="spellEnd"/>
      <w:r w:rsidR="00EC2AA2" w:rsidRPr="00626435">
        <w:t xml:space="preserve">. To </w:t>
      </w:r>
      <w:r w:rsidR="00557AE0" w:rsidRPr="00626435">
        <w:t xml:space="preserve">consider </w:t>
      </w:r>
      <w:r w:rsidR="00EC2AA2" w:rsidRPr="00626435">
        <w:t>all the properties</w:t>
      </w:r>
      <w:r w:rsidRPr="00626435">
        <w:t xml:space="preserve"> together</w:t>
      </w:r>
      <w:r w:rsidR="00EC2AA2" w:rsidRPr="00626435">
        <w:t>, a non-dimensional compliance index is defined as:</w:t>
      </w:r>
    </w:p>
    <w:p w:rsidR="00EA5CB3" w:rsidRPr="00626435" w:rsidRDefault="007963B2" w:rsidP="00EA5CB3">
      <w:pPr>
        <w:pStyle w:val="Equation"/>
      </w:pPr>
      <w:r w:rsidRPr="00626435">
        <w:rPr>
          <w:position w:val="-34"/>
        </w:rPr>
        <w:object w:dxaOrig="1920" w:dyaOrig="800">
          <v:shape id="_x0000_i1032" type="#_x0000_t75" style="width:80.75pt;height:33.3pt" o:ole="">
            <v:imagedata r:id="rId23" o:title=""/>
          </v:shape>
          <o:OLEObject Type="Embed" ProgID="Equation.3" ShapeID="_x0000_i1032" DrawAspect="Content" ObjectID="_1584535223" r:id="rId24"/>
        </w:object>
      </w:r>
      <w:r w:rsidR="00EA5CB3" w:rsidRPr="00626435">
        <w:tab/>
        <w:t>(8)</w:t>
      </w:r>
    </w:p>
    <w:p w:rsidR="00B5548C" w:rsidRPr="00626435" w:rsidRDefault="00EC2AA2" w:rsidP="00B5548C">
      <w:pPr>
        <w:pStyle w:val="NoindentNormal"/>
      </w:pPr>
      <w:proofErr w:type="gramStart"/>
      <w:r w:rsidRPr="00626435">
        <w:t>where</w:t>
      </w:r>
      <w:proofErr w:type="gramEnd"/>
      <w:r w:rsidRPr="00626435">
        <w:t xml:space="preserve"> </w:t>
      </w:r>
      <w:proofErr w:type="spellStart"/>
      <w:r w:rsidRPr="00626435">
        <w:t>Δ</w:t>
      </w:r>
      <w:r w:rsidRPr="00626435">
        <w:rPr>
          <w:i/>
        </w:rPr>
        <w:t>a</w:t>
      </w:r>
      <w:r w:rsidRPr="00626435">
        <w:rPr>
          <w:i/>
          <w:vertAlign w:val="subscript"/>
        </w:rPr>
        <w:t>i,max</w:t>
      </w:r>
      <w:proofErr w:type="spellEnd"/>
      <w:r w:rsidRPr="00626435">
        <w:t xml:space="preserve"> is </w:t>
      </w:r>
      <w:r w:rsidR="00557AE0" w:rsidRPr="00626435">
        <w:t xml:space="preserve">the </w:t>
      </w:r>
      <w:r w:rsidRPr="00626435">
        <w:t xml:space="preserve">maximum allowed difference for the property </w:t>
      </w:r>
      <w:proofErr w:type="spellStart"/>
      <w:r w:rsidRPr="00626435">
        <w:rPr>
          <w:i/>
        </w:rPr>
        <w:t>a</w:t>
      </w:r>
      <w:r w:rsidRPr="00626435">
        <w:rPr>
          <w:i/>
          <w:vertAlign w:val="subscript"/>
        </w:rPr>
        <w:t>i</w:t>
      </w:r>
      <w:proofErr w:type="spellEnd"/>
      <w:r w:rsidR="005D71CF" w:rsidRPr="00626435">
        <w:t xml:space="preserve"> provided by IACS. If the property is subject to a percentage threshold, it is converted into a dimensional value. When both dimensional and percentage thresholds are imposed, the minimum value is assumed in evaluating the non-dimensional compliance index</w:t>
      </w:r>
      <w:r w:rsidRPr="00626435">
        <w:t>.</w:t>
      </w:r>
    </w:p>
    <w:p w:rsidR="005D71CF" w:rsidRPr="00626435" w:rsidRDefault="005D71CF" w:rsidP="005D71CF">
      <w:r w:rsidRPr="00626435">
        <w:t xml:space="preserve">With this assumptions, two set of outcomes are assumed as equal </w:t>
      </w:r>
      <w:r w:rsidR="0080194B" w:rsidRPr="00626435">
        <w:t xml:space="preserve">with reference to IACS regulations </w:t>
      </w:r>
      <w:r w:rsidRPr="00626435">
        <w:t xml:space="preserve">if </w:t>
      </w:r>
      <w:r w:rsidRPr="00626435">
        <w:rPr>
          <w:i/>
        </w:rPr>
        <w:t>I</w:t>
      </w:r>
      <w:r w:rsidRPr="00626435">
        <w:rPr>
          <w:i/>
          <w:vertAlign w:val="subscript"/>
        </w:rPr>
        <w:t>C</w:t>
      </w:r>
      <w:r w:rsidR="0080194B" w:rsidRPr="00626435">
        <w:rPr>
          <w:i/>
          <w:vertAlign w:val="subscript"/>
        </w:rPr>
        <w:t xml:space="preserve"> </w:t>
      </w:r>
      <w:r w:rsidRPr="00626435">
        <w:t>&lt;</w:t>
      </w:r>
      <w:r w:rsidR="0080194B" w:rsidRPr="00626435">
        <w:t xml:space="preserve"> </w:t>
      </w:r>
      <w:r w:rsidRPr="00626435">
        <w:t>1</w:t>
      </w:r>
      <w:r w:rsidR="0080194B" w:rsidRPr="00626435">
        <w:t>.</w:t>
      </w:r>
    </w:p>
    <w:p w:rsidR="0085569F" w:rsidRPr="00626435" w:rsidRDefault="00605516" w:rsidP="004F41D7">
      <w:pPr>
        <w:pStyle w:val="Titolo2"/>
      </w:pPr>
      <w:r w:rsidRPr="00626435">
        <w:t>Accuracy as Function of Sea State</w:t>
      </w:r>
    </w:p>
    <w:p w:rsidR="00EC2AA2" w:rsidRPr="00626435" w:rsidRDefault="00EC2AA2" w:rsidP="00EC2AA2">
      <w:pPr>
        <w:pStyle w:val="NoindentNormal"/>
      </w:pPr>
      <w:r w:rsidRPr="00626435">
        <w:t xml:space="preserve">The </w:t>
      </w:r>
      <w:r w:rsidR="0095165F" w:rsidRPr="00626435">
        <w:t>non-dimensional compliance index</w:t>
      </w:r>
      <w:r w:rsidRPr="00626435">
        <w:t xml:space="preserve"> is herein </w:t>
      </w:r>
      <w:r w:rsidR="0095165F" w:rsidRPr="00626435">
        <w:t xml:space="preserve">evaluated </w:t>
      </w:r>
      <w:r w:rsidRPr="00626435">
        <w:t xml:space="preserve">by assessing the equilibrium position of the ro-ro ship on an “equivalent design wave” height </w:t>
      </w:r>
      <w:r w:rsidR="00557AE0" w:rsidRPr="00626435">
        <w:t xml:space="preserve">in </w:t>
      </w:r>
      <w:r w:rsidRPr="00626435">
        <w:t xml:space="preserve">sea states ranging from 2 to 8 </w:t>
      </w:r>
      <w:r w:rsidR="00541E0A" w:rsidRPr="00626435">
        <w:t xml:space="preserve">as defined by Douglas Sea Scale </w:t>
      </w:r>
      <w:r w:rsidR="006E5156" w:rsidRPr="00626435">
        <w:t>[14]</w:t>
      </w:r>
      <w:r w:rsidRPr="00626435">
        <w:t xml:space="preserve">. The equivalent wave is assumed to have constant length </w:t>
      </w:r>
      <w:r w:rsidR="0095165F" w:rsidRPr="00626435">
        <w:rPr>
          <w:i/>
        </w:rPr>
        <w:t>λ</w:t>
      </w:r>
      <w:r w:rsidRPr="00626435">
        <w:rPr>
          <w:rFonts w:eastAsiaTheme="minorEastAsia"/>
        </w:rPr>
        <w:t xml:space="preserve"> equal to ship length and height</w:t>
      </w:r>
      <w:r w:rsidR="0095165F" w:rsidRPr="00626435">
        <w:rPr>
          <w:rFonts w:eastAsiaTheme="minorEastAsia"/>
        </w:rPr>
        <w:t xml:space="preserve"> </w:t>
      </w:r>
      <w:r w:rsidR="0095165F" w:rsidRPr="00626435">
        <w:rPr>
          <w:rFonts w:eastAsiaTheme="minorEastAsia"/>
          <w:i/>
        </w:rPr>
        <w:t>H</w:t>
      </w:r>
      <w:r w:rsidRPr="00626435">
        <w:rPr>
          <w:rFonts w:eastAsiaTheme="minorEastAsia"/>
        </w:rPr>
        <w:t xml:space="preserve"> equal to the central value for each sea state under analysis.</w:t>
      </w:r>
      <w:r w:rsidR="00541E0A" w:rsidRPr="00626435">
        <w:rPr>
          <w:rFonts w:eastAsiaTheme="minorEastAsia"/>
        </w:rPr>
        <w:t xml:space="preserve"> Both hogging and sagging conditions are taken into account.</w:t>
      </w:r>
    </w:p>
    <w:p w:rsidR="0085569F" w:rsidRPr="00626435" w:rsidRDefault="0085569F" w:rsidP="0049604C">
      <w:r w:rsidRPr="00626435">
        <w:t>The loading condition assumed in this analysis presents the following data:</w:t>
      </w:r>
    </w:p>
    <w:p w:rsidR="0049604C" w:rsidRPr="00626435" w:rsidRDefault="0049604C" w:rsidP="0049604C">
      <w:pPr>
        <w:pStyle w:val="Listbul"/>
        <w:spacing w:before="120"/>
        <w:ind w:left="737" w:hanging="380"/>
      </w:pPr>
      <w:r w:rsidRPr="00626435">
        <w:t>Water density: 1.025 t/m</w:t>
      </w:r>
      <w:r w:rsidRPr="00626435">
        <w:rPr>
          <w:vertAlign w:val="superscript"/>
        </w:rPr>
        <w:t>3</w:t>
      </w:r>
    </w:p>
    <w:p w:rsidR="0049604C" w:rsidRPr="00626435" w:rsidRDefault="0049604C" w:rsidP="0049604C">
      <w:pPr>
        <w:pStyle w:val="Listbul"/>
        <w:ind w:left="737" w:hanging="380"/>
      </w:pPr>
      <w:r w:rsidRPr="00626435">
        <w:t>Weight: 18788.1 t</w:t>
      </w:r>
    </w:p>
    <w:p w:rsidR="0049604C" w:rsidRPr="00626435" w:rsidRDefault="0049604C" w:rsidP="0049604C">
      <w:pPr>
        <w:pStyle w:val="Listbul"/>
        <w:ind w:left="737" w:hanging="380"/>
      </w:pPr>
      <w:r w:rsidRPr="00626435">
        <w:t>Centre of mass (</w:t>
      </w:r>
      <w:r w:rsidR="00E71F3D" w:rsidRPr="00626435">
        <w:rPr>
          <w:i/>
        </w:rPr>
        <w:t>LCG</w:t>
      </w:r>
      <w:r w:rsidRPr="00626435">
        <w:t xml:space="preserve">, </w:t>
      </w:r>
      <w:r w:rsidR="00E71F3D" w:rsidRPr="00626435">
        <w:rPr>
          <w:i/>
        </w:rPr>
        <w:t>TCG</w:t>
      </w:r>
      <w:r w:rsidRPr="00626435">
        <w:t xml:space="preserve">, </w:t>
      </w:r>
      <w:r w:rsidR="00E71F3D" w:rsidRPr="00626435">
        <w:rPr>
          <w:i/>
        </w:rPr>
        <w:t>VCG</w:t>
      </w:r>
      <w:r w:rsidR="005F2DE0" w:rsidRPr="00626435">
        <w:t xml:space="preserve">): </w:t>
      </w:r>
      <w:r w:rsidRPr="00626435">
        <w:t>89.1 m, -0.037 m, 13.166 m</w:t>
      </w:r>
    </w:p>
    <w:p w:rsidR="0049604C" w:rsidRPr="00626435" w:rsidRDefault="0049604C" w:rsidP="0049604C">
      <w:pPr>
        <w:pStyle w:val="Listbul"/>
        <w:spacing w:after="120"/>
        <w:ind w:left="737" w:hanging="380"/>
      </w:pPr>
      <w:r w:rsidRPr="00626435">
        <w:t xml:space="preserve">Free surface moment (transversal, longitudinal): </w:t>
      </w:r>
      <w:r w:rsidR="005F2DE0" w:rsidRPr="00626435">
        <w:t>7670.75 t</w:t>
      </w:r>
      <w:r w:rsidR="005F2DE0" w:rsidRPr="00626435">
        <w:sym w:font="Symbol" w:char="F0D7"/>
      </w:r>
      <w:r w:rsidR="005F2DE0" w:rsidRPr="00626435">
        <w:t>m, 0 t</w:t>
      </w:r>
      <w:r w:rsidR="005F2DE0" w:rsidRPr="00626435">
        <w:sym w:font="Symbol" w:char="F0D7"/>
      </w:r>
      <w:r w:rsidR="005F2DE0" w:rsidRPr="00626435">
        <w:t>m</w:t>
      </w:r>
    </w:p>
    <w:p w:rsidR="0085569F" w:rsidRPr="00626435" w:rsidRDefault="0085569F" w:rsidP="0085569F">
      <w:pPr>
        <w:rPr>
          <w:rFonts w:eastAsiaTheme="minorEastAsia"/>
        </w:rPr>
      </w:pPr>
      <w:r w:rsidRPr="00626435">
        <w:rPr>
          <w:rFonts w:eastAsiaTheme="minorEastAsia"/>
        </w:rPr>
        <w:fldChar w:fldCharType="begin"/>
      </w:r>
      <w:r w:rsidRPr="00626435">
        <w:rPr>
          <w:rFonts w:eastAsiaTheme="minorEastAsia"/>
        </w:rPr>
        <w:instrText xml:space="preserve"> REF _Ref487647377 \h  \* MERGEFORMAT </w:instrText>
      </w:r>
      <w:r w:rsidRPr="00626435">
        <w:rPr>
          <w:rFonts w:eastAsiaTheme="minorEastAsia"/>
        </w:rPr>
      </w:r>
      <w:r w:rsidRPr="00626435">
        <w:rPr>
          <w:rFonts w:eastAsiaTheme="minorEastAsia"/>
        </w:rPr>
        <w:fldChar w:fldCharType="separate"/>
      </w:r>
      <w:r w:rsidR="00F02B49" w:rsidRPr="00F02B49">
        <w:t xml:space="preserve">Table </w:t>
      </w:r>
      <w:r w:rsidR="00F02B49" w:rsidRPr="00F02B49">
        <w:rPr>
          <w:noProof/>
        </w:rPr>
        <w:t>2</w:t>
      </w:r>
      <w:r w:rsidRPr="00626435">
        <w:rPr>
          <w:rFonts w:eastAsiaTheme="minorEastAsia"/>
        </w:rPr>
        <w:fldChar w:fldCharType="end"/>
      </w:r>
      <w:r w:rsidRPr="00626435">
        <w:rPr>
          <w:rFonts w:eastAsiaTheme="minorEastAsia"/>
        </w:rPr>
        <w:t xml:space="preserve"> provides a summary of results</w:t>
      </w:r>
      <w:r w:rsidR="00541E0A" w:rsidRPr="00626435">
        <w:rPr>
          <w:rFonts w:eastAsiaTheme="minorEastAsia"/>
        </w:rPr>
        <w:t>. It is</w:t>
      </w:r>
      <w:r w:rsidR="005549D6" w:rsidRPr="00626435">
        <w:rPr>
          <w:rFonts w:eastAsiaTheme="minorEastAsia"/>
        </w:rPr>
        <w:t xml:space="preserve"> worth noticing</w:t>
      </w:r>
      <w:r w:rsidR="00541E0A" w:rsidRPr="00626435">
        <w:rPr>
          <w:rFonts w:eastAsiaTheme="minorEastAsia"/>
        </w:rPr>
        <w:t xml:space="preserve"> that the differences become relevant already in sea state 3, where the longitudinal metacentric height </w:t>
      </w:r>
      <w:r w:rsidR="006E5156" w:rsidRPr="00626435">
        <w:rPr>
          <w:rFonts w:eastAsiaTheme="minorEastAsia"/>
          <w:i/>
        </w:rPr>
        <w:t>GML</w:t>
      </w:r>
      <w:r w:rsidR="006E5156" w:rsidRPr="00626435">
        <w:rPr>
          <w:rFonts w:eastAsiaTheme="minorEastAsia"/>
        </w:rPr>
        <w:t xml:space="preserve"> </w:t>
      </w:r>
      <w:r w:rsidR="00541E0A" w:rsidRPr="00626435">
        <w:rPr>
          <w:rFonts w:eastAsiaTheme="minorEastAsia"/>
        </w:rPr>
        <w:t xml:space="preserve">exceeds its tolerance on dimensional value </w:t>
      </w:r>
      <w:r w:rsidR="00E32BEA" w:rsidRPr="00626435">
        <w:rPr>
          <w:rFonts w:eastAsiaTheme="minorEastAsia"/>
        </w:rPr>
        <w:t>for both hog and sag condition</w:t>
      </w:r>
      <w:r w:rsidR="005549D6" w:rsidRPr="00626435">
        <w:rPr>
          <w:rFonts w:eastAsiaTheme="minorEastAsia"/>
        </w:rPr>
        <w:t>s</w:t>
      </w:r>
      <w:r w:rsidR="00E32BEA" w:rsidRPr="00626435">
        <w:rPr>
          <w:rFonts w:eastAsiaTheme="minorEastAsia"/>
        </w:rPr>
        <w:t>.</w:t>
      </w:r>
    </w:p>
    <w:p w:rsidR="00E32BEA" w:rsidRPr="00626435" w:rsidRDefault="00E32BEA" w:rsidP="0085569F">
      <w:pPr>
        <w:rPr>
          <w:rFonts w:eastAsiaTheme="minorEastAsia"/>
          <w:sz w:val="12"/>
        </w:rPr>
      </w:pPr>
    </w:p>
    <w:p w:rsidR="006E5156" w:rsidRPr="00626435" w:rsidRDefault="006E5156" w:rsidP="00913588">
      <w:pPr>
        <w:pStyle w:val="CaptionShort"/>
      </w:pPr>
      <w:bookmarkStart w:id="8" w:name="_Ref487647377"/>
      <w:r w:rsidRPr="00626435">
        <w:rPr>
          <w:b/>
        </w:rPr>
        <w:t xml:space="preserve">Table </w:t>
      </w:r>
      <w:r w:rsidRPr="00626435">
        <w:rPr>
          <w:b/>
        </w:rPr>
        <w:fldChar w:fldCharType="begin"/>
      </w:r>
      <w:r w:rsidRPr="00626435">
        <w:rPr>
          <w:b/>
        </w:rPr>
        <w:instrText xml:space="preserve"> SEQ Table \* ARABIC </w:instrText>
      </w:r>
      <w:r w:rsidRPr="00626435">
        <w:rPr>
          <w:b/>
        </w:rPr>
        <w:fldChar w:fldCharType="separate"/>
      </w:r>
      <w:r w:rsidR="00F02B49">
        <w:rPr>
          <w:b/>
          <w:noProof/>
        </w:rPr>
        <w:t>2</w:t>
      </w:r>
      <w:r w:rsidRPr="00626435">
        <w:rPr>
          <w:b/>
          <w:noProof/>
        </w:rPr>
        <w:fldChar w:fldCharType="end"/>
      </w:r>
      <w:bookmarkEnd w:id="8"/>
      <w:r w:rsidRPr="00626435">
        <w:rPr>
          <w:b/>
        </w:rPr>
        <w:t>.</w:t>
      </w:r>
      <w:r w:rsidRPr="00626435">
        <w:t xml:space="preserve"> Comparison between Airy and Static pressure fields</w:t>
      </w:r>
    </w:p>
    <w:tbl>
      <w:tblPr>
        <w:tblW w:w="5000" w:type="pct"/>
        <w:jc w:val="center"/>
        <w:tblLook w:val="04A0" w:firstRow="1" w:lastRow="0" w:firstColumn="1" w:lastColumn="0" w:noHBand="0" w:noVBand="1"/>
      </w:tblPr>
      <w:tblGrid>
        <w:gridCol w:w="843"/>
        <w:gridCol w:w="656"/>
        <w:gridCol w:w="736"/>
        <w:gridCol w:w="638"/>
        <w:gridCol w:w="1603"/>
        <w:gridCol w:w="2555"/>
      </w:tblGrid>
      <w:tr w:rsidR="00E32BEA" w:rsidRPr="00626435" w:rsidTr="00DE30DD">
        <w:trPr>
          <w:trHeight w:val="300"/>
          <w:jc w:val="center"/>
        </w:trPr>
        <w:tc>
          <w:tcPr>
            <w:tcW w:w="599" w:type="pct"/>
            <w:tcBorders>
              <w:top w:val="single" w:sz="4" w:space="0" w:color="000000"/>
              <w:left w:val="nil"/>
              <w:bottom w:val="single" w:sz="4" w:space="0" w:color="000000"/>
              <w:right w:val="nil"/>
            </w:tcBorders>
            <w:shd w:val="clear" w:color="auto" w:fill="auto"/>
            <w:noWrap/>
            <w:vAlign w:val="center"/>
            <w:hideMark/>
          </w:tcPr>
          <w:p w:rsidR="006E5156" w:rsidRPr="00626435" w:rsidRDefault="006E5156" w:rsidP="00DE30DD">
            <w:pPr>
              <w:ind w:firstLine="0"/>
              <w:jc w:val="center"/>
              <w:rPr>
                <w:rFonts w:ascii="Cambria Math" w:eastAsia="Times New Roman" w:hAnsi="Cambria Math"/>
                <w:color w:val="000000"/>
                <w:sz w:val="16"/>
                <w:lang w:eastAsia="en-GB"/>
                <w:oMath/>
              </w:rPr>
            </w:pPr>
            <w:r w:rsidRPr="00626435">
              <w:rPr>
                <w:rFonts w:eastAsiaTheme="minorEastAsia"/>
                <w:b/>
                <w:bCs/>
                <w:color w:val="000000"/>
                <w:sz w:val="16"/>
                <w:lang w:eastAsia="en-GB"/>
              </w:rPr>
              <w:t>Sea State</w:t>
            </w:r>
          </w:p>
        </w:tc>
        <w:tc>
          <w:tcPr>
            <w:tcW w:w="467" w:type="pct"/>
            <w:tcBorders>
              <w:top w:val="single" w:sz="4" w:space="0" w:color="000000"/>
              <w:left w:val="nil"/>
              <w:bottom w:val="single" w:sz="4" w:space="0" w:color="000000"/>
              <w:right w:val="nil"/>
            </w:tcBorders>
            <w:shd w:val="clear" w:color="auto" w:fill="auto"/>
            <w:noWrap/>
            <w:vAlign w:val="center"/>
            <w:hideMark/>
          </w:tcPr>
          <w:p w:rsidR="006E5156" w:rsidRPr="00626435" w:rsidRDefault="006E5156" w:rsidP="00DE30DD">
            <w:pPr>
              <w:ind w:firstLine="0"/>
              <w:jc w:val="center"/>
              <w:rPr>
                <w:rFonts w:ascii="Cambria Math" w:eastAsia="Times New Roman" w:hAnsi="Cambria Math"/>
                <w:color w:val="000000"/>
                <w:sz w:val="16"/>
                <w:lang w:eastAsia="en-GB"/>
                <w:oMath/>
              </w:rPr>
            </w:pPr>
            <m:oMathPara>
              <m:oMath>
                <m:r>
                  <m:rPr>
                    <m:sty m:val="bi"/>
                  </m:rPr>
                  <w:rPr>
                    <w:rFonts w:ascii="Cambria Math" w:eastAsia="Times New Roman" w:hAnsi="Cambria Math"/>
                    <w:color w:val="000000"/>
                    <w:sz w:val="16"/>
                    <w:lang w:eastAsia="en-GB"/>
                  </w:rPr>
                  <m:t>H</m:t>
                </m:r>
              </m:oMath>
            </m:oMathPara>
          </w:p>
        </w:tc>
        <w:tc>
          <w:tcPr>
            <w:tcW w:w="523" w:type="pct"/>
            <w:tcBorders>
              <w:top w:val="single" w:sz="4" w:space="0" w:color="000000"/>
              <w:left w:val="nil"/>
              <w:bottom w:val="single" w:sz="4" w:space="0" w:color="000000"/>
              <w:right w:val="nil"/>
            </w:tcBorders>
            <w:shd w:val="clear" w:color="auto" w:fill="auto"/>
            <w:noWrap/>
            <w:vAlign w:val="center"/>
            <w:hideMark/>
          </w:tcPr>
          <w:p w:rsidR="006E5156" w:rsidRPr="00626435" w:rsidRDefault="006E5156" w:rsidP="00DE30DD">
            <w:pPr>
              <w:ind w:firstLine="0"/>
              <w:jc w:val="center"/>
              <w:rPr>
                <w:rFonts w:eastAsia="Times New Roman"/>
                <w:b/>
                <w:bCs/>
                <w:i/>
                <w:color w:val="000000"/>
                <w:sz w:val="16"/>
                <w:lang w:eastAsia="en-GB"/>
              </w:rPr>
            </w:pPr>
            <m:oMathPara>
              <m:oMath>
                <m:r>
                  <m:rPr>
                    <m:sty m:val="bi"/>
                  </m:rPr>
                  <w:rPr>
                    <w:rFonts w:ascii="Cambria Math" w:eastAsia="Times New Roman" w:hAnsi="Cambria Math"/>
                    <w:color w:val="000000"/>
                    <w:sz w:val="16"/>
                    <w:lang w:eastAsia="en-GB"/>
                  </w:rPr>
                  <m:t>H/</m:t>
                </m:r>
                <m:sSub>
                  <m:sSubPr>
                    <m:ctrlPr>
                      <w:rPr>
                        <w:rFonts w:ascii="Cambria Math" w:eastAsia="Times New Roman" w:hAnsi="Cambria Math"/>
                        <w:b/>
                        <w:bCs/>
                        <w:i/>
                        <w:color w:val="000000"/>
                        <w:sz w:val="16"/>
                        <w:lang w:eastAsia="en-GB"/>
                      </w:rPr>
                    </m:ctrlPr>
                  </m:sSubPr>
                  <m:e>
                    <m:r>
                      <m:rPr>
                        <m:sty m:val="bi"/>
                      </m:rPr>
                      <w:rPr>
                        <w:rFonts w:ascii="Cambria Math" w:eastAsia="Times New Roman" w:hAnsi="Cambria Math"/>
                        <w:color w:val="000000"/>
                        <w:sz w:val="16"/>
                        <w:lang w:eastAsia="en-GB"/>
                      </w:rPr>
                      <m:t>L</m:t>
                    </m:r>
                  </m:e>
                  <m:sub>
                    <m:r>
                      <m:rPr>
                        <m:sty m:val="bi"/>
                      </m:rPr>
                      <w:rPr>
                        <w:rFonts w:ascii="Cambria Math" w:eastAsia="Times New Roman" w:hAnsi="Cambria Math"/>
                        <w:color w:val="000000"/>
                        <w:sz w:val="16"/>
                        <w:lang w:eastAsia="en-GB"/>
                      </w:rPr>
                      <m:t>PP</m:t>
                    </m:r>
                  </m:sub>
                </m:sSub>
              </m:oMath>
            </m:oMathPara>
          </w:p>
        </w:tc>
        <w:tc>
          <w:tcPr>
            <w:tcW w:w="504" w:type="pct"/>
            <w:tcBorders>
              <w:top w:val="single" w:sz="4" w:space="0" w:color="000000"/>
              <w:left w:val="nil"/>
              <w:bottom w:val="single" w:sz="4" w:space="0" w:color="000000"/>
              <w:right w:val="nil"/>
            </w:tcBorders>
            <w:vAlign w:val="center"/>
          </w:tcPr>
          <w:p w:rsidR="006E5156" w:rsidRPr="00626435" w:rsidRDefault="006E5156" w:rsidP="00DE30DD">
            <w:pPr>
              <w:ind w:firstLine="0"/>
              <w:jc w:val="center"/>
              <w:rPr>
                <w:rFonts w:eastAsia="Times New Roman"/>
                <w:b/>
                <w:bCs/>
                <w:color w:val="000000"/>
                <w:sz w:val="16"/>
                <w:lang w:eastAsia="en-GB"/>
              </w:rPr>
            </w:pPr>
            <w:r w:rsidRPr="00626435">
              <w:rPr>
                <w:rFonts w:eastAsia="Times New Roman"/>
                <w:b/>
                <w:bCs/>
                <w:color w:val="000000"/>
                <w:sz w:val="16"/>
                <w:lang w:eastAsia="en-GB"/>
              </w:rPr>
              <w:t>IC</w:t>
            </w:r>
          </w:p>
        </w:tc>
        <w:tc>
          <w:tcPr>
            <w:tcW w:w="1140" w:type="pct"/>
            <w:tcBorders>
              <w:top w:val="single" w:sz="4" w:space="0" w:color="000000"/>
              <w:left w:val="nil"/>
              <w:bottom w:val="single" w:sz="4" w:space="0" w:color="000000"/>
              <w:right w:val="nil"/>
            </w:tcBorders>
            <w:shd w:val="clear" w:color="auto" w:fill="auto"/>
            <w:noWrap/>
            <w:vAlign w:val="center"/>
            <w:hideMark/>
          </w:tcPr>
          <w:p w:rsidR="006E5156" w:rsidRPr="00626435" w:rsidRDefault="006E5156" w:rsidP="00DE30DD">
            <w:pPr>
              <w:ind w:firstLine="0"/>
              <w:jc w:val="center"/>
              <w:rPr>
                <w:rFonts w:eastAsia="Times New Roman"/>
                <w:b/>
                <w:bCs/>
                <w:color w:val="000000"/>
                <w:sz w:val="16"/>
                <w:lang w:eastAsia="en-GB"/>
              </w:rPr>
            </w:pPr>
            <w:r w:rsidRPr="00626435">
              <w:rPr>
                <w:rFonts w:eastAsia="Times New Roman"/>
                <w:b/>
                <w:bCs/>
                <w:color w:val="000000"/>
                <w:sz w:val="16"/>
                <w:lang w:eastAsia="en-GB"/>
              </w:rPr>
              <w:t>Same Results within</w:t>
            </w:r>
            <w:r w:rsidRPr="00626435">
              <w:rPr>
                <w:rFonts w:eastAsia="Times New Roman"/>
                <w:b/>
                <w:bCs/>
                <w:color w:val="000000"/>
                <w:sz w:val="16"/>
                <w:lang w:eastAsia="en-GB"/>
              </w:rPr>
              <w:br/>
              <w:t>IACS Thresholds</w:t>
            </w:r>
          </w:p>
        </w:tc>
        <w:tc>
          <w:tcPr>
            <w:tcW w:w="1766" w:type="pct"/>
            <w:tcBorders>
              <w:top w:val="single" w:sz="4" w:space="0" w:color="000000"/>
              <w:left w:val="nil"/>
              <w:bottom w:val="single" w:sz="4" w:space="0" w:color="000000"/>
              <w:right w:val="nil"/>
            </w:tcBorders>
            <w:shd w:val="clear" w:color="auto" w:fill="auto"/>
            <w:noWrap/>
            <w:vAlign w:val="center"/>
            <w:hideMark/>
          </w:tcPr>
          <w:p w:rsidR="006E5156" w:rsidRPr="00626435" w:rsidRDefault="006E5156" w:rsidP="00DE30DD">
            <w:pPr>
              <w:ind w:firstLine="0"/>
              <w:jc w:val="center"/>
              <w:rPr>
                <w:rFonts w:eastAsia="Times New Roman"/>
                <w:b/>
                <w:bCs/>
                <w:color w:val="000000"/>
                <w:sz w:val="16"/>
                <w:lang w:eastAsia="en-GB"/>
              </w:rPr>
            </w:pPr>
            <w:r w:rsidRPr="00626435">
              <w:rPr>
                <w:rFonts w:eastAsia="Times New Roman"/>
                <w:b/>
                <w:bCs/>
                <w:color w:val="000000"/>
                <w:sz w:val="16"/>
                <w:lang w:eastAsia="en-GB"/>
              </w:rPr>
              <w:t>Critical Properties</w:t>
            </w:r>
          </w:p>
        </w:tc>
      </w:tr>
      <w:tr w:rsidR="00E32BEA" w:rsidRPr="00626435" w:rsidTr="00DE30DD">
        <w:trPr>
          <w:trHeight w:val="300"/>
          <w:jc w:val="center"/>
        </w:trPr>
        <w:tc>
          <w:tcPr>
            <w:tcW w:w="599"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1</w:t>
            </w:r>
          </w:p>
        </w:tc>
        <w:tc>
          <w:tcPr>
            <w:tcW w:w="467"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0.050</w:t>
            </w:r>
          </w:p>
        </w:tc>
        <w:tc>
          <w:tcPr>
            <w:tcW w:w="523"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0.00028</w:t>
            </w:r>
          </w:p>
        </w:tc>
        <w:tc>
          <w:tcPr>
            <w:tcW w:w="504" w:type="pct"/>
            <w:tcBorders>
              <w:top w:val="nil"/>
              <w:left w:val="nil"/>
              <w:bottom w:val="nil"/>
              <w:right w:val="nil"/>
            </w:tcBorders>
            <w:vAlign w:val="center"/>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0.00</w:t>
            </w:r>
          </w:p>
        </w:tc>
        <w:tc>
          <w:tcPr>
            <w:tcW w:w="1140"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ascii="Segoe UI Symbol" w:eastAsia="Times New Roman" w:hAnsi="Segoe UI Symbol" w:cs="Segoe UI Symbol"/>
                <w:color w:val="000000"/>
                <w:sz w:val="16"/>
                <w:lang w:eastAsia="en-GB"/>
              </w:rPr>
              <w:t>✔</w:t>
            </w:r>
          </w:p>
        </w:tc>
        <w:tc>
          <w:tcPr>
            <w:tcW w:w="1766"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sz w:val="16"/>
                <w:szCs w:val="20"/>
                <w:lang w:eastAsia="en-GB"/>
              </w:rPr>
            </w:pPr>
            <w:r w:rsidRPr="00626435">
              <w:rPr>
                <w:rFonts w:eastAsia="Times New Roman"/>
                <w:sz w:val="16"/>
                <w:szCs w:val="20"/>
                <w:lang w:eastAsia="en-GB"/>
              </w:rPr>
              <w:t>-</w:t>
            </w:r>
          </w:p>
        </w:tc>
      </w:tr>
      <w:tr w:rsidR="00E32BEA" w:rsidRPr="00626435" w:rsidTr="00DE30DD">
        <w:trPr>
          <w:trHeight w:val="300"/>
          <w:jc w:val="center"/>
        </w:trPr>
        <w:tc>
          <w:tcPr>
            <w:tcW w:w="599"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2</w:t>
            </w:r>
          </w:p>
        </w:tc>
        <w:tc>
          <w:tcPr>
            <w:tcW w:w="467"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0.300</w:t>
            </w:r>
          </w:p>
        </w:tc>
        <w:tc>
          <w:tcPr>
            <w:tcW w:w="523"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0.00170</w:t>
            </w:r>
          </w:p>
        </w:tc>
        <w:tc>
          <w:tcPr>
            <w:tcW w:w="504" w:type="pct"/>
            <w:tcBorders>
              <w:top w:val="nil"/>
              <w:left w:val="nil"/>
              <w:bottom w:val="nil"/>
              <w:right w:val="nil"/>
            </w:tcBorders>
            <w:vAlign w:val="center"/>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0.66</w:t>
            </w:r>
          </w:p>
        </w:tc>
        <w:tc>
          <w:tcPr>
            <w:tcW w:w="1140"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ascii="Segoe UI Symbol" w:eastAsia="Times New Roman" w:hAnsi="Segoe UI Symbol" w:cs="Segoe UI Symbol"/>
                <w:color w:val="000000"/>
                <w:sz w:val="16"/>
                <w:lang w:eastAsia="en-GB"/>
              </w:rPr>
              <w:t>✔</w:t>
            </w:r>
          </w:p>
        </w:tc>
        <w:tc>
          <w:tcPr>
            <w:tcW w:w="1766"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sz w:val="16"/>
                <w:szCs w:val="20"/>
                <w:lang w:eastAsia="en-GB"/>
              </w:rPr>
            </w:pPr>
            <w:r w:rsidRPr="00626435">
              <w:rPr>
                <w:rFonts w:eastAsia="Times New Roman"/>
                <w:sz w:val="16"/>
                <w:szCs w:val="20"/>
                <w:lang w:eastAsia="en-GB"/>
              </w:rPr>
              <w:t>-</w:t>
            </w:r>
          </w:p>
        </w:tc>
      </w:tr>
      <w:tr w:rsidR="00E32BEA" w:rsidRPr="00626435" w:rsidTr="00DE30DD">
        <w:trPr>
          <w:trHeight w:val="300"/>
          <w:jc w:val="center"/>
        </w:trPr>
        <w:tc>
          <w:tcPr>
            <w:tcW w:w="599"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3</w:t>
            </w:r>
          </w:p>
        </w:tc>
        <w:tc>
          <w:tcPr>
            <w:tcW w:w="467"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0.875</w:t>
            </w:r>
          </w:p>
        </w:tc>
        <w:tc>
          <w:tcPr>
            <w:tcW w:w="523"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0.00494</w:t>
            </w:r>
          </w:p>
        </w:tc>
        <w:tc>
          <w:tcPr>
            <w:tcW w:w="504" w:type="pct"/>
            <w:tcBorders>
              <w:top w:val="nil"/>
              <w:left w:val="nil"/>
              <w:bottom w:val="nil"/>
              <w:right w:val="nil"/>
            </w:tcBorders>
            <w:vAlign w:val="center"/>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2.60</w:t>
            </w:r>
          </w:p>
        </w:tc>
        <w:tc>
          <w:tcPr>
            <w:tcW w:w="1140"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ascii="Segoe UI Symbol" w:eastAsia="Times New Roman" w:hAnsi="Segoe UI Symbol" w:cs="Segoe UI Symbol"/>
                <w:color w:val="000000"/>
                <w:sz w:val="16"/>
                <w:lang w:eastAsia="en-GB"/>
              </w:rPr>
              <w:t>✘</w:t>
            </w:r>
          </w:p>
        </w:tc>
        <w:tc>
          <w:tcPr>
            <w:tcW w:w="1766" w:type="pct"/>
            <w:tcBorders>
              <w:top w:val="nil"/>
              <w:left w:val="nil"/>
              <w:bottom w:val="nil"/>
              <w:right w:val="nil"/>
            </w:tcBorders>
            <w:shd w:val="clear" w:color="auto" w:fill="auto"/>
            <w:noWrap/>
            <w:vAlign w:val="center"/>
            <w:hideMark/>
          </w:tcPr>
          <w:p w:rsidR="00E32BEA" w:rsidRPr="00626435" w:rsidRDefault="00E32BEA" w:rsidP="00E32BEA">
            <w:pPr>
              <w:ind w:firstLine="0"/>
              <w:jc w:val="center"/>
              <w:rPr>
                <w:rFonts w:eastAsia="Times New Roman"/>
                <w:sz w:val="16"/>
                <w:szCs w:val="20"/>
                <w:lang w:eastAsia="en-GB"/>
              </w:rPr>
            </w:pPr>
            <w:r w:rsidRPr="00626435">
              <w:rPr>
                <w:rFonts w:eastAsia="Times New Roman"/>
                <w:i/>
                <w:sz w:val="16"/>
                <w:szCs w:val="20"/>
                <w:lang w:eastAsia="en-GB"/>
              </w:rPr>
              <w:t>GML</w:t>
            </w:r>
          </w:p>
        </w:tc>
      </w:tr>
      <w:tr w:rsidR="00E32BEA" w:rsidRPr="00626435" w:rsidTr="00DE30DD">
        <w:trPr>
          <w:trHeight w:val="300"/>
          <w:jc w:val="center"/>
        </w:trPr>
        <w:tc>
          <w:tcPr>
            <w:tcW w:w="599"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4</w:t>
            </w:r>
          </w:p>
        </w:tc>
        <w:tc>
          <w:tcPr>
            <w:tcW w:w="467"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1.875</w:t>
            </w:r>
          </w:p>
        </w:tc>
        <w:tc>
          <w:tcPr>
            <w:tcW w:w="523"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0.01059</w:t>
            </w:r>
          </w:p>
        </w:tc>
        <w:tc>
          <w:tcPr>
            <w:tcW w:w="504" w:type="pct"/>
            <w:tcBorders>
              <w:top w:val="nil"/>
              <w:left w:val="nil"/>
              <w:bottom w:val="nil"/>
              <w:right w:val="nil"/>
            </w:tcBorders>
            <w:vAlign w:val="center"/>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8.31</w:t>
            </w:r>
          </w:p>
        </w:tc>
        <w:tc>
          <w:tcPr>
            <w:tcW w:w="1140"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ascii="Segoe UI Symbol" w:eastAsia="Times New Roman" w:hAnsi="Segoe UI Symbol" w:cs="Segoe UI Symbol"/>
                <w:color w:val="000000"/>
                <w:sz w:val="16"/>
                <w:lang w:eastAsia="en-GB"/>
              </w:rPr>
              <w:t>✘</w:t>
            </w:r>
          </w:p>
        </w:tc>
        <w:tc>
          <w:tcPr>
            <w:tcW w:w="1766" w:type="pct"/>
            <w:tcBorders>
              <w:top w:val="nil"/>
              <w:left w:val="nil"/>
              <w:bottom w:val="nil"/>
              <w:right w:val="nil"/>
            </w:tcBorders>
            <w:shd w:val="clear" w:color="auto" w:fill="auto"/>
            <w:noWrap/>
            <w:vAlign w:val="center"/>
            <w:hideMark/>
          </w:tcPr>
          <w:p w:rsidR="006E5156" w:rsidRPr="00626435" w:rsidRDefault="00E32BEA" w:rsidP="00E32BEA">
            <w:pPr>
              <w:ind w:firstLine="0"/>
              <w:jc w:val="center"/>
              <w:rPr>
                <w:rFonts w:eastAsia="Times New Roman"/>
                <w:sz w:val="16"/>
                <w:szCs w:val="20"/>
                <w:lang w:eastAsia="en-GB"/>
              </w:rPr>
            </w:pPr>
            <w:r w:rsidRPr="00626435">
              <w:rPr>
                <w:rFonts w:eastAsia="Times New Roman"/>
                <w:i/>
                <w:sz w:val="16"/>
                <w:szCs w:val="20"/>
                <w:lang w:eastAsia="en-GB"/>
              </w:rPr>
              <w:t>T</w:t>
            </w:r>
            <w:r w:rsidRPr="00626435">
              <w:rPr>
                <w:rFonts w:eastAsia="Times New Roman"/>
                <w:i/>
                <w:sz w:val="16"/>
                <w:szCs w:val="20"/>
                <w:vertAlign w:val="subscript"/>
                <w:lang w:eastAsia="en-GB"/>
              </w:rPr>
              <w:t>M</w:t>
            </w:r>
            <w:r w:rsidRPr="00626435">
              <w:rPr>
                <w:rFonts w:eastAsia="Times New Roman"/>
                <w:sz w:val="16"/>
                <w:szCs w:val="20"/>
                <w:lang w:eastAsia="en-GB"/>
              </w:rPr>
              <w:t xml:space="preserve">, </w:t>
            </w:r>
            <w:r w:rsidRPr="00626435">
              <w:rPr>
                <w:rFonts w:eastAsia="Times New Roman"/>
                <w:i/>
                <w:sz w:val="16"/>
                <w:szCs w:val="20"/>
                <w:lang w:eastAsia="en-GB"/>
              </w:rPr>
              <w:t>T</w:t>
            </w:r>
            <w:r w:rsidRPr="00626435">
              <w:rPr>
                <w:rFonts w:eastAsia="Times New Roman"/>
                <w:i/>
                <w:sz w:val="16"/>
                <w:szCs w:val="20"/>
                <w:vertAlign w:val="subscript"/>
                <w:lang w:eastAsia="en-GB"/>
              </w:rPr>
              <w:t>F</w:t>
            </w:r>
            <w:r w:rsidRPr="00626435">
              <w:rPr>
                <w:rFonts w:eastAsia="Times New Roman"/>
                <w:sz w:val="16"/>
                <w:szCs w:val="20"/>
                <w:lang w:eastAsia="en-GB"/>
              </w:rPr>
              <w:t xml:space="preserve">, </w:t>
            </w:r>
            <w:r w:rsidRPr="00626435">
              <w:rPr>
                <w:rFonts w:eastAsia="Times New Roman"/>
                <w:i/>
                <w:sz w:val="16"/>
                <w:szCs w:val="20"/>
                <w:lang w:eastAsia="en-GB"/>
              </w:rPr>
              <w:t>GM</w:t>
            </w:r>
            <w:r w:rsidRPr="00626435">
              <w:rPr>
                <w:rFonts w:eastAsia="Times New Roman"/>
                <w:sz w:val="16"/>
                <w:szCs w:val="20"/>
                <w:lang w:eastAsia="en-GB"/>
              </w:rPr>
              <w:t xml:space="preserve">, </w:t>
            </w:r>
            <w:r w:rsidRPr="00626435">
              <w:rPr>
                <w:rFonts w:eastAsia="Times New Roman"/>
                <w:i/>
                <w:sz w:val="16"/>
                <w:szCs w:val="20"/>
                <w:lang w:eastAsia="en-GB"/>
              </w:rPr>
              <w:t>GML</w:t>
            </w:r>
          </w:p>
        </w:tc>
      </w:tr>
      <w:tr w:rsidR="00E32BEA" w:rsidRPr="00626435" w:rsidTr="00DE30DD">
        <w:trPr>
          <w:trHeight w:val="300"/>
          <w:jc w:val="center"/>
        </w:trPr>
        <w:tc>
          <w:tcPr>
            <w:tcW w:w="599"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5</w:t>
            </w:r>
          </w:p>
        </w:tc>
        <w:tc>
          <w:tcPr>
            <w:tcW w:w="467"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3.250</w:t>
            </w:r>
          </w:p>
        </w:tc>
        <w:tc>
          <w:tcPr>
            <w:tcW w:w="523"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0.01836</w:t>
            </w:r>
          </w:p>
        </w:tc>
        <w:tc>
          <w:tcPr>
            <w:tcW w:w="504" w:type="pct"/>
            <w:tcBorders>
              <w:top w:val="nil"/>
              <w:left w:val="nil"/>
              <w:bottom w:val="nil"/>
              <w:right w:val="nil"/>
            </w:tcBorders>
            <w:vAlign w:val="center"/>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18.19</w:t>
            </w:r>
          </w:p>
        </w:tc>
        <w:tc>
          <w:tcPr>
            <w:tcW w:w="1140"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ascii="Segoe UI Symbol" w:eastAsia="Times New Roman" w:hAnsi="Segoe UI Symbol" w:cs="Segoe UI Symbol"/>
                <w:color w:val="000000"/>
                <w:sz w:val="16"/>
                <w:lang w:eastAsia="en-GB"/>
              </w:rPr>
              <w:t>✘</w:t>
            </w:r>
          </w:p>
        </w:tc>
        <w:tc>
          <w:tcPr>
            <w:tcW w:w="1766" w:type="pct"/>
            <w:tcBorders>
              <w:top w:val="nil"/>
              <w:left w:val="nil"/>
              <w:bottom w:val="nil"/>
              <w:right w:val="nil"/>
            </w:tcBorders>
            <w:shd w:val="clear" w:color="auto" w:fill="auto"/>
            <w:noWrap/>
            <w:vAlign w:val="center"/>
            <w:hideMark/>
          </w:tcPr>
          <w:p w:rsidR="006E5156" w:rsidRPr="00626435" w:rsidRDefault="00E32BEA" w:rsidP="00DE30DD">
            <w:pPr>
              <w:ind w:firstLine="0"/>
              <w:jc w:val="center"/>
              <w:rPr>
                <w:rFonts w:eastAsia="Times New Roman"/>
                <w:sz w:val="16"/>
                <w:szCs w:val="20"/>
                <w:lang w:eastAsia="en-GB"/>
              </w:rPr>
            </w:pPr>
            <w:r w:rsidRPr="00626435">
              <w:rPr>
                <w:rFonts w:eastAsia="Times New Roman"/>
                <w:i/>
                <w:sz w:val="16"/>
                <w:szCs w:val="20"/>
                <w:lang w:eastAsia="en-GB"/>
              </w:rPr>
              <w:t>T</w:t>
            </w:r>
            <w:r w:rsidRPr="00626435">
              <w:rPr>
                <w:rFonts w:eastAsia="Times New Roman"/>
                <w:i/>
                <w:sz w:val="16"/>
                <w:szCs w:val="20"/>
                <w:vertAlign w:val="subscript"/>
                <w:lang w:eastAsia="en-GB"/>
              </w:rPr>
              <w:t>M</w:t>
            </w:r>
            <w:r w:rsidRPr="00626435">
              <w:rPr>
                <w:rFonts w:eastAsia="Times New Roman"/>
                <w:sz w:val="16"/>
                <w:szCs w:val="20"/>
                <w:lang w:eastAsia="en-GB"/>
              </w:rPr>
              <w:t xml:space="preserve">, </w:t>
            </w:r>
            <w:r w:rsidRPr="00626435">
              <w:rPr>
                <w:rFonts w:eastAsia="Times New Roman"/>
                <w:i/>
                <w:sz w:val="16"/>
                <w:szCs w:val="20"/>
                <w:lang w:eastAsia="en-GB"/>
              </w:rPr>
              <w:t>T</w:t>
            </w:r>
            <w:r w:rsidRPr="00626435">
              <w:rPr>
                <w:rFonts w:eastAsia="Times New Roman"/>
                <w:i/>
                <w:sz w:val="16"/>
                <w:szCs w:val="20"/>
                <w:vertAlign w:val="subscript"/>
                <w:lang w:eastAsia="en-GB"/>
              </w:rPr>
              <w:t>F</w:t>
            </w:r>
            <w:r w:rsidRPr="00626435">
              <w:rPr>
                <w:rFonts w:eastAsia="Times New Roman"/>
                <w:sz w:val="16"/>
                <w:szCs w:val="20"/>
                <w:lang w:eastAsia="en-GB"/>
              </w:rPr>
              <w:t xml:space="preserve">, </w:t>
            </w:r>
            <w:r w:rsidRPr="00626435">
              <w:rPr>
                <w:rFonts w:eastAsia="Times New Roman"/>
                <w:i/>
                <w:sz w:val="16"/>
                <w:szCs w:val="20"/>
                <w:lang w:eastAsia="en-GB"/>
              </w:rPr>
              <w:t>GM</w:t>
            </w:r>
            <w:r w:rsidRPr="00626435">
              <w:rPr>
                <w:rFonts w:eastAsia="Times New Roman"/>
                <w:sz w:val="16"/>
                <w:szCs w:val="20"/>
                <w:lang w:eastAsia="en-GB"/>
              </w:rPr>
              <w:t xml:space="preserve">, </w:t>
            </w:r>
            <w:r w:rsidRPr="00626435">
              <w:rPr>
                <w:rFonts w:eastAsia="Times New Roman"/>
                <w:i/>
                <w:sz w:val="16"/>
                <w:szCs w:val="20"/>
                <w:lang w:eastAsia="en-GB"/>
              </w:rPr>
              <w:t>GML</w:t>
            </w:r>
            <w:r w:rsidRPr="00626435">
              <w:rPr>
                <w:rFonts w:eastAsia="Times New Roman"/>
                <w:sz w:val="16"/>
                <w:szCs w:val="20"/>
                <w:lang w:eastAsia="en-GB"/>
              </w:rPr>
              <w:t xml:space="preserve">, </w:t>
            </w:r>
            <w:r w:rsidRPr="00626435">
              <w:rPr>
                <w:rFonts w:eastAsia="Times New Roman"/>
                <w:i/>
                <w:sz w:val="16"/>
                <w:szCs w:val="20"/>
                <w:lang w:eastAsia="en-GB"/>
              </w:rPr>
              <w:t>MTC</w:t>
            </w:r>
          </w:p>
        </w:tc>
      </w:tr>
      <w:tr w:rsidR="00E32BEA" w:rsidRPr="00626435" w:rsidTr="00DE30DD">
        <w:trPr>
          <w:trHeight w:val="300"/>
          <w:jc w:val="center"/>
        </w:trPr>
        <w:tc>
          <w:tcPr>
            <w:tcW w:w="599"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6</w:t>
            </w:r>
          </w:p>
        </w:tc>
        <w:tc>
          <w:tcPr>
            <w:tcW w:w="467"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5.000</w:t>
            </w:r>
          </w:p>
        </w:tc>
        <w:tc>
          <w:tcPr>
            <w:tcW w:w="523"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0.02825</w:t>
            </w:r>
          </w:p>
        </w:tc>
        <w:tc>
          <w:tcPr>
            <w:tcW w:w="504" w:type="pct"/>
            <w:tcBorders>
              <w:top w:val="nil"/>
              <w:left w:val="nil"/>
              <w:bottom w:val="nil"/>
              <w:right w:val="nil"/>
            </w:tcBorders>
            <w:vAlign w:val="center"/>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17.19</w:t>
            </w:r>
          </w:p>
        </w:tc>
        <w:tc>
          <w:tcPr>
            <w:tcW w:w="1140"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ascii="Segoe UI Symbol" w:eastAsia="Times New Roman" w:hAnsi="Segoe UI Symbol" w:cs="Segoe UI Symbol"/>
                <w:color w:val="000000"/>
                <w:sz w:val="16"/>
                <w:lang w:eastAsia="en-GB"/>
              </w:rPr>
              <w:t>✘</w:t>
            </w:r>
          </w:p>
        </w:tc>
        <w:tc>
          <w:tcPr>
            <w:tcW w:w="1766" w:type="pct"/>
            <w:tcBorders>
              <w:top w:val="nil"/>
              <w:left w:val="nil"/>
              <w:bottom w:val="nil"/>
              <w:right w:val="nil"/>
            </w:tcBorders>
            <w:shd w:val="clear" w:color="auto" w:fill="auto"/>
            <w:noWrap/>
            <w:vAlign w:val="center"/>
            <w:hideMark/>
          </w:tcPr>
          <w:p w:rsidR="006E5156" w:rsidRPr="00626435" w:rsidRDefault="00E32BEA" w:rsidP="00E32BEA">
            <w:pPr>
              <w:ind w:firstLine="0"/>
              <w:jc w:val="center"/>
              <w:rPr>
                <w:rFonts w:eastAsia="Times New Roman"/>
                <w:sz w:val="16"/>
                <w:szCs w:val="20"/>
                <w:lang w:eastAsia="en-GB"/>
              </w:rPr>
            </w:pPr>
            <w:r w:rsidRPr="00626435">
              <w:rPr>
                <w:rFonts w:eastAsia="Times New Roman"/>
                <w:i/>
                <w:sz w:val="16"/>
                <w:szCs w:val="20"/>
                <w:lang w:eastAsia="en-GB"/>
              </w:rPr>
              <w:t>T</w:t>
            </w:r>
            <w:r w:rsidRPr="00626435">
              <w:rPr>
                <w:rFonts w:eastAsia="Times New Roman"/>
                <w:i/>
                <w:sz w:val="16"/>
                <w:szCs w:val="20"/>
                <w:vertAlign w:val="subscript"/>
                <w:lang w:eastAsia="en-GB"/>
              </w:rPr>
              <w:t>A</w:t>
            </w:r>
            <w:r w:rsidRPr="00626435">
              <w:rPr>
                <w:rFonts w:eastAsia="Times New Roman"/>
                <w:sz w:val="16"/>
                <w:szCs w:val="20"/>
                <w:lang w:eastAsia="en-GB"/>
              </w:rPr>
              <w:t xml:space="preserve">, </w:t>
            </w:r>
            <w:r w:rsidRPr="00626435">
              <w:rPr>
                <w:rFonts w:eastAsia="Times New Roman"/>
                <w:i/>
                <w:sz w:val="16"/>
                <w:szCs w:val="20"/>
                <w:lang w:eastAsia="en-GB"/>
              </w:rPr>
              <w:t>T</w:t>
            </w:r>
            <w:r w:rsidRPr="00626435">
              <w:rPr>
                <w:rFonts w:eastAsia="Times New Roman"/>
                <w:i/>
                <w:sz w:val="16"/>
                <w:szCs w:val="20"/>
                <w:vertAlign w:val="subscript"/>
                <w:lang w:eastAsia="en-GB"/>
              </w:rPr>
              <w:t>M</w:t>
            </w:r>
            <w:r w:rsidRPr="00626435">
              <w:rPr>
                <w:rFonts w:eastAsia="Times New Roman"/>
                <w:sz w:val="16"/>
                <w:szCs w:val="20"/>
                <w:lang w:eastAsia="en-GB"/>
              </w:rPr>
              <w:t xml:space="preserve">, </w:t>
            </w:r>
            <w:r w:rsidRPr="00626435">
              <w:rPr>
                <w:rFonts w:eastAsia="Times New Roman"/>
                <w:i/>
                <w:sz w:val="16"/>
                <w:szCs w:val="20"/>
                <w:lang w:eastAsia="en-GB"/>
              </w:rPr>
              <w:t>T</w:t>
            </w:r>
            <w:r w:rsidRPr="00626435">
              <w:rPr>
                <w:rFonts w:eastAsia="Times New Roman"/>
                <w:i/>
                <w:sz w:val="16"/>
                <w:szCs w:val="20"/>
                <w:vertAlign w:val="subscript"/>
                <w:lang w:eastAsia="en-GB"/>
              </w:rPr>
              <w:t>F</w:t>
            </w:r>
            <w:r w:rsidRPr="00626435">
              <w:rPr>
                <w:rFonts w:eastAsia="Times New Roman"/>
                <w:sz w:val="16"/>
                <w:szCs w:val="20"/>
                <w:lang w:eastAsia="en-GB"/>
              </w:rPr>
              <w:t xml:space="preserve">, </w:t>
            </w:r>
            <w:r w:rsidRPr="00626435">
              <w:rPr>
                <w:rFonts w:eastAsia="Times New Roman"/>
                <w:i/>
                <w:sz w:val="16"/>
                <w:szCs w:val="20"/>
                <w:lang w:eastAsia="en-GB"/>
              </w:rPr>
              <w:t>GM</w:t>
            </w:r>
            <w:r w:rsidRPr="00626435">
              <w:rPr>
                <w:rFonts w:eastAsia="Times New Roman"/>
                <w:sz w:val="16"/>
                <w:szCs w:val="20"/>
                <w:lang w:eastAsia="en-GB"/>
              </w:rPr>
              <w:t xml:space="preserve">, </w:t>
            </w:r>
            <w:r w:rsidRPr="00626435">
              <w:rPr>
                <w:rFonts w:eastAsia="Times New Roman"/>
                <w:i/>
                <w:sz w:val="16"/>
                <w:szCs w:val="20"/>
                <w:lang w:eastAsia="en-GB"/>
              </w:rPr>
              <w:t>GML</w:t>
            </w:r>
            <w:r w:rsidRPr="00626435">
              <w:rPr>
                <w:rFonts w:eastAsia="Times New Roman"/>
                <w:sz w:val="16"/>
                <w:szCs w:val="20"/>
                <w:lang w:eastAsia="en-GB"/>
              </w:rPr>
              <w:t xml:space="preserve">, </w:t>
            </w:r>
            <w:r w:rsidRPr="00626435">
              <w:rPr>
                <w:rFonts w:eastAsia="Times New Roman"/>
                <w:i/>
                <w:sz w:val="16"/>
                <w:szCs w:val="20"/>
                <w:lang w:eastAsia="en-GB"/>
              </w:rPr>
              <w:t>MTC</w:t>
            </w:r>
          </w:p>
        </w:tc>
      </w:tr>
      <w:tr w:rsidR="00E32BEA" w:rsidRPr="00626435" w:rsidTr="00DE30DD">
        <w:trPr>
          <w:trHeight w:val="300"/>
          <w:jc w:val="center"/>
        </w:trPr>
        <w:tc>
          <w:tcPr>
            <w:tcW w:w="599"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7</w:t>
            </w:r>
          </w:p>
        </w:tc>
        <w:tc>
          <w:tcPr>
            <w:tcW w:w="467"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7.500</w:t>
            </w:r>
          </w:p>
        </w:tc>
        <w:tc>
          <w:tcPr>
            <w:tcW w:w="523"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0.04237</w:t>
            </w:r>
          </w:p>
        </w:tc>
        <w:tc>
          <w:tcPr>
            <w:tcW w:w="504" w:type="pct"/>
            <w:tcBorders>
              <w:top w:val="nil"/>
              <w:left w:val="nil"/>
              <w:bottom w:val="nil"/>
              <w:right w:val="nil"/>
            </w:tcBorders>
            <w:vAlign w:val="center"/>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25.39</w:t>
            </w:r>
          </w:p>
        </w:tc>
        <w:tc>
          <w:tcPr>
            <w:tcW w:w="1140" w:type="pct"/>
            <w:tcBorders>
              <w:top w:val="nil"/>
              <w:left w:val="nil"/>
              <w:bottom w:val="nil"/>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ascii="Segoe UI Symbol" w:eastAsia="Times New Roman" w:hAnsi="Segoe UI Symbol" w:cs="Segoe UI Symbol"/>
                <w:color w:val="000000"/>
                <w:sz w:val="16"/>
                <w:lang w:eastAsia="en-GB"/>
              </w:rPr>
              <w:t>✘</w:t>
            </w:r>
          </w:p>
        </w:tc>
        <w:tc>
          <w:tcPr>
            <w:tcW w:w="1766" w:type="pct"/>
            <w:tcBorders>
              <w:top w:val="nil"/>
              <w:left w:val="nil"/>
              <w:bottom w:val="nil"/>
              <w:right w:val="nil"/>
            </w:tcBorders>
            <w:shd w:val="clear" w:color="auto" w:fill="auto"/>
            <w:noWrap/>
            <w:vAlign w:val="center"/>
            <w:hideMark/>
          </w:tcPr>
          <w:p w:rsidR="006E5156" w:rsidRPr="00626435" w:rsidRDefault="00E32BEA" w:rsidP="00DE30DD">
            <w:pPr>
              <w:ind w:firstLine="0"/>
              <w:jc w:val="center"/>
              <w:rPr>
                <w:rFonts w:eastAsia="Times New Roman"/>
                <w:sz w:val="16"/>
                <w:szCs w:val="20"/>
                <w:lang w:eastAsia="en-GB"/>
              </w:rPr>
            </w:pPr>
            <w:r w:rsidRPr="00626435">
              <w:rPr>
                <w:rFonts w:eastAsia="Times New Roman"/>
                <w:i/>
                <w:sz w:val="16"/>
                <w:szCs w:val="20"/>
                <w:lang w:eastAsia="en-GB"/>
              </w:rPr>
              <w:t>T</w:t>
            </w:r>
            <w:r w:rsidRPr="00626435">
              <w:rPr>
                <w:rFonts w:eastAsia="Times New Roman"/>
                <w:i/>
                <w:sz w:val="16"/>
                <w:szCs w:val="20"/>
                <w:vertAlign w:val="subscript"/>
                <w:lang w:eastAsia="en-GB"/>
              </w:rPr>
              <w:t>A</w:t>
            </w:r>
            <w:r w:rsidRPr="00626435">
              <w:rPr>
                <w:rFonts w:eastAsia="Times New Roman"/>
                <w:sz w:val="16"/>
                <w:szCs w:val="20"/>
                <w:lang w:eastAsia="en-GB"/>
              </w:rPr>
              <w:t xml:space="preserve">, </w:t>
            </w:r>
            <w:r w:rsidRPr="00626435">
              <w:rPr>
                <w:rFonts w:eastAsia="Times New Roman"/>
                <w:i/>
                <w:sz w:val="16"/>
                <w:szCs w:val="20"/>
                <w:lang w:eastAsia="en-GB"/>
              </w:rPr>
              <w:t>T</w:t>
            </w:r>
            <w:r w:rsidRPr="00626435">
              <w:rPr>
                <w:rFonts w:eastAsia="Times New Roman"/>
                <w:i/>
                <w:sz w:val="16"/>
                <w:szCs w:val="20"/>
                <w:vertAlign w:val="subscript"/>
                <w:lang w:eastAsia="en-GB"/>
              </w:rPr>
              <w:t>M</w:t>
            </w:r>
            <w:r w:rsidRPr="00626435">
              <w:rPr>
                <w:rFonts w:eastAsia="Times New Roman"/>
                <w:sz w:val="16"/>
                <w:szCs w:val="20"/>
                <w:lang w:eastAsia="en-GB"/>
              </w:rPr>
              <w:t xml:space="preserve">, </w:t>
            </w:r>
            <w:r w:rsidRPr="00626435">
              <w:rPr>
                <w:rFonts w:eastAsia="Times New Roman"/>
                <w:i/>
                <w:sz w:val="16"/>
                <w:szCs w:val="20"/>
                <w:lang w:eastAsia="en-GB"/>
              </w:rPr>
              <w:t>T</w:t>
            </w:r>
            <w:r w:rsidRPr="00626435">
              <w:rPr>
                <w:rFonts w:eastAsia="Times New Roman"/>
                <w:i/>
                <w:sz w:val="16"/>
                <w:szCs w:val="20"/>
                <w:vertAlign w:val="subscript"/>
                <w:lang w:eastAsia="en-GB"/>
              </w:rPr>
              <w:t>F</w:t>
            </w:r>
            <w:r w:rsidRPr="00626435">
              <w:rPr>
                <w:rFonts w:eastAsia="Times New Roman"/>
                <w:sz w:val="16"/>
                <w:szCs w:val="20"/>
                <w:lang w:eastAsia="en-GB"/>
              </w:rPr>
              <w:t xml:space="preserve">, </w:t>
            </w:r>
            <w:r w:rsidRPr="00626435">
              <w:rPr>
                <w:rFonts w:eastAsia="Times New Roman"/>
                <w:i/>
                <w:sz w:val="16"/>
                <w:szCs w:val="20"/>
                <w:lang w:eastAsia="en-GB"/>
              </w:rPr>
              <w:t>VCB</w:t>
            </w:r>
            <w:r w:rsidRPr="00626435">
              <w:rPr>
                <w:rFonts w:eastAsia="Times New Roman"/>
                <w:sz w:val="16"/>
                <w:szCs w:val="20"/>
                <w:lang w:eastAsia="en-GB"/>
              </w:rPr>
              <w:t xml:space="preserve">, </w:t>
            </w:r>
            <w:r w:rsidRPr="00626435">
              <w:rPr>
                <w:rFonts w:eastAsia="Times New Roman"/>
                <w:i/>
                <w:sz w:val="16"/>
                <w:szCs w:val="20"/>
                <w:lang w:eastAsia="en-GB"/>
              </w:rPr>
              <w:t>GM</w:t>
            </w:r>
            <w:r w:rsidRPr="00626435">
              <w:rPr>
                <w:rFonts w:eastAsia="Times New Roman"/>
                <w:sz w:val="16"/>
                <w:szCs w:val="20"/>
                <w:lang w:eastAsia="en-GB"/>
              </w:rPr>
              <w:t xml:space="preserve">, </w:t>
            </w:r>
            <w:r w:rsidRPr="00626435">
              <w:rPr>
                <w:rFonts w:eastAsia="Times New Roman"/>
                <w:i/>
                <w:sz w:val="16"/>
                <w:szCs w:val="20"/>
                <w:lang w:eastAsia="en-GB"/>
              </w:rPr>
              <w:t>GML</w:t>
            </w:r>
            <w:r w:rsidRPr="00626435">
              <w:rPr>
                <w:rFonts w:eastAsia="Times New Roman"/>
                <w:sz w:val="16"/>
                <w:szCs w:val="20"/>
                <w:lang w:eastAsia="en-GB"/>
              </w:rPr>
              <w:t xml:space="preserve">, </w:t>
            </w:r>
            <w:r w:rsidRPr="00626435">
              <w:rPr>
                <w:rFonts w:eastAsia="Times New Roman"/>
                <w:i/>
                <w:sz w:val="16"/>
                <w:szCs w:val="20"/>
                <w:lang w:eastAsia="en-GB"/>
              </w:rPr>
              <w:t>MTC</w:t>
            </w:r>
          </w:p>
        </w:tc>
      </w:tr>
      <w:tr w:rsidR="00E32BEA" w:rsidRPr="00626435" w:rsidTr="00DE30DD">
        <w:trPr>
          <w:trHeight w:val="300"/>
          <w:jc w:val="center"/>
        </w:trPr>
        <w:tc>
          <w:tcPr>
            <w:tcW w:w="599" w:type="pct"/>
            <w:tcBorders>
              <w:top w:val="nil"/>
              <w:left w:val="nil"/>
              <w:bottom w:val="single" w:sz="4" w:space="0" w:color="000000"/>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8</w:t>
            </w:r>
          </w:p>
        </w:tc>
        <w:tc>
          <w:tcPr>
            <w:tcW w:w="467" w:type="pct"/>
            <w:tcBorders>
              <w:top w:val="nil"/>
              <w:left w:val="nil"/>
              <w:bottom w:val="single" w:sz="4" w:space="0" w:color="000000"/>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11.500</w:t>
            </w:r>
          </w:p>
        </w:tc>
        <w:tc>
          <w:tcPr>
            <w:tcW w:w="523" w:type="pct"/>
            <w:tcBorders>
              <w:top w:val="nil"/>
              <w:left w:val="nil"/>
              <w:bottom w:val="single" w:sz="4" w:space="0" w:color="000000"/>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0.06497</w:t>
            </w:r>
          </w:p>
        </w:tc>
        <w:tc>
          <w:tcPr>
            <w:tcW w:w="504" w:type="pct"/>
            <w:tcBorders>
              <w:top w:val="nil"/>
              <w:left w:val="nil"/>
              <w:bottom w:val="single" w:sz="4" w:space="0" w:color="000000"/>
              <w:right w:val="nil"/>
            </w:tcBorders>
            <w:vAlign w:val="center"/>
          </w:tcPr>
          <w:p w:rsidR="006E5156" w:rsidRPr="00626435" w:rsidRDefault="006E5156" w:rsidP="00DE30DD">
            <w:pPr>
              <w:ind w:firstLine="0"/>
              <w:jc w:val="center"/>
              <w:rPr>
                <w:rFonts w:eastAsia="Times New Roman"/>
                <w:color w:val="000000"/>
                <w:sz w:val="16"/>
                <w:lang w:eastAsia="en-GB"/>
              </w:rPr>
            </w:pPr>
            <w:r w:rsidRPr="00626435">
              <w:rPr>
                <w:rFonts w:eastAsia="Times New Roman"/>
                <w:color w:val="000000"/>
                <w:sz w:val="16"/>
                <w:lang w:eastAsia="en-GB"/>
              </w:rPr>
              <w:t>19.21</w:t>
            </w:r>
          </w:p>
        </w:tc>
        <w:tc>
          <w:tcPr>
            <w:tcW w:w="1140" w:type="pct"/>
            <w:tcBorders>
              <w:top w:val="nil"/>
              <w:left w:val="nil"/>
              <w:bottom w:val="single" w:sz="4" w:space="0" w:color="000000"/>
              <w:right w:val="nil"/>
            </w:tcBorders>
            <w:shd w:val="clear" w:color="auto" w:fill="auto"/>
            <w:noWrap/>
            <w:vAlign w:val="center"/>
            <w:hideMark/>
          </w:tcPr>
          <w:p w:rsidR="006E5156" w:rsidRPr="00626435" w:rsidRDefault="006E5156" w:rsidP="00DE30DD">
            <w:pPr>
              <w:ind w:firstLine="0"/>
              <w:jc w:val="center"/>
              <w:rPr>
                <w:rFonts w:eastAsia="Times New Roman"/>
                <w:color w:val="000000"/>
                <w:sz w:val="16"/>
                <w:lang w:eastAsia="en-GB"/>
              </w:rPr>
            </w:pPr>
            <w:r w:rsidRPr="00626435">
              <w:rPr>
                <w:rFonts w:ascii="Segoe UI Symbol" w:eastAsia="Times New Roman" w:hAnsi="Segoe UI Symbol" w:cs="Segoe UI Symbol"/>
                <w:color w:val="000000"/>
                <w:sz w:val="16"/>
                <w:lang w:eastAsia="en-GB"/>
              </w:rPr>
              <w:t>✘</w:t>
            </w:r>
          </w:p>
        </w:tc>
        <w:tc>
          <w:tcPr>
            <w:tcW w:w="1766" w:type="pct"/>
            <w:tcBorders>
              <w:top w:val="nil"/>
              <w:left w:val="nil"/>
              <w:bottom w:val="single" w:sz="4" w:space="0" w:color="000000"/>
              <w:right w:val="nil"/>
            </w:tcBorders>
            <w:shd w:val="clear" w:color="auto" w:fill="auto"/>
            <w:noWrap/>
            <w:vAlign w:val="center"/>
            <w:hideMark/>
          </w:tcPr>
          <w:p w:rsidR="006E5156" w:rsidRPr="00626435" w:rsidRDefault="00E32BEA" w:rsidP="00E32BEA">
            <w:pPr>
              <w:ind w:firstLine="0"/>
              <w:jc w:val="center"/>
              <w:rPr>
                <w:rFonts w:eastAsia="Times New Roman"/>
                <w:sz w:val="16"/>
                <w:szCs w:val="20"/>
                <w:lang w:eastAsia="en-GB"/>
              </w:rPr>
            </w:pPr>
            <w:r w:rsidRPr="00626435">
              <w:rPr>
                <w:rFonts w:eastAsia="Times New Roman"/>
                <w:i/>
                <w:sz w:val="16"/>
                <w:szCs w:val="20"/>
                <w:lang w:eastAsia="en-GB"/>
              </w:rPr>
              <w:t>T</w:t>
            </w:r>
            <w:r w:rsidRPr="00626435">
              <w:rPr>
                <w:rFonts w:eastAsia="Times New Roman"/>
                <w:i/>
                <w:sz w:val="16"/>
                <w:szCs w:val="20"/>
                <w:vertAlign w:val="subscript"/>
                <w:lang w:eastAsia="en-GB"/>
              </w:rPr>
              <w:t>A</w:t>
            </w:r>
            <w:r w:rsidRPr="00626435">
              <w:rPr>
                <w:rFonts w:eastAsia="Times New Roman"/>
                <w:sz w:val="16"/>
                <w:szCs w:val="20"/>
                <w:lang w:eastAsia="en-GB"/>
              </w:rPr>
              <w:t xml:space="preserve">, </w:t>
            </w:r>
            <w:r w:rsidRPr="00626435">
              <w:rPr>
                <w:rFonts w:eastAsia="Times New Roman"/>
                <w:i/>
                <w:sz w:val="16"/>
                <w:szCs w:val="20"/>
                <w:lang w:eastAsia="en-GB"/>
              </w:rPr>
              <w:t>T</w:t>
            </w:r>
            <w:r w:rsidRPr="00626435">
              <w:rPr>
                <w:rFonts w:eastAsia="Times New Roman"/>
                <w:i/>
                <w:sz w:val="16"/>
                <w:szCs w:val="20"/>
                <w:vertAlign w:val="subscript"/>
                <w:lang w:eastAsia="en-GB"/>
              </w:rPr>
              <w:t>M</w:t>
            </w:r>
            <w:r w:rsidRPr="00626435">
              <w:rPr>
                <w:rFonts w:eastAsia="Times New Roman"/>
                <w:sz w:val="16"/>
                <w:szCs w:val="20"/>
                <w:lang w:eastAsia="en-GB"/>
              </w:rPr>
              <w:t xml:space="preserve">, </w:t>
            </w:r>
            <w:r w:rsidRPr="00626435">
              <w:rPr>
                <w:rFonts w:eastAsia="Times New Roman"/>
                <w:i/>
                <w:sz w:val="16"/>
                <w:szCs w:val="20"/>
                <w:lang w:eastAsia="en-GB"/>
              </w:rPr>
              <w:t>T</w:t>
            </w:r>
            <w:r w:rsidRPr="00626435">
              <w:rPr>
                <w:rFonts w:eastAsia="Times New Roman"/>
                <w:i/>
                <w:sz w:val="16"/>
                <w:szCs w:val="20"/>
                <w:vertAlign w:val="subscript"/>
                <w:lang w:eastAsia="en-GB"/>
              </w:rPr>
              <w:t>F</w:t>
            </w:r>
            <w:r w:rsidRPr="00626435">
              <w:rPr>
                <w:rFonts w:eastAsia="Times New Roman"/>
                <w:sz w:val="16"/>
                <w:szCs w:val="20"/>
                <w:lang w:eastAsia="en-GB"/>
              </w:rPr>
              <w:t xml:space="preserve">, </w:t>
            </w:r>
            <w:r w:rsidRPr="00626435">
              <w:rPr>
                <w:rFonts w:eastAsia="Times New Roman"/>
                <w:i/>
                <w:sz w:val="16"/>
                <w:szCs w:val="20"/>
                <w:lang w:eastAsia="en-GB"/>
              </w:rPr>
              <w:t>φ</w:t>
            </w:r>
            <w:r w:rsidRPr="00626435">
              <w:rPr>
                <w:rFonts w:eastAsia="Times New Roman"/>
                <w:sz w:val="16"/>
                <w:szCs w:val="20"/>
                <w:lang w:eastAsia="en-GB"/>
              </w:rPr>
              <w:t xml:space="preserve">, </w:t>
            </w:r>
            <w:r w:rsidRPr="00626435">
              <w:rPr>
                <w:rFonts w:eastAsia="Times New Roman"/>
                <w:i/>
                <w:sz w:val="16"/>
                <w:szCs w:val="20"/>
                <w:lang w:eastAsia="en-GB"/>
              </w:rPr>
              <w:t>VCB</w:t>
            </w:r>
            <w:r w:rsidRPr="00626435">
              <w:rPr>
                <w:rFonts w:eastAsia="Times New Roman"/>
                <w:sz w:val="16"/>
                <w:szCs w:val="20"/>
                <w:lang w:eastAsia="en-GB"/>
              </w:rPr>
              <w:t xml:space="preserve">, </w:t>
            </w:r>
            <w:r w:rsidRPr="00626435">
              <w:rPr>
                <w:rFonts w:eastAsia="Times New Roman"/>
                <w:i/>
                <w:sz w:val="16"/>
                <w:szCs w:val="20"/>
                <w:lang w:eastAsia="en-GB"/>
              </w:rPr>
              <w:t>GM</w:t>
            </w:r>
            <w:r w:rsidRPr="00626435">
              <w:rPr>
                <w:rFonts w:eastAsia="Times New Roman"/>
                <w:sz w:val="16"/>
                <w:szCs w:val="20"/>
                <w:lang w:eastAsia="en-GB"/>
              </w:rPr>
              <w:t xml:space="preserve">, </w:t>
            </w:r>
            <w:r w:rsidRPr="00626435">
              <w:rPr>
                <w:rFonts w:eastAsia="Times New Roman"/>
                <w:i/>
                <w:sz w:val="16"/>
                <w:szCs w:val="20"/>
                <w:lang w:eastAsia="en-GB"/>
              </w:rPr>
              <w:t>GML</w:t>
            </w:r>
            <w:r w:rsidRPr="00626435">
              <w:rPr>
                <w:rFonts w:eastAsia="Times New Roman"/>
                <w:sz w:val="16"/>
                <w:szCs w:val="20"/>
                <w:lang w:eastAsia="en-GB"/>
              </w:rPr>
              <w:t xml:space="preserve">, </w:t>
            </w:r>
            <w:r w:rsidRPr="00626435">
              <w:rPr>
                <w:rFonts w:eastAsia="Times New Roman"/>
                <w:i/>
                <w:sz w:val="16"/>
                <w:szCs w:val="20"/>
                <w:lang w:eastAsia="en-GB"/>
              </w:rPr>
              <w:t>MTC</w:t>
            </w:r>
          </w:p>
        </w:tc>
      </w:tr>
    </w:tbl>
    <w:p w:rsidR="006C490D" w:rsidRPr="00626435" w:rsidRDefault="006C490D" w:rsidP="00E32BEA">
      <w:pPr>
        <w:ind w:firstLine="0"/>
        <w:jc w:val="center"/>
      </w:pPr>
      <w:r w:rsidRPr="00626435">
        <w:rPr>
          <w:noProof/>
          <w:lang w:val="en-GB" w:eastAsia="en-GB"/>
        </w:rPr>
        <w:lastRenderedPageBreak/>
        <w:drawing>
          <wp:inline distT="0" distB="0" distL="0" distR="0" wp14:anchorId="2B0C8D3D" wp14:editId="1B9319B4">
            <wp:extent cx="4327950" cy="2716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g1.emf"/>
                    <pic:cNvPicPr/>
                  </pic:nvPicPr>
                  <pic:blipFill>
                    <a:blip r:embed="rId25">
                      <a:extLst>
                        <a:ext uri="{28A0092B-C50C-407E-A947-70E740481C1C}">
                          <a14:useLocalDpi xmlns:a14="http://schemas.microsoft.com/office/drawing/2010/main" val="0"/>
                        </a:ext>
                      </a:extLst>
                    </a:blip>
                    <a:stretch>
                      <a:fillRect/>
                    </a:stretch>
                  </pic:blipFill>
                  <pic:spPr>
                    <a:xfrm>
                      <a:off x="0" y="0"/>
                      <a:ext cx="4327950" cy="2716000"/>
                    </a:xfrm>
                    <a:prstGeom prst="rect">
                      <a:avLst/>
                    </a:prstGeom>
                  </pic:spPr>
                </pic:pic>
              </a:graphicData>
            </a:graphic>
          </wp:inline>
        </w:drawing>
      </w:r>
    </w:p>
    <w:p w:rsidR="00BC107C" w:rsidRPr="00626435" w:rsidRDefault="006C490D" w:rsidP="00BC107C">
      <w:pPr>
        <w:pStyle w:val="Didascalia"/>
      </w:pPr>
      <w:r w:rsidRPr="00626435">
        <w:rPr>
          <w:b/>
        </w:rPr>
        <w:t>Fig</w:t>
      </w:r>
      <w:r w:rsidR="00913588">
        <w:rPr>
          <w:b/>
        </w:rPr>
        <w:t>ure</w:t>
      </w:r>
      <w:r w:rsidR="002546AC" w:rsidRPr="00626435">
        <w:rPr>
          <w:b/>
        </w:rPr>
        <w:t xml:space="preserve"> 2.</w:t>
      </w:r>
      <w:r w:rsidRPr="00626435">
        <w:t xml:space="preserve"> Non-dimensional compliance index in hogging condition</w:t>
      </w:r>
    </w:p>
    <w:p w:rsidR="000158FA" w:rsidRPr="00626435" w:rsidRDefault="000158FA" w:rsidP="000158FA"/>
    <w:p w:rsidR="000158FA" w:rsidRPr="00626435" w:rsidRDefault="000158FA" w:rsidP="000158FA"/>
    <w:p w:rsidR="000158FA" w:rsidRPr="00626435" w:rsidRDefault="000158FA" w:rsidP="000158FA"/>
    <w:p w:rsidR="006C490D" w:rsidRPr="00626435" w:rsidRDefault="006C490D" w:rsidP="00E32BEA">
      <w:pPr>
        <w:keepNext/>
        <w:ind w:firstLine="0"/>
        <w:jc w:val="center"/>
      </w:pPr>
      <w:r w:rsidRPr="00626435">
        <w:rPr>
          <w:noProof/>
          <w:lang w:val="en-GB" w:eastAsia="en-GB"/>
        </w:rPr>
        <w:drawing>
          <wp:inline distT="0" distB="0" distL="0" distR="0" wp14:anchorId="68139D17" wp14:editId="537E7590">
            <wp:extent cx="4327950" cy="270953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1.emf"/>
                    <pic:cNvPicPr/>
                  </pic:nvPicPr>
                  <pic:blipFill>
                    <a:blip r:embed="rId26">
                      <a:extLst>
                        <a:ext uri="{28A0092B-C50C-407E-A947-70E740481C1C}">
                          <a14:useLocalDpi xmlns:a14="http://schemas.microsoft.com/office/drawing/2010/main" val="0"/>
                        </a:ext>
                      </a:extLst>
                    </a:blip>
                    <a:stretch>
                      <a:fillRect/>
                    </a:stretch>
                  </pic:blipFill>
                  <pic:spPr>
                    <a:xfrm>
                      <a:off x="0" y="0"/>
                      <a:ext cx="4327950" cy="2709534"/>
                    </a:xfrm>
                    <a:prstGeom prst="rect">
                      <a:avLst/>
                    </a:prstGeom>
                  </pic:spPr>
                </pic:pic>
              </a:graphicData>
            </a:graphic>
          </wp:inline>
        </w:drawing>
      </w:r>
    </w:p>
    <w:p w:rsidR="0085569F" w:rsidRPr="00626435" w:rsidRDefault="00913588" w:rsidP="006C490D">
      <w:pPr>
        <w:pStyle w:val="Didascalia"/>
      </w:pPr>
      <w:r w:rsidRPr="00626435">
        <w:rPr>
          <w:b/>
        </w:rPr>
        <w:t>Fig</w:t>
      </w:r>
      <w:r>
        <w:rPr>
          <w:b/>
        </w:rPr>
        <w:t>ure</w:t>
      </w:r>
      <w:r w:rsidR="002546AC" w:rsidRPr="00626435">
        <w:rPr>
          <w:b/>
        </w:rPr>
        <w:t xml:space="preserve"> 3.</w:t>
      </w:r>
      <w:r w:rsidR="006C490D" w:rsidRPr="00626435">
        <w:t xml:space="preserve"> Non-dimensional compliance index in sagging condition</w:t>
      </w:r>
    </w:p>
    <w:p w:rsidR="00A9164B" w:rsidRPr="00626435" w:rsidRDefault="00A9164B" w:rsidP="00A9164B">
      <w:r w:rsidRPr="00626435">
        <w:t xml:space="preserve">The differences </w:t>
      </w:r>
      <w:r w:rsidR="005549D6" w:rsidRPr="00626435">
        <w:t xml:space="preserve">in the </w:t>
      </w:r>
      <w:r w:rsidRPr="00626435">
        <w:t xml:space="preserve">floating position </w:t>
      </w:r>
      <w:r w:rsidR="005549D6" w:rsidRPr="00626435">
        <w:t xml:space="preserve">as well as </w:t>
      </w:r>
      <w:r w:rsidRPr="00626435">
        <w:rPr>
          <w:strike/>
          <w:color w:val="000000" w:themeColor="text1"/>
        </w:rPr>
        <w:t>on</w:t>
      </w:r>
      <w:r w:rsidRPr="00626435">
        <w:rPr>
          <w:strike/>
          <w:color w:val="FF0000"/>
        </w:rPr>
        <w:t xml:space="preserve"> </w:t>
      </w:r>
      <w:r w:rsidRPr="00626435">
        <w:t>initial stability become relevant beginning from sea state 4 and increase exponentially with the sea state. The vertical position of the center of buoyancy and the heel angle are also affected by non-negligible differences as from sea state 7 and 8, respectively.</w:t>
      </w:r>
    </w:p>
    <w:p w:rsidR="00A9164B" w:rsidRPr="00626435" w:rsidRDefault="00A9164B" w:rsidP="00A9164B">
      <w:r w:rsidRPr="00626435">
        <w:t>This comparison demonstrate</w:t>
      </w:r>
      <w:r w:rsidR="00BC107C" w:rsidRPr="00626435">
        <w:t>s that for the considered ro-ro ship</w:t>
      </w:r>
      <w:r w:rsidRPr="00626435">
        <w:t xml:space="preserve"> the two </w:t>
      </w:r>
      <w:r w:rsidR="00BC107C" w:rsidRPr="00626435">
        <w:t>PF</w:t>
      </w:r>
      <w:r w:rsidRPr="00626435">
        <w:t xml:space="preserve">s provide the same results up to sea state 2, characterized by a wave steepness 0.0017, whereas at </w:t>
      </w:r>
      <w:r w:rsidRPr="00626435">
        <w:lastRenderedPageBreak/>
        <w:t xml:space="preserve">sea state 3 (wave steepness 0.0049) they differ. This suggests that for wave steepness values exceeding 0.005 it should be good practice to use the Airy </w:t>
      </w:r>
      <w:r w:rsidR="00764386" w:rsidRPr="00626435">
        <w:t xml:space="preserve">PF </w:t>
      </w:r>
      <w:r w:rsidRPr="00626435">
        <w:t xml:space="preserve">instead </w:t>
      </w:r>
      <w:r w:rsidR="005549D6" w:rsidRPr="00626435">
        <w:t>of</w:t>
      </w:r>
      <w:r w:rsidR="00815245" w:rsidRPr="00626435">
        <w:t>`</w:t>
      </w:r>
      <w:r w:rsidR="005549D6" w:rsidRPr="00626435">
        <w:t xml:space="preserve"> </w:t>
      </w:r>
      <w:r w:rsidRPr="00626435">
        <w:t xml:space="preserve">the </w:t>
      </w:r>
      <w:r w:rsidR="00764386" w:rsidRPr="00626435">
        <w:t>hydrostatic PF.</w:t>
      </w:r>
    </w:p>
    <w:p w:rsidR="0085569F" w:rsidRPr="00626435" w:rsidRDefault="0085569F" w:rsidP="004F41D7">
      <w:pPr>
        <w:pStyle w:val="Titolo1"/>
      </w:pPr>
      <w:r w:rsidRPr="00626435">
        <w:t>Conclusions</w:t>
      </w:r>
    </w:p>
    <w:p w:rsidR="006C2232" w:rsidRPr="00626435" w:rsidRDefault="006C2232" w:rsidP="00913588">
      <w:pPr>
        <w:ind w:firstLine="0"/>
      </w:pPr>
      <w:r w:rsidRPr="00626435">
        <w:t xml:space="preserve">The applications of different PFs to a ro-ro ship demonstrates that the PF type contribution </w:t>
      </w:r>
      <w:r w:rsidR="00815245" w:rsidRPr="00626435">
        <w:t xml:space="preserve">in </w:t>
      </w:r>
      <w:r w:rsidRPr="00626435">
        <w:t xml:space="preserve">the accuracy of outcomes of an LCS is not negligible. </w:t>
      </w:r>
      <w:r w:rsidR="00815245" w:rsidRPr="00626435">
        <w:t xml:space="preserve">Notable </w:t>
      </w:r>
      <w:r w:rsidRPr="00626435">
        <w:t xml:space="preserve">differences in assessing equilibrium and hydrostatic properties </w:t>
      </w:r>
      <w:r w:rsidR="00815245" w:rsidRPr="00626435">
        <w:t xml:space="preserve">have </w:t>
      </w:r>
      <w:r w:rsidRPr="00626435">
        <w:t>been spotted out since sea state 3</w:t>
      </w:r>
      <w:r w:rsidR="00180375" w:rsidRPr="00626435">
        <w:t xml:space="preserve"> (wave steepness greater than 0.005)</w:t>
      </w:r>
      <w:r w:rsidRPr="00626435">
        <w:t xml:space="preserve"> and become relevant </w:t>
      </w:r>
      <w:r w:rsidR="00815245" w:rsidRPr="00626435">
        <w:t xml:space="preserve">in </w:t>
      </w:r>
      <w:r w:rsidRPr="00626435">
        <w:t xml:space="preserve">sea state 4. Thus, since the new proposed ISC code will introduce the regular waves in ship stability assessment, the authors suggest </w:t>
      </w:r>
      <w:r w:rsidR="00815245" w:rsidRPr="00626435">
        <w:t xml:space="preserve">to </w:t>
      </w:r>
      <w:r w:rsidR="000158FA" w:rsidRPr="00626435">
        <w:t>adopt</w:t>
      </w:r>
      <w:r w:rsidRPr="00626435">
        <w:rPr>
          <w:color w:val="FF0000"/>
        </w:rPr>
        <w:t xml:space="preserve"> </w:t>
      </w:r>
      <w:r w:rsidRPr="00626435">
        <w:t xml:space="preserve">PFs </w:t>
      </w:r>
      <w:r w:rsidR="00815245" w:rsidRPr="00626435">
        <w:t xml:space="preserve">more reliable than </w:t>
      </w:r>
      <w:r w:rsidRPr="00626435">
        <w:t>the hydrostatic PF.</w:t>
      </w:r>
    </w:p>
    <w:p w:rsidR="00E641DA" w:rsidRPr="00626435" w:rsidRDefault="006C2232" w:rsidP="006C2232">
      <w:r w:rsidRPr="00626435">
        <w:t xml:space="preserve">Further analysis should be performed on this topic, introducing the Stokes wave theory and testing the accuracy on all the properties subject to IACS requirements, </w:t>
      </w:r>
      <w:r w:rsidR="00993D24" w:rsidRPr="00626435">
        <w:t>including</w:t>
      </w:r>
      <w:r w:rsidRPr="00626435">
        <w:t xml:space="preserve"> </w:t>
      </w:r>
      <w:r w:rsidR="00993D24" w:rsidRPr="00626435">
        <w:t xml:space="preserve">all values related to </w:t>
      </w:r>
      <w:r w:rsidRPr="00626435">
        <w:t xml:space="preserve">the righting arm curve. </w:t>
      </w:r>
      <w:r w:rsidR="00E641DA" w:rsidRPr="00626435">
        <w:t xml:space="preserve">A systematic analysis shall be performed on different type of ships, varying their main dimensions to better </w:t>
      </w:r>
      <w:r w:rsidR="00180375" w:rsidRPr="00626435">
        <w:t>define</w:t>
      </w:r>
      <w:r w:rsidR="00E641DA" w:rsidRPr="00626435">
        <w:t xml:space="preserve"> </w:t>
      </w:r>
      <w:r w:rsidR="00180375" w:rsidRPr="00626435">
        <w:t xml:space="preserve">the conditions </w:t>
      </w:r>
      <w:r w:rsidR="00E641DA" w:rsidRPr="00626435">
        <w:t>where different PFs can be applied indifferently.</w:t>
      </w:r>
    </w:p>
    <w:p w:rsidR="006C2232" w:rsidRPr="00626435" w:rsidRDefault="00E641DA" w:rsidP="006C2232">
      <w:r w:rsidRPr="00626435">
        <w:t>Nevertheless, this paper has clearly outline</w:t>
      </w:r>
      <w:r w:rsidR="00815245" w:rsidRPr="00626435">
        <w:t>d</w:t>
      </w:r>
      <w:r w:rsidRPr="00626435">
        <w:t xml:space="preserve"> the importance of </w:t>
      </w:r>
      <w:r w:rsidR="00815245" w:rsidRPr="00626435">
        <w:t xml:space="preserve">this </w:t>
      </w:r>
      <w:r w:rsidRPr="00626435">
        <w:t>topic and propose</w:t>
      </w:r>
      <w:r w:rsidR="007F316C" w:rsidRPr="00626435">
        <w:t>s a</w:t>
      </w:r>
      <w:r w:rsidRPr="00626435">
        <w:t xml:space="preserve"> procedure to analyze the influence of PF on </w:t>
      </w:r>
      <w:r w:rsidR="00815245" w:rsidRPr="00626435">
        <w:t xml:space="preserve">the </w:t>
      </w:r>
      <w:r w:rsidRPr="00626435">
        <w:t>accuracy of LCS results.</w:t>
      </w:r>
    </w:p>
    <w:p w:rsidR="0065074E" w:rsidRPr="00626435" w:rsidRDefault="0065074E" w:rsidP="004F41D7">
      <w:pPr>
        <w:pStyle w:val="HeadingUnn1"/>
      </w:pPr>
      <w:r w:rsidRPr="00626435">
        <w:t>References</w:t>
      </w:r>
    </w:p>
    <w:p w:rsidR="0065074E" w:rsidRPr="00626435" w:rsidRDefault="0065074E" w:rsidP="0065074E">
      <w:pPr>
        <w:pStyle w:val="References"/>
        <w:rPr>
          <w:snapToGrid w:val="0"/>
        </w:rPr>
      </w:pPr>
      <w:r w:rsidRPr="00626435">
        <w:rPr>
          <w:snapToGrid w:val="0"/>
        </w:rPr>
        <w:t>IMO</w:t>
      </w:r>
      <w:r w:rsidR="00110694" w:rsidRPr="00626435">
        <w:rPr>
          <w:snapToGrid w:val="0"/>
        </w:rPr>
        <w:t>.</w:t>
      </w:r>
      <w:r w:rsidRPr="00626435">
        <w:rPr>
          <w:snapToGrid w:val="0"/>
        </w:rPr>
        <w:t xml:space="preserve"> Finalization of Second Generation</w:t>
      </w:r>
      <w:r w:rsidR="00626435" w:rsidRPr="00626435">
        <w:rPr>
          <w:snapToGrid w:val="0"/>
        </w:rPr>
        <w:t xml:space="preserve"> Intact </w:t>
      </w:r>
      <w:r w:rsidRPr="00626435">
        <w:rPr>
          <w:snapToGrid w:val="0"/>
        </w:rPr>
        <w:t>Stability Criteria, Amendments to Part B of the 2008 IS Code on Towing, Lifting and Anchor Handling Operations</w:t>
      </w:r>
      <w:r w:rsidR="00EC57D9" w:rsidRPr="00626435">
        <w:rPr>
          <w:snapToGrid w:val="0"/>
        </w:rPr>
        <w:t xml:space="preserve">. In: </w:t>
      </w:r>
      <w:r w:rsidR="00EC57D9" w:rsidRPr="00626435">
        <w:rPr>
          <w:i/>
          <w:snapToGrid w:val="0"/>
        </w:rPr>
        <w:t>SDC 3/21 3rd session</w:t>
      </w:r>
      <w:r w:rsidR="00EC57D9" w:rsidRPr="00626435">
        <w:rPr>
          <w:snapToGrid w:val="0"/>
        </w:rPr>
        <w:t>.</w:t>
      </w:r>
      <w:r w:rsidRPr="00626435">
        <w:rPr>
          <w:snapToGrid w:val="0"/>
        </w:rPr>
        <w:t xml:space="preserve"> I</w:t>
      </w:r>
      <w:r w:rsidR="00F17310" w:rsidRPr="00626435">
        <w:rPr>
          <w:snapToGrid w:val="0"/>
        </w:rPr>
        <w:t>nternational Maritime Organization</w:t>
      </w:r>
      <w:r w:rsidRPr="00626435">
        <w:rPr>
          <w:snapToGrid w:val="0"/>
        </w:rPr>
        <w:t>, London, 2016.</w:t>
      </w:r>
    </w:p>
    <w:p w:rsidR="0065074E" w:rsidRPr="00626435" w:rsidRDefault="0065074E" w:rsidP="00EC57D9">
      <w:pPr>
        <w:pStyle w:val="References"/>
        <w:jc w:val="left"/>
      </w:pPr>
      <w:proofErr w:type="spellStart"/>
      <w:r w:rsidRPr="00626435">
        <w:rPr>
          <w:snapToGrid w:val="0"/>
        </w:rPr>
        <w:t>Tompuri</w:t>
      </w:r>
      <w:proofErr w:type="spellEnd"/>
      <w:r w:rsidRPr="00626435">
        <w:rPr>
          <w:snapToGrid w:val="0"/>
        </w:rPr>
        <w:t xml:space="preserve"> M, </w:t>
      </w:r>
      <w:proofErr w:type="spellStart"/>
      <w:r w:rsidRPr="00626435">
        <w:rPr>
          <w:snapToGrid w:val="0"/>
        </w:rPr>
        <w:t>Rupone</w:t>
      </w:r>
      <w:r w:rsidR="00B60140" w:rsidRPr="00626435">
        <w:rPr>
          <w:snapToGrid w:val="0"/>
        </w:rPr>
        <w:t>n</w:t>
      </w:r>
      <w:proofErr w:type="spellEnd"/>
      <w:r w:rsidRPr="00626435">
        <w:rPr>
          <w:snapToGrid w:val="0"/>
        </w:rPr>
        <w:t xml:space="preserve"> P, </w:t>
      </w:r>
      <w:proofErr w:type="spellStart"/>
      <w:r w:rsidRPr="00626435">
        <w:rPr>
          <w:snapToGrid w:val="0"/>
        </w:rPr>
        <w:t>Forss</w:t>
      </w:r>
      <w:proofErr w:type="spellEnd"/>
      <w:r w:rsidRPr="00626435">
        <w:rPr>
          <w:snapToGrid w:val="0"/>
        </w:rPr>
        <w:t xml:space="preserve"> M, </w:t>
      </w:r>
      <w:proofErr w:type="spellStart"/>
      <w:r w:rsidRPr="00626435">
        <w:rPr>
          <w:snapToGrid w:val="0"/>
        </w:rPr>
        <w:t>Lindroth</w:t>
      </w:r>
      <w:proofErr w:type="spellEnd"/>
      <w:r w:rsidRPr="00626435">
        <w:rPr>
          <w:snapToGrid w:val="0"/>
        </w:rPr>
        <w:t xml:space="preserve"> D</w:t>
      </w:r>
      <w:r w:rsidR="00322139" w:rsidRPr="00626435">
        <w:rPr>
          <w:snapToGrid w:val="0"/>
        </w:rPr>
        <w:t>.</w:t>
      </w:r>
      <w:r w:rsidRPr="00626435">
        <w:rPr>
          <w:snapToGrid w:val="0"/>
        </w:rPr>
        <w:t xml:space="preserve"> Application of the Second Generation Intact Stability Criteria in Initial Ship Design</w:t>
      </w:r>
      <w:r w:rsidR="00322139" w:rsidRPr="00626435">
        <w:rPr>
          <w:snapToGrid w:val="0"/>
        </w:rPr>
        <w:t>.</w:t>
      </w:r>
      <w:r w:rsidRPr="00626435">
        <w:rPr>
          <w:snapToGrid w:val="0"/>
        </w:rPr>
        <w:t xml:space="preserve"> </w:t>
      </w:r>
      <w:r w:rsidRPr="00626435">
        <w:rPr>
          <w:i/>
          <w:szCs w:val="20"/>
        </w:rPr>
        <w:t>Transactions - Society of Naval Architects and Marine Engineers</w:t>
      </w:r>
      <w:r w:rsidR="00322139" w:rsidRPr="00626435">
        <w:rPr>
          <w:szCs w:val="20"/>
        </w:rPr>
        <w:t>.</w:t>
      </w:r>
      <w:r w:rsidRPr="00626435">
        <w:rPr>
          <w:snapToGrid w:val="0"/>
        </w:rPr>
        <w:t xml:space="preserve"> 2015,</w:t>
      </w:r>
      <w:r w:rsidRPr="00626435">
        <w:rPr>
          <w:i/>
          <w:snapToGrid w:val="0"/>
        </w:rPr>
        <w:t xml:space="preserve"> </w:t>
      </w:r>
      <w:r w:rsidRPr="00626435">
        <w:rPr>
          <w:b/>
          <w:snapToGrid w:val="0"/>
        </w:rPr>
        <w:t>122</w:t>
      </w:r>
      <w:r w:rsidRPr="00626435">
        <w:rPr>
          <w:snapToGrid w:val="0"/>
        </w:rPr>
        <w:t>: 20-45.</w:t>
      </w:r>
    </w:p>
    <w:p w:rsidR="0065074E" w:rsidRPr="00626435" w:rsidRDefault="0065074E" w:rsidP="00322139">
      <w:pPr>
        <w:pStyle w:val="References"/>
      </w:pPr>
      <w:proofErr w:type="spellStart"/>
      <w:r w:rsidRPr="00626435">
        <w:t>Grinnaert</w:t>
      </w:r>
      <w:proofErr w:type="spellEnd"/>
      <w:r w:rsidRPr="00626435">
        <w:t xml:space="preserve"> F, </w:t>
      </w:r>
      <w:proofErr w:type="spellStart"/>
      <w:r w:rsidRPr="00626435">
        <w:t>Billard</w:t>
      </w:r>
      <w:proofErr w:type="spellEnd"/>
      <w:r w:rsidRPr="00626435">
        <w:t xml:space="preserve"> J, Laurens J, </w:t>
      </w:r>
      <w:proofErr w:type="spellStart"/>
      <w:r w:rsidRPr="00626435">
        <w:t>KGmax</w:t>
      </w:r>
      <w:proofErr w:type="spellEnd"/>
      <w:r w:rsidRPr="00626435">
        <w:t xml:space="preserve"> curves associated with second generation intact stability criteria for di</w:t>
      </w:r>
      <w:r w:rsidRPr="00626435">
        <w:rPr>
          <w:rFonts w:ascii="Cambria Math" w:hAnsi="Cambria Math" w:cs="Cambria Math"/>
        </w:rPr>
        <w:t>ﬀ</w:t>
      </w:r>
      <w:r w:rsidRPr="00626435">
        <w:t>erent types of ships</w:t>
      </w:r>
      <w:r w:rsidR="00322139" w:rsidRPr="00626435">
        <w:t>.</w:t>
      </w:r>
      <w:r w:rsidRPr="00626435">
        <w:t xml:space="preserve"> </w:t>
      </w:r>
      <w:r w:rsidRPr="00626435">
        <w:rPr>
          <w:i/>
        </w:rPr>
        <w:t>Journal of Marine Science and Application</w:t>
      </w:r>
      <w:r w:rsidR="00322139" w:rsidRPr="00626435">
        <w:t>. 2016;</w:t>
      </w:r>
      <w:r w:rsidRPr="00626435">
        <w:t xml:space="preserve"> </w:t>
      </w:r>
      <w:r w:rsidRPr="00626435">
        <w:rPr>
          <w:b/>
        </w:rPr>
        <w:t>15</w:t>
      </w:r>
      <w:r w:rsidR="00322139" w:rsidRPr="00626435">
        <w:t>(</w:t>
      </w:r>
      <w:r w:rsidRPr="00626435">
        <w:t>3</w:t>
      </w:r>
      <w:r w:rsidR="00322139" w:rsidRPr="00626435">
        <w:t>): 223–235</w:t>
      </w:r>
      <w:r w:rsidRPr="00626435">
        <w:t>.</w:t>
      </w:r>
    </w:p>
    <w:p w:rsidR="00322139" w:rsidRPr="00626435" w:rsidRDefault="00322139" w:rsidP="00322139">
      <w:pPr>
        <w:pStyle w:val="References"/>
      </w:pPr>
      <w:proofErr w:type="spellStart"/>
      <w:r w:rsidRPr="00626435">
        <w:t>Trincas</w:t>
      </w:r>
      <w:proofErr w:type="spellEnd"/>
      <w:r w:rsidRPr="00626435">
        <w:t xml:space="preserve"> G, </w:t>
      </w:r>
      <w:proofErr w:type="spellStart"/>
      <w:r w:rsidRPr="00626435">
        <w:t>Braidotti</w:t>
      </w:r>
      <w:proofErr w:type="spellEnd"/>
      <w:r w:rsidRPr="00626435">
        <w:t xml:space="preserve"> L, De Francesco L. Risk-Based System to Control Safety Level of Flooded Passenger Ships. </w:t>
      </w:r>
      <w:proofErr w:type="spellStart"/>
      <w:r w:rsidRPr="00626435">
        <w:rPr>
          <w:i/>
        </w:rPr>
        <w:t>Brodogradnia</w:t>
      </w:r>
      <w:proofErr w:type="spellEnd"/>
      <w:r w:rsidRPr="00626435">
        <w:t xml:space="preserve">. 2017; Vol. </w:t>
      </w:r>
      <w:r w:rsidRPr="00626435">
        <w:rPr>
          <w:b/>
        </w:rPr>
        <w:t>68</w:t>
      </w:r>
      <w:r w:rsidRPr="00626435">
        <w:t>(1): 31-60.</w:t>
      </w:r>
    </w:p>
    <w:p w:rsidR="00322139" w:rsidRPr="00626435" w:rsidRDefault="00110694" w:rsidP="00322139">
      <w:pPr>
        <w:pStyle w:val="References"/>
      </w:pPr>
      <w:proofErr w:type="spellStart"/>
      <w:r w:rsidRPr="00626435">
        <w:rPr>
          <w:szCs w:val="20"/>
        </w:rPr>
        <w:t>Jakić</w:t>
      </w:r>
      <w:proofErr w:type="spellEnd"/>
      <w:r w:rsidR="00322139" w:rsidRPr="00626435">
        <w:rPr>
          <w:szCs w:val="20"/>
        </w:rPr>
        <w:t xml:space="preserve"> K. The Minimum Inclined Stability of the Intact and damaged Ship. </w:t>
      </w:r>
      <w:r w:rsidR="00322139" w:rsidRPr="00626435">
        <w:rPr>
          <w:i/>
          <w:szCs w:val="20"/>
        </w:rPr>
        <w:t>Proceedings of the First IMAM Conference</w:t>
      </w:r>
      <w:r w:rsidR="00322139" w:rsidRPr="00626435">
        <w:rPr>
          <w:szCs w:val="20"/>
        </w:rPr>
        <w:t>; Trieste, 1981.</w:t>
      </w:r>
    </w:p>
    <w:p w:rsidR="008215CA" w:rsidRPr="00626435" w:rsidRDefault="008215CA" w:rsidP="008215CA">
      <w:pPr>
        <w:pStyle w:val="References"/>
      </w:pPr>
      <w:proofErr w:type="spellStart"/>
      <w:r w:rsidRPr="00626435">
        <w:rPr>
          <w:szCs w:val="20"/>
        </w:rPr>
        <w:t>Voitkunsky</w:t>
      </w:r>
      <w:proofErr w:type="spellEnd"/>
      <w:r w:rsidRPr="00626435">
        <w:rPr>
          <w:szCs w:val="20"/>
        </w:rPr>
        <w:t xml:space="preserve"> Y. </w:t>
      </w:r>
      <w:r w:rsidRPr="00626435">
        <w:rPr>
          <w:i/>
        </w:rPr>
        <w:t>Handbook on Ship Theory</w:t>
      </w:r>
      <w:r w:rsidRPr="00626435">
        <w:rPr>
          <w:i/>
          <w:szCs w:val="20"/>
        </w:rPr>
        <w:t>.</w:t>
      </w:r>
      <w:r w:rsidRPr="00626435">
        <w:rPr>
          <w:szCs w:val="20"/>
        </w:rPr>
        <w:t xml:space="preserve"> </w:t>
      </w:r>
      <w:proofErr w:type="spellStart"/>
      <w:r w:rsidRPr="00626435">
        <w:t>Sudostroenie</w:t>
      </w:r>
      <w:proofErr w:type="spellEnd"/>
      <w:r w:rsidRPr="00626435">
        <w:rPr>
          <w:szCs w:val="20"/>
        </w:rPr>
        <w:t>, Leningrad, 1985.</w:t>
      </w:r>
    </w:p>
    <w:p w:rsidR="00A930BA" w:rsidRPr="00626435" w:rsidRDefault="00A930BA" w:rsidP="00A930BA">
      <w:pPr>
        <w:pStyle w:val="References"/>
      </w:pPr>
      <w:proofErr w:type="spellStart"/>
      <w:r w:rsidRPr="00626435">
        <w:rPr>
          <w:szCs w:val="20"/>
        </w:rPr>
        <w:t>Paulling</w:t>
      </w:r>
      <w:proofErr w:type="spellEnd"/>
      <w:r w:rsidRPr="00626435">
        <w:rPr>
          <w:szCs w:val="20"/>
        </w:rPr>
        <w:t xml:space="preserve"> JR. The Transverse Stability of a Ship in a Longitudinal Seaway. </w:t>
      </w:r>
      <w:r w:rsidRPr="00626435">
        <w:rPr>
          <w:i/>
          <w:szCs w:val="20"/>
        </w:rPr>
        <w:t>Journal of Ship Research</w:t>
      </w:r>
      <w:r w:rsidRPr="00626435">
        <w:rPr>
          <w:szCs w:val="20"/>
        </w:rPr>
        <w:t xml:space="preserve">. 1981; </w:t>
      </w:r>
      <w:r w:rsidRPr="00626435">
        <w:rPr>
          <w:b/>
          <w:szCs w:val="20"/>
        </w:rPr>
        <w:t>25</w:t>
      </w:r>
      <w:r w:rsidRPr="00626435">
        <w:rPr>
          <w:szCs w:val="20"/>
        </w:rPr>
        <w:t>(1): 37-49.</w:t>
      </w:r>
    </w:p>
    <w:p w:rsidR="00764370" w:rsidRPr="00626435" w:rsidRDefault="00764370" w:rsidP="00A930BA">
      <w:pPr>
        <w:pStyle w:val="References"/>
      </w:pPr>
      <w:r w:rsidRPr="00626435">
        <w:t>Airy GB</w:t>
      </w:r>
      <w:r w:rsidR="002E641D" w:rsidRPr="00626435">
        <w:t>.</w:t>
      </w:r>
      <w:r w:rsidRPr="00626435">
        <w:t xml:space="preserve"> On Tides and Waves.</w:t>
      </w:r>
      <w:r w:rsidR="002E641D" w:rsidRPr="00626435">
        <w:t xml:space="preserve"> I</w:t>
      </w:r>
      <w:r w:rsidRPr="00626435">
        <w:t>n</w:t>
      </w:r>
      <w:r w:rsidR="002E641D" w:rsidRPr="00626435">
        <w:t>:</w:t>
      </w:r>
      <w:r w:rsidRPr="00626435">
        <w:t xml:space="preserve"> </w:t>
      </w:r>
      <w:r w:rsidRPr="00626435">
        <w:rPr>
          <w:i/>
        </w:rPr>
        <w:t>Encyclopedia Metropolitan</w:t>
      </w:r>
      <w:r w:rsidRPr="00626435">
        <w:t>, London, 1945.</w:t>
      </w:r>
    </w:p>
    <w:p w:rsidR="00764370" w:rsidRPr="00626435" w:rsidRDefault="00764370" w:rsidP="00A930BA">
      <w:pPr>
        <w:pStyle w:val="References"/>
      </w:pPr>
      <w:r w:rsidRPr="00626435">
        <w:rPr>
          <w:szCs w:val="20"/>
        </w:rPr>
        <w:t>Sorensen RM.</w:t>
      </w:r>
      <w:r w:rsidR="002E641D" w:rsidRPr="00626435">
        <w:rPr>
          <w:szCs w:val="20"/>
        </w:rPr>
        <w:t xml:space="preserve"> </w:t>
      </w:r>
      <w:r w:rsidR="002E641D" w:rsidRPr="00626435">
        <w:t>Two-Dimensional Wave Equations and Wave Characteristics. In:</w:t>
      </w:r>
      <w:r w:rsidRPr="00626435">
        <w:rPr>
          <w:szCs w:val="20"/>
        </w:rPr>
        <w:t xml:space="preserve"> </w:t>
      </w:r>
      <w:r w:rsidRPr="00626435">
        <w:rPr>
          <w:i/>
          <w:szCs w:val="20"/>
        </w:rPr>
        <w:t>Basic Costal Engineering</w:t>
      </w:r>
      <w:r w:rsidRPr="00626435">
        <w:rPr>
          <w:szCs w:val="20"/>
        </w:rPr>
        <w:t>. 3rd ed. Springer, Berlin, 2006.</w:t>
      </w:r>
    </w:p>
    <w:p w:rsidR="00322139" w:rsidRPr="00626435" w:rsidRDefault="00322139" w:rsidP="00322139">
      <w:pPr>
        <w:pStyle w:val="References"/>
      </w:pPr>
      <w:r w:rsidRPr="00626435">
        <w:t xml:space="preserve">Chapman R. Large Amplitude Transient Motion of Two-Dimensional Floating Bodies. </w:t>
      </w:r>
      <w:r w:rsidRPr="00626435">
        <w:rPr>
          <w:i/>
        </w:rPr>
        <w:t>Journal of Ship Research</w:t>
      </w:r>
      <w:r w:rsidRPr="00626435">
        <w:t xml:space="preserve">. 1979; </w:t>
      </w:r>
      <w:r w:rsidRPr="00626435">
        <w:rPr>
          <w:b/>
        </w:rPr>
        <w:t>23</w:t>
      </w:r>
      <w:r w:rsidRPr="00626435">
        <w:t xml:space="preserve">(1): </w:t>
      </w:r>
      <w:r w:rsidRPr="00626435">
        <w:rPr>
          <w:szCs w:val="20"/>
        </w:rPr>
        <w:t>20-31</w:t>
      </w:r>
      <w:r w:rsidRPr="00626435">
        <w:t>.</w:t>
      </w:r>
    </w:p>
    <w:p w:rsidR="006E70F6" w:rsidRPr="00626435" w:rsidRDefault="006E70F6" w:rsidP="006E70F6">
      <w:pPr>
        <w:pStyle w:val="References"/>
      </w:pPr>
      <w:proofErr w:type="spellStart"/>
      <w:r w:rsidRPr="00626435">
        <w:t>Schalck</w:t>
      </w:r>
      <w:proofErr w:type="spellEnd"/>
      <w:r w:rsidRPr="00626435">
        <w:t xml:space="preserve"> S, </w:t>
      </w:r>
      <w:proofErr w:type="spellStart"/>
      <w:r w:rsidRPr="00626435">
        <w:t>Baatrup</w:t>
      </w:r>
      <w:proofErr w:type="spellEnd"/>
      <w:r w:rsidRPr="00626435">
        <w:t xml:space="preserve">, J. Hydrostatic Stability Calculations by Pressure Integration. </w:t>
      </w:r>
      <w:r w:rsidRPr="00626435">
        <w:rPr>
          <w:i/>
        </w:rPr>
        <w:t>Ocean Engineering</w:t>
      </w:r>
      <w:r w:rsidRPr="00626435">
        <w:t xml:space="preserve">. 1990; </w:t>
      </w:r>
      <w:r w:rsidRPr="00626435">
        <w:rPr>
          <w:b/>
        </w:rPr>
        <w:t>17</w:t>
      </w:r>
      <w:r w:rsidRPr="00626435">
        <w:t xml:space="preserve">(12): </w:t>
      </w:r>
      <w:r w:rsidRPr="00626435">
        <w:rPr>
          <w:szCs w:val="20"/>
        </w:rPr>
        <w:t>155-169</w:t>
      </w:r>
      <w:r w:rsidRPr="00626435">
        <w:t>.</w:t>
      </w:r>
    </w:p>
    <w:p w:rsidR="00F17310" w:rsidRPr="00626435" w:rsidRDefault="00F17310" w:rsidP="006E70F6">
      <w:pPr>
        <w:pStyle w:val="References"/>
      </w:pPr>
      <w:proofErr w:type="spellStart"/>
      <w:r w:rsidRPr="00626435">
        <w:rPr>
          <w:szCs w:val="20"/>
        </w:rPr>
        <w:t>Grinnaert</w:t>
      </w:r>
      <w:proofErr w:type="spellEnd"/>
      <w:r w:rsidRPr="00626435">
        <w:rPr>
          <w:szCs w:val="20"/>
        </w:rPr>
        <w:t xml:space="preserve"> F, </w:t>
      </w:r>
      <w:proofErr w:type="spellStart"/>
      <w:r w:rsidRPr="00626435">
        <w:rPr>
          <w:szCs w:val="20"/>
        </w:rPr>
        <w:t>Billard</w:t>
      </w:r>
      <w:proofErr w:type="spellEnd"/>
      <w:r w:rsidRPr="00626435">
        <w:rPr>
          <w:szCs w:val="20"/>
        </w:rPr>
        <w:t xml:space="preserve"> J, Laurens J. </w:t>
      </w:r>
      <w:proofErr w:type="spellStart"/>
      <w:r w:rsidRPr="00626435">
        <w:rPr>
          <w:szCs w:val="20"/>
        </w:rPr>
        <w:t>Calcoque</w:t>
      </w:r>
      <w:proofErr w:type="spellEnd"/>
      <w:r w:rsidRPr="00626435">
        <w:rPr>
          <w:szCs w:val="20"/>
        </w:rPr>
        <w:t xml:space="preserve">: a Fully 3D Ship Hydrostatic Solver. </w:t>
      </w:r>
      <w:r w:rsidRPr="00626435">
        <w:rPr>
          <w:i/>
          <w:szCs w:val="20"/>
        </w:rPr>
        <w:t>Proceedings of the 12</w:t>
      </w:r>
      <w:r w:rsidRPr="00626435">
        <w:rPr>
          <w:i/>
          <w:szCs w:val="20"/>
          <w:vertAlign w:val="superscript"/>
        </w:rPr>
        <w:t>th</w:t>
      </w:r>
      <w:r w:rsidRPr="00626435">
        <w:rPr>
          <w:i/>
          <w:szCs w:val="20"/>
        </w:rPr>
        <w:t xml:space="preserve"> International Conference on the Stability of Ships and Ocean Vehicles</w:t>
      </w:r>
      <w:r w:rsidRPr="00626435">
        <w:rPr>
          <w:szCs w:val="20"/>
        </w:rPr>
        <w:t>, Glasgow, 2015.</w:t>
      </w:r>
    </w:p>
    <w:p w:rsidR="00F17310" w:rsidRPr="00626435" w:rsidRDefault="00F17310" w:rsidP="00F17310">
      <w:pPr>
        <w:pStyle w:val="References"/>
      </w:pPr>
      <w:r w:rsidRPr="00626435">
        <w:t>IACS</w:t>
      </w:r>
      <w:r w:rsidR="00110694" w:rsidRPr="00626435">
        <w:t>.</w:t>
      </w:r>
      <w:r w:rsidRPr="00626435">
        <w:t xml:space="preserve"> </w:t>
      </w:r>
      <w:r w:rsidRPr="00626435">
        <w:rPr>
          <w:i/>
        </w:rPr>
        <w:t>UR L5 Rev.2 On Board Computers for Stability Calculations</w:t>
      </w:r>
      <w:r w:rsidRPr="00626435">
        <w:t xml:space="preserve">. </w:t>
      </w:r>
      <w:r w:rsidRPr="00626435">
        <w:rPr>
          <w:szCs w:val="20"/>
        </w:rPr>
        <w:t>International Association of Classification Societies, London,</w:t>
      </w:r>
      <w:r w:rsidRPr="00626435">
        <w:t xml:space="preserve"> 2006.</w:t>
      </w:r>
    </w:p>
    <w:p w:rsidR="00272A98" w:rsidRPr="00626435" w:rsidRDefault="006E5156" w:rsidP="000158FA">
      <w:pPr>
        <w:pStyle w:val="References"/>
      </w:pPr>
      <w:r w:rsidRPr="00626435">
        <w:t>WMO</w:t>
      </w:r>
      <w:r w:rsidR="00110694" w:rsidRPr="00626435">
        <w:t>.</w:t>
      </w:r>
      <w:r w:rsidRPr="00626435">
        <w:t xml:space="preserve"> </w:t>
      </w:r>
      <w:r w:rsidRPr="00626435">
        <w:rPr>
          <w:i/>
        </w:rPr>
        <w:t>Manual on Codes International Codes Volume</w:t>
      </w:r>
      <w:r w:rsidR="00C22B91" w:rsidRPr="00626435">
        <w:rPr>
          <w:i/>
        </w:rPr>
        <w:t xml:space="preserve"> </w:t>
      </w:r>
      <w:r w:rsidRPr="00626435">
        <w:rPr>
          <w:i/>
        </w:rPr>
        <w:t>I.1 Annex II to the WMO Technical Regulations Part</w:t>
      </w:r>
      <w:r w:rsidR="00C22B91" w:rsidRPr="00626435">
        <w:rPr>
          <w:i/>
        </w:rPr>
        <w:t xml:space="preserve"> </w:t>
      </w:r>
      <w:r w:rsidRPr="00626435">
        <w:rPr>
          <w:i/>
        </w:rPr>
        <w:t>A – Alphanumeric Codes</w:t>
      </w:r>
      <w:r w:rsidRPr="00626435">
        <w:t>. World Meteorological Organization, Geneva, 2016.</w:t>
      </w:r>
    </w:p>
    <w:sectPr w:rsidR="00272A98" w:rsidRPr="00626435">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7EB" w:rsidRDefault="00E907EB">
      <w:r>
        <w:separator/>
      </w:r>
    </w:p>
  </w:endnote>
  <w:endnote w:type="continuationSeparator" w:id="0">
    <w:p w:rsidR="00E907EB" w:rsidRDefault="00E9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7EB" w:rsidRDefault="00E907EB">
      <w:r>
        <w:separator/>
      </w:r>
    </w:p>
  </w:footnote>
  <w:footnote w:type="continuationSeparator" w:id="0">
    <w:p w:rsidR="00E907EB" w:rsidRDefault="00E907EB">
      <w:r>
        <w:continuationSeparator/>
      </w:r>
    </w:p>
  </w:footnote>
  <w:footnote w:id="1">
    <w:p w:rsidR="00CF698D" w:rsidRPr="006161C2" w:rsidRDefault="00CF698D" w:rsidP="00045C2F">
      <w:pPr>
        <w:pStyle w:val="Testonotaapidipagina"/>
        <w:rPr>
          <w:rStyle w:val="FootnoteChar"/>
          <w:szCs w:val="16"/>
        </w:rPr>
      </w:pPr>
      <w:r w:rsidRPr="00626435">
        <w:rPr>
          <w:rStyle w:val="Rimandonotaapidipagina"/>
        </w:rPr>
        <w:footnoteRef/>
      </w:r>
      <w:r>
        <w:rPr>
          <w:rStyle w:val="FootnoteChar"/>
        </w:rPr>
        <w:t xml:space="preserve"> Corresponding Author</w:t>
      </w:r>
      <w:r w:rsidRPr="006161C2">
        <w:rPr>
          <w:rStyle w:val="FootnoteChar"/>
          <w:szCs w:val="16"/>
        </w:rPr>
        <w:t>,</w:t>
      </w:r>
      <w:r w:rsidRPr="006161C2">
        <w:rPr>
          <w:sz w:val="16"/>
          <w:szCs w:val="16"/>
          <w:lang w:val="en-GB"/>
        </w:rPr>
        <w:t xml:space="preserve"> </w:t>
      </w:r>
      <w:r>
        <w:rPr>
          <w:sz w:val="16"/>
          <w:szCs w:val="16"/>
          <w:lang w:val="en-GB"/>
        </w:rPr>
        <w:t>Luca Braidotti</w:t>
      </w:r>
      <w:r w:rsidRPr="006161C2">
        <w:rPr>
          <w:sz w:val="16"/>
          <w:szCs w:val="16"/>
          <w:lang w:val="en-GB"/>
        </w:rPr>
        <w:t xml:space="preserve">, </w:t>
      </w:r>
      <w:r w:rsidRPr="005B4AD5">
        <w:rPr>
          <w:sz w:val="16"/>
          <w:szCs w:val="16"/>
          <w:lang w:val="en-GB"/>
        </w:rPr>
        <w:t>ISD Lab, Department of Engineering and Architecture, Via Alf</w:t>
      </w:r>
      <w:r>
        <w:rPr>
          <w:sz w:val="16"/>
          <w:szCs w:val="16"/>
          <w:lang w:val="en-GB"/>
        </w:rPr>
        <w:t>onso Valerio 6/1, 34127 Trieste, Italy</w:t>
      </w:r>
      <w:r w:rsidRPr="006161C2">
        <w:rPr>
          <w:sz w:val="16"/>
          <w:szCs w:val="16"/>
          <w:lang w:val="en-GB"/>
        </w:rPr>
        <w:t xml:space="preserve">; E-mail: </w:t>
      </w:r>
      <w:r>
        <w:rPr>
          <w:sz w:val="16"/>
          <w:szCs w:val="16"/>
          <w:lang w:val="en-GB"/>
        </w:rPr>
        <w:t>vbucci@units.it</w:t>
      </w:r>
      <w:r w:rsidRPr="006161C2">
        <w:rPr>
          <w:sz w:val="16"/>
          <w:szCs w:val="16"/>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nsid w:val="0DD843AE"/>
    <w:multiLevelType w:val="hybridMultilevel"/>
    <w:tmpl w:val="7CDA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1A6860"/>
    <w:multiLevelType w:val="hybridMultilevel"/>
    <w:tmpl w:val="DCEC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E1CBF"/>
    <w:multiLevelType w:val="hybridMultilevel"/>
    <w:tmpl w:val="EAA2F1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0035B87"/>
    <w:multiLevelType w:val="hybridMultilevel"/>
    <w:tmpl w:val="4CE8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FA5D3C"/>
    <w:multiLevelType w:val="hybridMultilevel"/>
    <w:tmpl w:val="170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EC31F0"/>
    <w:multiLevelType w:val="hybridMultilevel"/>
    <w:tmpl w:val="1AA695FC"/>
    <w:lvl w:ilvl="0" w:tplc="8C7ACF34">
      <w:start w:val="1"/>
      <w:numFmt w:val="decimal"/>
      <w:lvlText w:val="%1."/>
      <w:lvlJc w:val="left"/>
      <w:pPr>
        <w:ind w:left="31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DD6C6F"/>
    <w:multiLevelType w:val="hybridMultilevel"/>
    <w:tmpl w:val="51F6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BC3ED5"/>
    <w:multiLevelType w:val="hybridMultilevel"/>
    <w:tmpl w:val="5B4A9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DA1416"/>
    <w:multiLevelType w:val="hybridMultilevel"/>
    <w:tmpl w:val="67A6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615589"/>
    <w:multiLevelType w:val="hybridMultilevel"/>
    <w:tmpl w:val="6660EB46"/>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nsid w:val="474A2A32"/>
    <w:multiLevelType w:val="hybridMultilevel"/>
    <w:tmpl w:val="0E6C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2632F0"/>
    <w:multiLevelType w:val="hybridMultilevel"/>
    <w:tmpl w:val="B70E16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4FBF2574"/>
    <w:multiLevelType w:val="hybridMultilevel"/>
    <w:tmpl w:val="36FC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16">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7">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DAD09D2"/>
    <w:multiLevelType w:val="hybridMultilevel"/>
    <w:tmpl w:val="FE7E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BF2810"/>
    <w:multiLevelType w:val="hybridMultilevel"/>
    <w:tmpl w:val="75E0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21">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2">
    <w:nsid w:val="6ACA14B5"/>
    <w:multiLevelType w:val="hybridMultilevel"/>
    <w:tmpl w:val="498E56B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nsid w:val="6DA529DD"/>
    <w:multiLevelType w:val="hybridMultilevel"/>
    <w:tmpl w:val="68B0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9D7927"/>
    <w:multiLevelType w:val="multilevel"/>
    <w:tmpl w:val="A1B06954"/>
    <w:lvl w:ilvl="0">
      <w:start w:val="1"/>
      <w:numFmt w:val="decimal"/>
      <w:pStyle w:val="Titolo1"/>
      <w:suff w:val="space"/>
      <w:lvlText w:val="%1."/>
      <w:lvlJc w:val="left"/>
      <w:pPr>
        <w:ind w:left="5133"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2411"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5">
    <w:nsid w:val="76F27992"/>
    <w:multiLevelType w:val="hybridMultilevel"/>
    <w:tmpl w:val="8E28FDE8"/>
    <w:lvl w:ilvl="0" w:tplc="7B981C04">
      <w:start w:val="1"/>
      <w:numFmt w:val="decimal"/>
      <w:pStyle w:val="References"/>
      <w:lvlText w:val="[%1]"/>
      <w:lvlJc w:val="left"/>
      <w:pPr>
        <w:tabs>
          <w:tab w:val="num" w:pos="2099"/>
        </w:tabs>
        <w:ind w:left="2213" w:hanging="369"/>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592D68"/>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6"/>
  </w:num>
  <w:num w:numId="3">
    <w:abstractNumId w:val="0"/>
  </w:num>
  <w:num w:numId="4">
    <w:abstractNumId w:val="24"/>
  </w:num>
  <w:num w:numId="5">
    <w:abstractNumId w:val="15"/>
  </w:num>
  <w:num w:numId="6">
    <w:abstractNumId w:val="21"/>
  </w:num>
  <w:num w:numId="7">
    <w:abstractNumId w:val="25"/>
  </w:num>
  <w:num w:numId="8">
    <w:abstractNumId w:val="17"/>
  </w:num>
  <w:num w:numId="9">
    <w:abstractNumId w:val="25"/>
  </w:num>
  <w:num w:numId="10">
    <w:abstractNumId w:val="6"/>
  </w:num>
  <w:num w:numId="11">
    <w:abstractNumId w:val="25"/>
    <w:lvlOverride w:ilvl="0">
      <w:startOverride w:val="1"/>
    </w:lvlOverride>
  </w:num>
  <w:num w:numId="12">
    <w:abstractNumId w:val="2"/>
  </w:num>
  <w:num w:numId="13">
    <w:abstractNumId w:val="8"/>
  </w:num>
  <w:num w:numId="14">
    <w:abstractNumId w:val="13"/>
  </w:num>
  <w:num w:numId="15">
    <w:abstractNumId w:val="26"/>
  </w:num>
  <w:num w:numId="16">
    <w:abstractNumId w:val="4"/>
  </w:num>
  <w:num w:numId="17">
    <w:abstractNumId w:val="9"/>
  </w:num>
  <w:num w:numId="18">
    <w:abstractNumId w:val="12"/>
  </w:num>
  <w:num w:numId="19">
    <w:abstractNumId w:val="5"/>
  </w:num>
  <w:num w:numId="20">
    <w:abstractNumId w:val="1"/>
  </w:num>
  <w:num w:numId="21">
    <w:abstractNumId w:val="23"/>
  </w:num>
  <w:num w:numId="22">
    <w:abstractNumId w:val="22"/>
  </w:num>
  <w:num w:numId="23">
    <w:abstractNumId w:val="14"/>
  </w:num>
  <w:num w:numId="24">
    <w:abstractNumId w:val="19"/>
  </w:num>
  <w:num w:numId="25">
    <w:abstractNumId w:val="18"/>
  </w:num>
  <w:num w:numId="26">
    <w:abstractNumId w:val="11"/>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D3"/>
    <w:rsid w:val="00004EED"/>
    <w:rsid w:val="000158FA"/>
    <w:rsid w:val="00022778"/>
    <w:rsid w:val="00045C2F"/>
    <w:rsid w:val="00062EAE"/>
    <w:rsid w:val="0006469E"/>
    <w:rsid w:val="00076162"/>
    <w:rsid w:val="00110694"/>
    <w:rsid w:val="00137CA3"/>
    <w:rsid w:val="001463E2"/>
    <w:rsid w:val="00152613"/>
    <w:rsid w:val="00156752"/>
    <w:rsid w:val="00164A4B"/>
    <w:rsid w:val="001735D7"/>
    <w:rsid w:val="00180375"/>
    <w:rsid w:val="00190CC7"/>
    <w:rsid w:val="001D1B72"/>
    <w:rsid w:val="001D5440"/>
    <w:rsid w:val="001E6A1B"/>
    <w:rsid w:val="001F3192"/>
    <w:rsid w:val="002030B3"/>
    <w:rsid w:val="00203249"/>
    <w:rsid w:val="002049A8"/>
    <w:rsid w:val="002135B9"/>
    <w:rsid w:val="002277B3"/>
    <w:rsid w:val="002457E2"/>
    <w:rsid w:val="002546AC"/>
    <w:rsid w:val="0026086F"/>
    <w:rsid w:val="002652DA"/>
    <w:rsid w:val="00272A98"/>
    <w:rsid w:val="002A5E20"/>
    <w:rsid w:val="002A70B0"/>
    <w:rsid w:val="002B64FF"/>
    <w:rsid w:val="002C1694"/>
    <w:rsid w:val="002E641D"/>
    <w:rsid w:val="002F0E87"/>
    <w:rsid w:val="00303FCE"/>
    <w:rsid w:val="0031010A"/>
    <w:rsid w:val="00322139"/>
    <w:rsid w:val="00323802"/>
    <w:rsid w:val="00335F66"/>
    <w:rsid w:val="00340BB3"/>
    <w:rsid w:val="003416A4"/>
    <w:rsid w:val="00352ABD"/>
    <w:rsid w:val="00371EEA"/>
    <w:rsid w:val="00397C93"/>
    <w:rsid w:val="003A032A"/>
    <w:rsid w:val="00424D93"/>
    <w:rsid w:val="00436411"/>
    <w:rsid w:val="00454C29"/>
    <w:rsid w:val="00456EF7"/>
    <w:rsid w:val="0049004B"/>
    <w:rsid w:val="0049604C"/>
    <w:rsid w:val="004976E7"/>
    <w:rsid w:val="004A6796"/>
    <w:rsid w:val="004B6F3D"/>
    <w:rsid w:val="004F41D7"/>
    <w:rsid w:val="00515595"/>
    <w:rsid w:val="0052288C"/>
    <w:rsid w:val="00526A33"/>
    <w:rsid w:val="00541E0A"/>
    <w:rsid w:val="005549D6"/>
    <w:rsid w:val="005555D8"/>
    <w:rsid w:val="00557AE0"/>
    <w:rsid w:val="0057328B"/>
    <w:rsid w:val="0058308F"/>
    <w:rsid w:val="00593A39"/>
    <w:rsid w:val="005B4AD5"/>
    <w:rsid w:val="005D6C73"/>
    <w:rsid w:val="005D6DCE"/>
    <w:rsid w:val="005D71CF"/>
    <w:rsid w:val="005E708A"/>
    <w:rsid w:val="005F21CF"/>
    <w:rsid w:val="005F2DE0"/>
    <w:rsid w:val="005F60F3"/>
    <w:rsid w:val="00605516"/>
    <w:rsid w:val="006161C2"/>
    <w:rsid w:val="00626435"/>
    <w:rsid w:val="00631672"/>
    <w:rsid w:val="006345D8"/>
    <w:rsid w:val="00635F78"/>
    <w:rsid w:val="00641A47"/>
    <w:rsid w:val="006462C9"/>
    <w:rsid w:val="00646689"/>
    <w:rsid w:val="0065074E"/>
    <w:rsid w:val="00667C85"/>
    <w:rsid w:val="006926FB"/>
    <w:rsid w:val="006B0902"/>
    <w:rsid w:val="006C2232"/>
    <w:rsid w:val="006C490D"/>
    <w:rsid w:val="006E5156"/>
    <w:rsid w:val="006E70F6"/>
    <w:rsid w:val="00714B85"/>
    <w:rsid w:val="0072062C"/>
    <w:rsid w:val="00764370"/>
    <w:rsid w:val="00764386"/>
    <w:rsid w:val="00773772"/>
    <w:rsid w:val="00791773"/>
    <w:rsid w:val="007963B2"/>
    <w:rsid w:val="007A145C"/>
    <w:rsid w:val="007C16F4"/>
    <w:rsid w:val="007E084D"/>
    <w:rsid w:val="007E3825"/>
    <w:rsid w:val="007F1DC1"/>
    <w:rsid w:val="007F316C"/>
    <w:rsid w:val="0080194B"/>
    <w:rsid w:val="00802C22"/>
    <w:rsid w:val="00804F41"/>
    <w:rsid w:val="00815245"/>
    <w:rsid w:val="008215CA"/>
    <w:rsid w:val="00830307"/>
    <w:rsid w:val="00841B82"/>
    <w:rsid w:val="0085569F"/>
    <w:rsid w:val="008707A2"/>
    <w:rsid w:val="00897FBA"/>
    <w:rsid w:val="008F00C2"/>
    <w:rsid w:val="008F2CBD"/>
    <w:rsid w:val="008F58F6"/>
    <w:rsid w:val="0091174B"/>
    <w:rsid w:val="00913588"/>
    <w:rsid w:val="009204DE"/>
    <w:rsid w:val="00926F16"/>
    <w:rsid w:val="0093783E"/>
    <w:rsid w:val="0095165F"/>
    <w:rsid w:val="0097018A"/>
    <w:rsid w:val="0098773B"/>
    <w:rsid w:val="00993D24"/>
    <w:rsid w:val="00994AE9"/>
    <w:rsid w:val="009B0FA2"/>
    <w:rsid w:val="009F635E"/>
    <w:rsid w:val="00A10139"/>
    <w:rsid w:val="00A15389"/>
    <w:rsid w:val="00A21D57"/>
    <w:rsid w:val="00A25B5B"/>
    <w:rsid w:val="00A50ABC"/>
    <w:rsid w:val="00A63BA5"/>
    <w:rsid w:val="00A73717"/>
    <w:rsid w:val="00A81C7C"/>
    <w:rsid w:val="00A9164B"/>
    <w:rsid w:val="00A930BA"/>
    <w:rsid w:val="00A94000"/>
    <w:rsid w:val="00AB2A16"/>
    <w:rsid w:val="00AC07E4"/>
    <w:rsid w:val="00AC574F"/>
    <w:rsid w:val="00AD4C98"/>
    <w:rsid w:val="00B05D6E"/>
    <w:rsid w:val="00B221CF"/>
    <w:rsid w:val="00B22472"/>
    <w:rsid w:val="00B22AE0"/>
    <w:rsid w:val="00B40870"/>
    <w:rsid w:val="00B409F5"/>
    <w:rsid w:val="00B50025"/>
    <w:rsid w:val="00B5548C"/>
    <w:rsid w:val="00B60140"/>
    <w:rsid w:val="00B678EC"/>
    <w:rsid w:val="00B81F1E"/>
    <w:rsid w:val="00B936FA"/>
    <w:rsid w:val="00B94FF9"/>
    <w:rsid w:val="00BB1C1A"/>
    <w:rsid w:val="00BC107C"/>
    <w:rsid w:val="00BC62C9"/>
    <w:rsid w:val="00BD316A"/>
    <w:rsid w:val="00C22B91"/>
    <w:rsid w:val="00C239B7"/>
    <w:rsid w:val="00C27C08"/>
    <w:rsid w:val="00C85AD3"/>
    <w:rsid w:val="00C97D11"/>
    <w:rsid w:val="00CA229B"/>
    <w:rsid w:val="00CF5C91"/>
    <w:rsid w:val="00CF698D"/>
    <w:rsid w:val="00D165B0"/>
    <w:rsid w:val="00D229CD"/>
    <w:rsid w:val="00D72A7D"/>
    <w:rsid w:val="00D82BC9"/>
    <w:rsid w:val="00D85071"/>
    <w:rsid w:val="00D92F76"/>
    <w:rsid w:val="00D931EE"/>
    <w:rsid w:val="00D97F29"/>
    <w:rsid w:val="00DA3959"/>
    <w:rsid w:val="00DE2153"/>
    <w:rsid w:val="00E25CAC"/>
    <w:rsid w:val="00E32BEA"/>
    <w:rsid w:val="00E641DA"/>
    <w:rsid w:val="00E67C10"/>
    <w:rsid w:val="00E708D7"/>
    <w:rsid w:val="00E71F3D"/>
    <w:rsid w:val="00E72AA9"/>
    <w:rsid w:val="00E907EB"/>
    <w:rsid w:val="00EA0F66"/>
    <w:rsid w:val="00EA1387"/>
    <w:rsid w:val="00EA5CB3"/>
    <w:rsid w:val="00EB0195"/>
    <w:rsid w:val="00EB0B92"/>
    <w:rsid w:val="00EB23B6"/>
    <w:rsid w:val="00EC2AA2"/>
    <w:rsid w:val="00EC57D9"/>
    <w:rsid w:val="00EE6447"/>
    <w:rsid w:val="00EE73B9"/>
    <w:rsid w:val="00F00A61"/>
    <w:rsid w:val="00F02B49"/>
    <w:rsid w:val="00F07FC3"/>
    <w:rsid w:val="00F17310"/>
    <w:rsid w:val="00F6586C"/>
    <w:rsid w:val="00F87D55"/>
    <w:rsid w:val="00F916E1"/>
    <w:rsid w:val="00FB3347"/>
    <w:rsid w:val="00FD13BD"/>
    <w:rsid w:val="00FE263E"/>
    <w:rsid w:val="00FE34E3"/>
    <w:rsid w:val="00FF4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B5B405-9524-483F-8EC0-AEE0A5C0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link w:val="Titolo1Carattere"/>
    <w:uiPriority w:val="9"/>
    <w:qFormat/>
    <w:rsid w:val="004F41D7"/>
    <w:pPr>
      <w:keepNext/>
      <w:keepLines/>
      <w:numPr>
        <w:numId w:val="4"/>
      </w:numPr>
      <w:suppressAutoHyphens/>
      <w:spacing w:before="480" w:after="240"/>
      <w:ind w:left="426"/>
      <w:jc w:val="left"/>
      <w:outlineLvl w:val="0"/>
    </w:pPr>
    <w:rPr>
      <w:rFonts w:cs="Arial"/>
      <w:b/>
      <w:bCs/>
      <w:kern w:val="32"/>
      <w:szCs w:val="32"/>
    </w:rPr>
  </w:style>
  <w:style w:type="paragraph" w:styleId="Titolo2">
    <w:name w:val="heading 2"/>
    <w:basedOn w:val="Normale"/>
    <w:next w:val="NoindentNormal"/>
    <w:link w:val="Titolo2Carattere"/>
    <w:uiPriority w:val="9"/>
    <w:qFormat/>
    <w:rsid w:val="004F41D7"/>
    <w:pPr>
      <w:keepNext/>
      <w:keepLines/>
      <w:numPr>
        <w:ilvl w:val="1"/>
        <w:numId w:val="4"/>
      </w:numPr>
      <w:suppressAutoHyphens/>
      <w:spacing w:before="240" w:after="240"/>
      <w:ind w:left="0"/>
      <w:jc w:val="left"/>
      <w:outlineLvl w:val="1"/>
    </w:pPr>
    <w:rPr>
      <w:rFonts w:cs="Arial"/>
      <w:bCs/>
      <w:i/>
      <w:iCs/>
      <w:szCs w:val="28"/>
    </w:rPr>
  </w:style>
  <w:style w:type="paragraph" w:styleId="Titolo3">
    <w:name w:val="heading 3"/>
    <w:basedOn w:val="Normale"/>
    <w:next w:val="NoindentNormal"/>
    <w:link w:val="Titolo3Carattere"/>
    <w:uiPriority w:val="9"/>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link w:val="Titolo4Carattere"/>
    <w:uiPriority w:val="9"/>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link w:val="Titolo5Carattere"/>
    <w:qFormat/>
    <w:pPr>
      <w:numPr>
        <w:ilvl w:val="4"/>
        <w:numId w:val="4"/>
      </w:numPr>
      <w:jc w:val="left"/>
      <w:outlineLvl w:val="4"/>
    </w:pPr>
    <w:rPr>
      <w:bCs/>
      <w:i/>
      <w:iCs/>
      <w:szCs w:val="26"/>
    </w:rPr>
  </w:style>
  <w:style w:type="paragraph" w:styleId="Titolo6">
    <w:name w:val="heading 6"/>
    <w:basedOn w:val="Normale"/>
    <w:next w:val="Normale"/>
    <w:link w:val="Titolo6Caratter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clear" w:pos="2099"/>
        <w:tab w:val="left" w:pos="85"/>
        <w:tab w:val="num" w:pos="255"/>
      </w:tabs>
      <w:ind w:left="369"/>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link w:val="TitoloCarattere"/>
    <w:uiPriority w:val="10"/>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uiPriority w:val="35"/>
    <w:qFormat/>
    <w:rsid w:val="00EE73B9"/>
    <w:pPr>
      <w:spacing w:before="80" w:after="80"/>
      <w:ind w:firstLine="0"/>
      <w:jc w:val="center"/>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link w:val="TestonotaapidipaginaCarattere"/>
    <w:uiPriority w:val="99"/>
    <w:semiHidden/>
    <w:rPr>
      <w:szCs w:val="20"/>
    </w:rPr>
  </w:style>
  <w:style w:type="character" w:styleId="Rimandonotaapidipagina">
    <w:name w:val="footnote reference"/>
    <w:uiPriority w:val="99"/>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customStyle="1" w:styleId="Titolo1Carattere">
    <w:name w:val="Titolo 1 Carattere"/>
    <w:basedOn w:val="Carpredefinitoparagrafo"/>
    <w:link w:val="Titolo1"/>
    <w:uiPriority w:val="9"/>
    <w:rsid w:val="004F41D7"/>
    <w:rPr>
      <w:rFonts w:cs="Arial"/>
      <w:b/>
      <w:bCs/>
      <w:kern w:val="32"/>
      <w:szCs w:val="32"/>
      <w:lang w:val="en-US" w:eastAsia="ja-JP"/>
    </w:rPr>
  </w:style>
  <w:style w:type="paragraph" w:styleId="Nessunaspaziatura">
    <w:name w:val="No Spacing"/>
    <w:link w:val="NessunaspaziaturaCarattere"/>
    <w:uiPriority w:val="1"/>
    <w:qFormat/>
    <w:rsid w:val="00926F16"/>
    <w:pPr>
      <w:ind w:firstLine="357"/>
      <w:jc w:val="both"/>
    </w:pPr>
    <w:rPr>
      <w:szCs w:val="24"/>
      <w:lang w:val="en-US" w:eastAsia="ja-JP"/>
    </w:rPr>
  </w:style>
  <w:style w:type="paragraph" w:styleId="Paragrafoelenco">
    <w:name w:val="List Paragraph"/>
    <w:basedOn w:val="Normale"/>
    <w:uiPriority w:val="34"/>
    <w:qFormat/>
    <w:rsid w:val="00340BB3"/>
    <w:pPr>
      <w:spacing w:after="160" w:line="259" w:lineRule="auto"/>
      <w:ind w:left="720" w:firstLine="0"/>
      <w:contextualSpacing/>
    </w:pPr>
    <w:rPr>
      <w:rFonts w:asciiTheme="minorHAnsi" w:eastAsiaTheme="minorHAnsi" w:hAnsiTheme="minorHAnsi" w:cstheme="minorBidi"/>
      <w:sz w:val="22"/>
      <w:szCs w:val="22"/>
      <w:lang w:val="en-GB" w:eastAsia="en-US"/>
    </w:rPr>
  </w:style>
  <w:style w:type="character" w:customStyle="1" w:styleId="Titolo2Carattere">
    <w:name w:val="Titolo 2 Carattere"/>
    <w:basedOn w:val="Carpredefinitoparagrafo"/>
    <w:link w:val="Titolo2"/>
    <w:uiPriority w:val="9"/>
    <w:rsid w:val="004F41D7"/>
    <w:rPr>
      <w:rFonts w:cs="Arial"/>
      <w:bCs/>
      <w:i/>
      <w:iCs/>
      <w:szCs w:val="28"/>
      <w:lang w:val="en-US" w:eastAsia="ja-JP"/>
    </w:rPr>
  </w:style>
  <w:style w:type="character" w:customStyle="1" w:styleId="Titolo3Carattere">
    <w:name w:val="Titolo 3 Carattere"/>
    <w:basedOn w:val="Carpredefinitoparagrafo"/>
    <w:link w:val="Titolo3"/>
    <w:uiPriority w:val="9"/>
    <w:rsid w:val="0085569F"/>
    <w:rPr>
      <w:rFonts w:cs="Arial"/>
      <w:bCs/>
      <w:i/>
      <w:szCs w:val="26"/>
      <w:lang w:val="en-US" w:eastAsia="ja-JP"/>
    </w:rPr>
  </w:style>
  <w:style w:type="character" w:customStyle="1" w:styleId="Titolo4Carattere">
    <w:name w:val="Titolo 4 Carattere"/>
    <w:basedOn w:val="Carpredefinitoparagrafo"/>
    <w:link w:val="Titolo4"/>
    <w:uiPriority w:val="9"/>
    <w:rsid w:val="0085569F"/>
    <w:rPr>
      <w:bCs/>
      <w:i/>
      <w:szCs w:val="28"/>
      <w:lang w:val="en-US" w:eastAsia="ja-JP"/>
    </w:rPr>
  </w:style>
  <w:style w:type="character" w:customStyle="1" w:styleId="TitoloCarattere">
    <w:name w:val="Titolo Carattere"/>
    <w:basedOn w:val="Carpredefinitoparagrafo"/>
    <w:link w:val="Titolo"/>
    <w:uiPriority w:val="10"/>
    <w:rsid w:val="0085569F"/>
    <w:rPr>
      <w:noProof/>
      <w:kern w:val="28"/>
      <w:sz w:val="40"/>
      <w:szCs w:val="24"/>
      <w:lang w:val="en-US" w:eastAsia="ja-JP"/>
    </w:rPr>
  </w:style>
  <w:style w:type="character" w:styleId="Testosegnaposto">
    <w:name w:val="Placeholder Text"/>
    <w:basedOn w:val="Carpredefinitoparagrafo"/>
    <w:uiPriority w:val="99"/>
    <w:semiHidden/>
    <w:rsid w:val="0085569F"/>
    <w:rPr>
      <w:color w:val="808080"/>
    </w:rPr>
  </w:style>
  <w:style w:type="table" w:styleId="Grigliatabella">
    <w:name w:val="Table Grid"/>
    <w:basedOn w:val="Tabellanormale"/>
    <w:uiPriority w:val="39"/>
    <w:rsid w:val="0085569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aspaziaturaCarattere">
    <w:name w:val="Nessuna spaziatura Carattere"/>
    <w:basedOn w:val="Carpredefinitoparagrafo"/>
    <w:link w:val="Nessunaspaziatura"/>
    <w:uiPriority w:val="1"/>
    <w:locked/>
    <w:rsid w:val="0085569F"/>
    <w:rPr>
      <w:szCs w:val="24"/>
      <w:lang w:val="en-US" w:eastAsia="ja-JP"/>
    </w:rPr>
  </w:style>
  <w:style w:type="character" w:customStyle="1" w:styleId="TestonotaapidipaginaCarattere">
    <w:name w:val="Testo nota a piè di pagina Carattere"/>
    <w:basedOn w:val="Carpredefinitoparagrafo"/>
    <w:link w:val="Testonotaapidipagina"/>
    <w:uiPriority w:val="99"/>
    <w:semiHidden/>
    <w:rsid w:val="0085569F"/>
    <w:rPr>
      <w:lang w:val="en-US" w:eastAsia="ja-JP"/>
    </w:rPr>
  </w:style>
  <w:style w:type="character" w:styleId="Rimandocommento">
    <w:name w:val="annotation reference"/>
    <w:basedOn w:val="Carpredefinitoparagrafo"/>
    <w:uiPriority w:val="99"/>
    <w:semiHidden/>
    <w:unhideWhenUsed/>
    <w:rsid w:val="0085569F"/>
    <w:rPr>
      <w:sz w:val="16"/>
      <w:szCs w:val="16"/>
    </w:rPr>
  </w:style>
  <w:style w:type="paragraph" w:styleId="Testocommento">
    <w:name w:val="annotation text"/>
    <w:basedOn w:val="Normale"/>
    <w:link w:val="TestocommentoCarattere"/>
    <w:uiPriority w:val="99"/>
    <w:semiHidden/>
    <w:unhideWhenUsed/>
    <w:rsid w:val="0085569F"/>
    <w:pPr>
      <w:spacing w:after="160"/>
      <w:ind w:firstLine="0"/>
    </w:pPr>
    <w:rPr>
      <w:rFonts w:asciiTheme="minorHAnsi" w:eastAsiaTheme="minorHAnsi" w:hAnsiTheme="minorHAnsi" w:cstheme="minorBidi"/>
      <w:szCs w:val="20"/>
      <w:lang w:val="en-GB" w:eastAsia="en-US"/>
    </w:rPr>
  </w:style>
  <w:style w:type="character" w:customStyle="1" w:styleId="TestocommentoCarattere">
    <w:name w:val="Testo commento Carattere"/>
    <w:basedOn w:val="Carpredefinitoparagrafo"/>
    <w:link w:val="Testocommento"/>
    <w:uiPriority w:val="99"/>
    <w:semiHidden/>
    <w:rsid w:val="0085569F"/>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uiPriority w:val="99"/>
    <w:semiHidden/>
    <w:unhideWhenUsed/>
    <w:rsid w:val="0085569F"/>
    <w:rPr>
      <w:b/>
      <w:bCs/>
    </w:rPr>
  </w:style>
  <w:style w:type="character" w:customStyle="1" w:styleId="SoggettocommentoCarattere">
    <w:name w:val="Soggetto commento Carattere"/>
    <w:basedOn w:val="TestocommentoCarattere"/>
    <w:link w:val="Soggettocommento"/>
    <w:uiPriority w:val="99"/>
    <w:semiHidden/>
    <w:rsid w:val="0085569F"/>
    <w:rPr>
      <w:rFonts w:asciiTheme="minorHAnsi" w:eastAsiaTheme="minorHAnsi" w:hAnsiTheme="minorHAnsi" w:cstheme="minorBidi"/>
      <w:b/>
      <w:bCs/>
      <w:lang w:eastAsia="en-US"/>
    </w:rPr>
  </w:style>
  <w:style w:type="paragraph" w:styleId="Testofumetto">
    <w:name w:val="Balloon Text"/>
    <w:basedOn w:val="Normale"/>
    <w:link w:val="TestofumettoCarattere"/>
    <w:uiPriority w:val="99"/>
    <w:semiHidden/>
    <w:unhideWhenUsed/>
    <w:rsid w:val="0085569F"/>
    <w:pPr>
      <w:ind w:firstLine="0"/>
    </w:pPr>
    <w:rPr>
      <w:rFonts w:ascii="Segoe UI" w:eastAsiaTheme="minorHAnsi" w:hAnsi="Segoe UI" w:cs="Segoe UI"/>
      <w:sz w:val="18"/>
      <w:szCs w:val="18"/>
      <w:lang w:val="en-GB" w:eastAsia="en-US"/>
    </w:rPr>
  </w:style>
  <w:style w:type="character" w:customStyle="1" w:styleId="TestofumettoCarattere">
    <w:name w:val="Testo fumetto Carattere"/>
    <w:basedOn w:val="Carpredefinitoparagrafo"/>
    <w:link w:val="Testofumetto"/>
    <w:uiPriority w:val="99"/>
    <w:semiHidden/>
    <w:rsid w:val="0085569F"/>
    <w:rPr>
      <w:rFonts w:ascii="Segoe UI" w:eastAsiaTheme="minorHAnsi" w:hAnsi="Segoe UI" w:cs="Segoe UI"/>
      <w:sz w:val="18"/>
      <w:szCs w:val="18"/>
      <w:lang w:eastAsia="en-US"/>
    </w:rPr>
  </w:style>
  <w:style w:type="paragraph" w:styleId="Titolosommario">
    <w:name w:val="TOC Heading"/>
    <w:basedOn w:val="Titolo1"/>
    <w:next w:val="Normale"/>
    <w:uiPriority w:val="39"/>
    <w:unhideWhenUsed/>
    <w:qFormat/>
    <w:rsid w:val="0085569F"/>
    <w:pPr>
      <w:suppressAutoHyphens w:val="0"/>
      <w:spacing w:before="240" w:after="160" w:line="259" w:lineRule="auto"/>
      <w:ind w:left="425" w:hanging="425"/>
      <w:jc w:val="both"/>
      <w:outlineLvl w:val="9"/>
    </w:pPr>
    <w:rPr>
      <w:rFonts w:asciiTheme="minorHAnsi" w:eastAsiaTheme="majorEastAsia" w:hAnsiTheme="minorHAnsi" w:cstheme="majorBidi"/>
      <w:bCs w:val="0"/>
      <w:color w:val="2E74B5" w:themeColor="accent1" w:themeShade="BF"/>
      <w:kern w:val="0"/>
      <w:sz w:val="28"/>
      <w:szCs w:val="28"/>
      <w:lang w:val="en-GB" w:eastAsia="en-GB"/>
    </w:rPr>
  </w:style>
  <w:style w:type="paragraph" w:styleId="Sommario1">
    <w:name w:val="toc 1"/>
    <w:basedOn w:val="Normale"/>
    <w:next w:val="Normale"/>
    <w:autoRedefine/>
    <w:uiPriority w:val="39"/>
    <w:unhideWhenUsed/>
    <w:rsid w:val="0085569F"/>
    <w:pPr>
      <w:spacing w:after="100" w:line="259" w:lineRule="auto"/>
      <w:ind w:firstLine="0"/>
    </w:pPr>
    <w:rPr>
      <w:rFonts w:asciiTheme="minorHAnsi" w:eastAsiaTheme="minorHAnsi" w:hAnsiTheme="minorHAnsi" w:cstheme="minorBidi"/>
      <w:sz w:val="22"/>
      <w:szCs w:val="22"/>
      <w:lang w:val="en-GB" w:eastAsia="en-US"/>
    </w:rPr>
  </w:style>
  <w:style w:type="paragraph" w:styleId="Sommario2">
    <w:name w:val="toc 2"/>
    <w:basedOn w:val="Normale"/>
    <w:next w:val="Normale"/>
    <w:autoRedefine/>
    <w:uiPriority w:val="39"/>
    <w:unhideWhenUsed/>
    <w:rsid w:val="0085569F"/>
    <w:pPr>
      <w:spacing w:after="100" w:line="259" w:lineRule="auto"/>
      <w:ind w:left="220" w:firstLine="0"/>
    </w:pPr>
    <w:rPr>
      <w:rFonts w:asciiTheme="minorHAnsi" w:eastAsiaTheme="minorHAnsi" w:hAnsiTheme="minorHAnsi" w:cstheme="minorBidi"/>
      <w:sz w:val="22"/>
      <w:szCs w:val="22"/>
      <w:lang w:val="en-GB" w:eastAsia="en-US"/>
    </w:rPr>
  </w:style>
  <w:style w:type="paragraph" w:styleId="Sommario3">
    <w:name w:val="toc 3"/>
    <w:basedOn w:val="Normale"/>
    <w:next w:val="Normale"/>
    <w:autoRedefine/>
    <w:uiPriority w:val="39"/>
    <w:unhideWhenUsed/>
    <w:rsid w:val="0085569F"/>
    <w:pPr>
      <w:spacing w:after="100" w:line="259" w:lineRule="auto"/>
      <w:ind w:left="440" w:firstLine="0"/>
    </w:pPr>
    <w:rPr>
      <w:rFonts w:asciiTheme="minorHAnsi" w:eastAsiaTheme="minorHAnsi" w:hAnsiTheme="minorHAnsi" w:cstheme="minorBidi"/>
      <w:sz w:val="22"/>
      <w:szCs w:val="22"/>
      <w:lang w:val="en-GB" w:eastAsia="en-US"/>
    </w:rPr>
  </w:style>
  <w:style w:type="character" w:styleId="Collegamentoipertestuale">
    <w:name w:val="Hyperlink"/>
    <w:basedOn w:val="Carpredefinitoparagrafo"/>
    <w:uiPriority w:val="99"/>
    <w:unhideWhenUsed/>
    <w:rsid w:val="0085569F"/>
    <w:rPr>
      <w:color w:val="0563C1" w:themeColor="hyperlink"/>
      <w:u w:val="single"/>
    </w:rPr>
  </w:style>
  <w:style w:type="paragraph" w:styleId="Intestazione">
    <w:name w:val="header"/>
    <w:basedOn w:val="Normale"/>
    <w:link w:val="IntestazioneCarattere"/>
    <w:uiPriority w:val="99"/>
    <w:unhideWhenUsed/>
    <w:rsid w:val="0085569F"/>
    <w:pPr>
      <w:tabs>
        <w:tab w:val="center" w:pos="4819"/>
        <w:tab w:val="right" w:pos="9638"/>
      </w:tabs>
      <w:ind w:firstLine="0"/>
    </w:pPr>
    <w:rPr>
      <w:rFonts w:asciiTheme="minorHAnsi" w:eastAsiaTheme="minorHAnsi" w:hAnsiTheme="minorHAnsi" w:cstheme="minorBidi"/>
      <w:sz w:val="22"/>
      <w:szCs w:val="22"/>
      <w:lang w:val="en-GB" w:eastAsia="en-US"/>
    </w:rPr>
  </w:style>
  <w:style w:type="character" w:customStyle="1" w:styleId="IntestazioneCarattere">
    <w:name w:val="Intestazione Carattere"/>
    <w:basedOn w:val="Carpredefinitoparagrafo"/>
    <w:link w:val="Intestazione"/>
    <w:uiPriority w:val="99"/>
    <w:rsid w:val="0085569F"/>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85569F"/>
    <w:pPr>
      <w:tabs>
        <w:tab w:val="center" w:pos="4819"/>
        <w:tab w:val="right" w:pos="9638"/>
      </w:tabs>
      <w:ind w:firstLine="0"/>
    </w:pPr>
    <w:rPr>
      <w:rFonts w:asciiTheme="minorHAnsi" w:eastAsiaTheme="minorHAnsi" w:hAnsiTheme="minorHAnsi" w:cstheme="minorBidi"/>
      <w:sz w:val="22"/>
      <w:szCs w:val="22"/>
      <w:lang w:val="en-GB" w:eastAsia="en-US"/>
    </w:rPr>
  </w:style>
  <w:style w:type="character" w:customStyle="1" w:styleId="PidipaginaCarattere">
    <w:name w:val="Piè di pagina Carattere"/>
    <w:basedOn w:val="Carpredefinitoparagrafo"/>
    <w:link w:val="Pidipagina"/>
    <w:uiPriority w:val="99"/>
    <w:rsid w:val="0085569F"/>
    <w:rPr>
      <w:rFonts w:asciiTheme="minorHAnsi" w:eastAsiaTheme="minorHAnsi" w:hAnsiTheme="minorHAnsi" w:cstheme="minorBidi"/>
      <w:sz w:val="22"/>
      <w:szCs w:val="22"/>
      <w:lang w:eastAsia="en-US"/>
    </w:rPr>
  </w:style>
  <w:style w:type="character" w:customStyle="1" w:styleId="Titolo5Carattere">
    <w:name w:val="Titolo 5 Carattere"/>
    <w:basedOn w:val="Carpredefinitoparagrafo"/>
    <w:link w:val="Titolo5"/>
    <w:rsid w:val="00272A98"/>
    <w:rPr>
      <w:bCs/>
      <w:i/>
      <w:iCs/>
      <w:szCs w:val="26"/>
      <w:lang w:val="en-US" w:eastAsia="ja-JP"/>
    </w:rPr>
  </w:style>
  <w:style w:type="character" w:customStyle="1" w:styleId="Titolo6Carattere">
    <w:name w:val="Titolo 6 Carattere"/>
    <w:basedOn w:val="Carpredefinitoparagrafo"/>
    <w:link w:val="Titolo6"/>
    <w:rsid w:val="00272A98"/>
    <w:rPr>
      <w:bCs/>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7210">
      <w:bodyDiv w:val="1"/>
      <w:marLeft w:val="0"/>
      <w:marRight w:val="0"/>
      <w:marTop w:val="0"/>
      <w:marBottom w:val="0"/>
      <w:divBdr>
        <w:top w:val="none" w:sz="0" w:space="0" w:color="auto"/>
        <w:left w:val="none" w:sz="0" w:space="0" w:color="auto"/>
        <w:bottom w:val="none" w:sz="0" w:space="0" w:color="auto"/>
        <w:right w:val="none" w:sz="0" w:space="0" w:color="auto"/>
      </w:divBdr>
    </w:div>
    <w:div w:id="1524247485">
      <w:bodyDiv w:val="1"/>
      <w:marLeft w:val="0"/>
      <w:marRight w:val="0"/>
      <w:marTop w:val="0"/>
      <w:marBottom w:val="0"/>
      <w:divBdr>
        <w:top w:val="none" w:sz="0" w:space="0" w:color="auto"/>
        <w:left w:val="none" w:sz="0" w:space="0" w:color="auto"/>
        <w:bottom w:val="none" w:sz="0" w:space="0" w:color="auto"/>
        <w:right w:val="none" w:sz="0" w:space="0" w:color="auto"/>
      </w:divBdr>
    </w:div>
    <w:div w:id="15247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Papers\__Templates\IOS%20Press\IOSPressBookArticleWordTemplate%20with%20Tex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0663C-AD41-4900-9DE7-27714B79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498</TotalTime>
  <Pages>1</Pages>
  <Words>2770</Words>
  <Characters>15790</Characters>
  <Application>Microsoft Office Word</Application>
  <DocSecurity>0</DocSecurity>
  <Lines>131</Lines>
  <Paragraphs>37</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1</vt:lpstr>
      <vt:lpstr>1</vt:lpstr>
      <vt:lpstr>1</vt:lpstr>
    </vt:vector>
  </TitlesOfParts>
  <Company>VTEX</Company>
  <LinksUpToDate>false</LinksUpToDate>
  <CharactersWithSpaces>18523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Luca</dc:creator>
  <cp:keywords/>
  <cp:lastModifiedBy>Luca</cp:lastModifiedBy>
  <cp:revision>23</cp:revision>
  <cp:lastPrinted>2018-04-06T13:53:00Z</cp:lastPrinted>
  <dcterms:created xsi:type="dcterms:W3CDTF">2017-12-18T10:06:00Z</dcterms:created>
  <dcterms:modified xsi:type="dcterms:W3CDTF">2018-04-06T13:54:00Z</dcterms:modified>
</cp:coreProperties>
</file>