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6E" w:rsidRPr="007C7EEE" w:rsidRDefault="00744F20" w:rsidP="00011997">
      <w:pPr>
        <w:pStyle w:val="Title"/>
      </w:pPr>
      <w:r w:rsidRPr="007C7EEE">
        <w:t xml:space="preserve">Towards </w:t>
      </w:r>
      <w:r w:rsidR="005B2CFA" w:rsidRPr="007C7EEE">
        <w:t xml:space="preserve">A New Toll Calculation </w:t>
      </w:r>
      <w:r w:rsidR="002E5530" w:rsidRPr="007C7EEE">
        <w:t>Method For Transiting The Suez Canal - Bulk Carriers</w:t>
      </w:r>
    </w:p>
    <w:p w:rsidR="00B05D6E" w:rsidRPr="007C7EEE" w:rsidRDefault="002E5530" w:rsidP="005B2CFA">
      <w:pPr>
        <w:pStyle w:val="Author"/>
      </w:pPr>
      <w:r w:rsidRPr="007C7EEE">
        <w:t>Maged ABDEL NABY</w:t>
      </w:r>
      <w:r w:rsidR="00B05D6E" w:rsidRPr="007C7EEE">
        <w:rPr>
          <w:vertAlign w:val="superscript"/>
        </w:rPr>
        <w:t>a,</w:t>
      </w:r>
      <w:r w:rsidR="00B05D6E" w:rsidRPr="007C7EEE">
        <w:rPr>
          <w:rStyle w:val="FootnoteReference"/>
        </w:rPr>
        <w:footnoteReference w:id="2"/>
      </w:r>
      <w:r w:rsidR="00B05D6E" w:rsidRPr="007C7EEE">
        <w:t xml:space="preserve"> and </w:t>
      </w:r>
      <w:r w:rsidRPr="007C7EEE">
        <w:t>Mayar ALI</w:t>
      </w:r>
      <w:r w:rsidR="00B05D6E" w:rsidRPr="007C7EEE">
        <w:rPr>
          <w:sz w:val="8"/>
          <w:szCs w:val="8"/>
        </w:rPr>
        <w:t xml:space="preserve"> </w:t>
      </w:r>
      <w:r w:rsidR="00B05D6E" w:rsidRPr="007C7EEE">
        <w:rPr>
          <w:vertAlign w:val="superscript"/>
        </w:rPr>
        <w:t>b</w:t>
      </w:r>
    </w:p>
    <w:p w:rsidR="00B05D6E" w:rsidRPr="007C7EEE" w:rsidRDefault="00B05D6E" w:rsidP="002E5530">
      <w:pPr>
        <w:pStyle w:val="Affiliation"/>
      </w:pPr>
      <w:r w:rsidRPr="007C7EEE">
        <w:rPr>
          <w:i w:val="0"/>
          <w:vertAlign w:val="superscript"/>
        </w:rPr>
        <w:t>a</w:t>
      </w:r>
      <w:r w:rsidRPr="007C7EEE">
        <w:rPr>
          <w:sz w:val="8"/>
          <w:szCs w:val="8"/>
        </w:rPr>
        <w:t xml:space="preserve"> </w:t>
      </w:r>
      <w:r w:rsidR="002E5530" w:rsidRPr="007C7EEE">
        <w:t>Department of Naval Architecture and Marine Engineering, Alexandria University</w:t>
      </w:r>
    </w:p>
    <w:p w:rsidR="00B05D6E" w:rsidRPr="007C7EEE" w:rsidRDefault="00B05D6E" w:rsidP="002E5530">
      <w:pPr>
        <w:pStyle w:val="Affiliation"/>
      </w:pPr>
      <w:r w:rsidRPr="007C7EEE">
        <w:rPr>
          <w:i w:val="0"/>
          <w:vertAlign w:val="superscript"/>
        </w:rPr>
        <w:t>b</w:t>
      </w:r>
      <w:r w:rsidRPr="007C7EEE">
        <w:rPr>
          <w:sz w:val="8"/>
          <w:szCs w:val="8"/>
        </w:rPr>
        <w:t xml:space="preserve"> </w:t>
      </w:r>
      <w:r w:rsidR="002E5530" w:rsidRPr="007C7EEE">
        <w:t>Alexandria Shipyard</w:t>
      </w:r>
    </w:p>
    <w:p w:rsidR="00B05D6E" w:rsidRPr="007C7EEE" w:rsidRDefault="00B05D6E" w:rsidP="00CF7D5E">
      <w:pPr>
        <w:pStyle w:val="Abstract"/>
      </w:pPr>
      <w:r w:rsidRPr="007C7EEE">
        <w:rPr>
          <w:b/>
        </w:rPr>
        <w:t>Abstract.</w:t>
      </w:r>
      <w:r w:rsidR="009C5418" w:rsidRPr="007C7EEE">
        <w:t xml:space="preserve"> </w:t>
      </w:r>
      <w:r w:rsidR="007B6A57" w:rsidRPr="007C7EEE">
        <w:t>The Suez Canal</w:t>
      </w:r>
      <w:r w:rsidR="009C5418" w:rsidRPr="007C7EEE">
        <w:t xml:space="preserve"> is an artificial sea-level waterway connecting the Mediterranean Sea and the Red Sea through Egypt. Tolls paid by the vessels</w:t>
      </w:r>
      <w:r w:rsidR="00861759" w:rsidRPr="007C7EEE">
        <w:t xml:space="preserve"> passing through the C</w:t>
      </w:r>
      <w:r w:rsidR="00A23720" w:rsidRPr="007C7EEE">
        <w:t>anal</w:t>
      </w:r>
      <w:r w:rsidR="009C5418" w:rsidRPr="007C7EEE">
        <w:t xml:space="preserve"> represent an important source of income for the Egyptian Economy. The current philosophy of SC tolls is based on </w:t>
      </w:r>
      <w:r w:rsidR="00FA499F">
        <w:t xml:space="preserve">calculating the tolls as a percent of </w:t>
      </w:r>
      <w:r w:rsidR="00861759" w:rsidRPr="007C7EEE">
        <w:t>the vessels' Suez Canal N</w:t>
      </w:r>
      <w:r w:rsidR="008F70AD" w:rsidRPr="007C7EEE">
        <w:t>et Tonnage</w:t>
      </w:r>
      <w:r w:rsidR="009C5418" w:rsidRPr="007C7EEE">
        <w:t xml:space="preserve">. The current research </w:t>
      </w:r>
      <w:r w:rsidR="00CF7D5E" w:rsidRPr="007C7EEE">
        <w:t>recommends</w:t>
      </w:r>
      <w:r w:rsidR="00744F20" w:rsidRPr="007C7EEE">
        <w:t xml:space="preserve"> making</w:t>
      </w:r>
      <w:r w:rsidR="009C5418" w:rsidRPr="007C7EEE">
        <w:t xml:space="preserve"> use of the recent international regulations enforced, particularly the Energy Effi</w:t>
      </w:r>
      <w:r w:rsidR="00492224" w:rsidRPr="007C7EEE">
        <w:t>ciency Design Index (EEDI), and</w:t>
      </w:r>
      <w:r w:rsidR="009C5418" w:rsidRPr="007C7EEE">
        <w:t xml:space="preserve"> the timely published international indices for the charter rates and bunker prices for calculating the SC tolls on a case by case basis</w:t>
      </w:r>
      <w:r w:rsidR="00363A6F" w:rsidRPr="007C7EEE">
        <w:t xml:space="preserve"> to respond to the market fluctuations, maximize SC income, and increase potential customers</w:t>
      </w:r>
      <w:r w:rsidR="009C5418" w:rsidRPr="007C7EEE">
        <w:t>. Bulk Carriers</w:t>
      </w:r>
      <w:r w:rsidR="002C3816" w:rsidRPr="007C7EEE">
        <w:t xml:space="preserve"> are taken as a case study </w:t>
      </w:r>
      <w:r w:rsidR="00F17B4E" w:rsidRPr="007C7EEE">
        <w:t>to compare between the enforced tolls philosophy and the savings</w:t>
      </w:r>
      <w:r w:rsidR="00621EC3" w:rsidRPr="007C7EEE">
        <w:t xml:space="preserve"> calculated using the suggested method, and to study the relevant importance and sensitivity of the parameters used in the calculations in order to reach a base</w:t>
      </w:r>
      <w:r w:rsidR="00744F20" w:rsidRPr="007C7EEE">
        <w:t xml:space="preserve"> for developing a new toll policy</w:t>
      </w:r>
      <w:r w:rsidR="00F17B4E" w:rsidRPr="007C7EEE">
        <w:t>.</w:t>
      </w:r>
    </w:p>
    <w:p w:rsidR="00B05D6E" w:rsidRPr="007C7EEE" w:rsidRDefault="00B05D6E" w:rsidP="009C5418">
      <w:pPr>
        <w:pStyle w:val="Keywords"/>
      </w:pPr>
      <w:r w:rsidRPr="007C7EEE">
        <w:rPr>
          <w:b/>
        </w:rPr>
        <w:t>Keywords.</w:t>
      </w:r>
      <w:r w:rsidRPr="007C7EEE">
        <w:t xml:space="preserve"> </w:t>
      </w:r>
      <w:r w:rsidR="009C5418" w:rsidRPr="007C7EEE">
        <w:t>Suez Canal, EEDI, Bunker, Baltic Index, Time Charter</w:t>
      </w:r>
    </w:p>
    <w:p w:rsidR="00B05D6E" w:rsidRPr="007C7EEE" w:rsidRDefault="00B05D6E" w:rsidP="00F07FC3">
      <w:pPr>
        <w:pStyle w:val="Heading1"/>
      </w:pPr>
      <w:r w:rsidRPr="007C7EEE">
        <w:t>Introduction</w:t>
      </w:r>
    </w:p>
    <w:p w:rsidR="00B05D6E" w:rsidRPr="007C7EEE" w:rsidRDefault="00501D6E" w:rsidP="003038D7">
      <w:pPr>
        <w:pStyle w:val="NoindentNormal"/>
      </w:pPr>
      <w:r w:rsidRPr="007C7EEE">
        <w:t>The current philosophy of S</w:t>
      </w:r>
      <w:r w:rsidR="00C80687" w:rsidRPr="007C7EEE">
        <w:t xml:space="preserve">uez </w:t>
      </w:r>
      <w:r w:rsidRPr="007C7EEE">
        <w:t>C</w:t>
      </w:r>
      <w:r w:rsidR="00C80687" w:rsidRPr="007C7EEE">
        <w:t>anal (SC)</w:t>
      </w:r>
      <w:r w:rsidRPr="007C7EEE">
        <w:t xml:space="preserve"> tolls is based on considering in general the  earning capacity of the transiting vessel </w:t>
      </w:r>
      <w:r w:rsidR="003038D7" w:rsidRPr="007C7EEE">
        <w:t>according to her type, calculating</w:t>
      </w:r>
      <w:r w:rsidRPr="007C7EEE">
        <w:t xml:space="preserve"> the ships</w:t>
      </w:r>
      <w:r w:rsidR="00861759" w:rsidRPr="007C7EEE">
        <w:t>'</w:t>
      </w:r>
      <w:r w:rsidR="003038D7" w:rsidRPr="007C7EEE">
        <w:t xml:space="preserve"> savings</w:t>
      </w:r>
      <w:r w:rsidRPr="007C7EEE">
        <w:t xml:space="preserve"> through the SC route </w:t>
      </w:r>
      <w:r w:rsidR="003038D7" w:rsidRPr="007C7EEE">
        <w:t>compared to</w:t>
      </w:r>
      <w:r w:rsidRPr="007C7EEE">
        <w:t xml:space="preserve"> other alternative routes, and sharing part of the saving achieved by transiting vessel. </w:t>
      </w:r>
      <w:r w:rsidR="004F554F" w:rsidRPr="007C7EEE">
        <w:t>However</w:t>
      </w:r>
      <w:r w:rsidR="00861759" w:rsidRPr="007C7EEE">
        <w:t>,</w:t>
      </w:r>
      <w:r w:rsidR="004F554F" w:rsidRPr="007C7EEE">
        <w:t xml:space="preserve"> the toll basis is decided at the beginning of each year as a percent</w:t>
      </w:r>
      <w:r w:rsidR="001A6E5C" w:rsidRPr="007C7EEE">
        <w:t>age</w:t>
      </w:r>
      <w:r w:rsidR="004F554F" w:rsidRPr="007C7EEE">
        <w:t xml:space="preserve"> of th</w:t>
      </w:r>
      <w:r w:rsidR="00AE2D72" w:rsidRPr="007C7EEE">
        <w:t>e Suez Canal Net</w:t>
      </w:r>
      <w:r w:rsidR="004F554F" w:rsidRPr="007C7EEE">
        <w:t xml:space="preserve"> (SCNT</w:t>
      </w:r>
      <w:r w:rsidR="00AE2D72" w:rsidRPr="007C7EEE">
        <w:t>) based on the vessels' loading condition</w:t>
      </w:r>
      <w:r w:rsidR="00861759" w:rsidRPr="007C7EEE">
        <w:t>,</w:t>
      </w:r>
      <w:r w:rsidR="004F554F" w:rsidRPr="007C7EEE">
        <w:t xml:space="preserve"> and consequently cannot respond to the real savings of the vessels on different route</w:t>
      </w:r>
      <w:r w:rsidR="00861759" w:rsidRPr="007C7EEE">
        <w:t>s</w:t>
      </w:r>
      <w:r w:rsidR="004F554F" w:rsidRPr="007C7EEE">
        <w:t xml:space="preserve"> or to the fluctuat</w:t>
      </w:r>
      <w:r w:rsidR="00861759" w:rsidRPr="007C7EEE">
        <w:t>ing market conditions</w:t>
      </w:r>
      <w:r w:rsidR="001A6E5C" w:rsidRPr="007C7EEE">
        <w:t>,</w:t>
      </w:r>
      <w:r w:rsidR="00861759" w:rsidRPr="007C7EEE">
        <w:t xml:space="preserve"> in regards to</w:t>
      </w:r>
      <w:r w:rsidR="004F554F" w:rsidRPr="007C7EEE">
        <w:t xml:space="preserve"> the bunker prices and charter rates.</w:t>
      </w:r>
      <w:r w:rsidRPr="007C7EEE">
        <w:t xml:space="preserve"> </w:t>
      </w:r>
    </w:p>
    <w:p w:rsidR="00624256" w:rsidRPr="007C7EEE" w:rsidRDefault="00501D6E" w:rsidP="006A4ECF">
      <w:r w:rsidRPr="007C7EEE">
        <w:t>The current research makes use of the current boost in the information technology and the timely published international scales and indices</w:t>
      </w:r>
      <w:r w:rsidR="00861759" w:rsidRPr="007C7EEE">
        <w:t xml:space="preserve"> in addi</w:t>
      </w:r>
      <w:r w:rsidR="007B6A57" w:rsidRPr="007C7EEE">
        <w:t>tion to the mandatory enforced E</w:t>
      </w:r>
      <w:r w:rsidR="00AE2D72" w:rsidRPr="007C7EEE">
        <w:t>nergy Efficiency D</w:t>
      </w:r>
      <w:r w:rsidR="00861759" w:rsidRPr="007C7EEE">
        <w:t>esign Index (EEDI)</w:t>
      </w:r>
      <w:r w:rsidRPr="007C7EEE">
        <w:t xml:space="preserve"> for calculating the </w:t>
      </w:r>
      <w:r w:rsidR="00363A6F" w:rsidRPr="007C7EEE">
        <w:t>ship's savings due to passing via SC</w:t>
      </w:r>
      <w:r w:rsidRPr="007C7EEE">
        <w:t xml:space="preserve"> to sugges</w:t>
      </w:r>
      <w:r w:rsidR="004F554F" w:rsidRPr="007C7EEE">
        <w:t xml:space="preserve">t a new toll calculation method, which guarantees prompt response </w:t>
      </w:r>
      <w:r w:rsidRPr="007C7EEE">
        <w:t xml:space="preserve">to the </w:t>
      </w:r>
      <w:r w:rsidR="006A4ECF" w:rsidRPr="007C7EEE">
        <w:t>ever-changing</w:t>
      </w:r>
      <w:r w:rsidRPr="007C7EEE">
        <w:t xml:space="preserve"> maritime transport sector</w:t>
      </w:r>
      <w:r w:rsidR="004F554F" w:rsidRPr="007C7EEE">
        <w:t xml:space="preserve">. </w:t>
      </w:r>
    </w:p>
    <w:p w:rsidR="00501D6E" w:rsidRPr="007C7EEE" w:rsidRDefault="00501D6E" w:rsidP="00790E60">
      <w:r w:rsidRPr="007C7EEE">
        <w:lastRenderedPageBreak/>
        <w:t>The method  focuses on calculating the transit tolls on a cas</w:t>
      </w:r>
      <w:r w:rsidR="00861759" w:rsidRPr="007C7EEE">
        <w:t>e by case basis for each vessel, and</w:t>
      </w:r>
      <w:r w:rsidR="007C1D70" w:rsidRPr="007C7EEE">
        <w:t xml:space="preserve"> expected to guarantee tha</w:t>
      </w:r>
      <w:r w:rsidR="00111FEE" w:rsidRPr="007C7EEE">
        <w:t>t the tolls paid do not exceed</w:t>
      </w:r>
      <w:r w:rsidR="007C1D70" w:rsidRPr="007C7EEE">
        <w:t xml:space="preserve"> the savings </w:t>
      </w:r>
      <w:r w:rsidR="00790E60" w:rsidRPr="007C7EEE">
        <w:t xml:space="preserve">nor are </w:t>
      </w:r>
      <w:r w:rsidR="008F70AD" w:rsidRPr="007C7EEE">
        <w:t xml:space="preserve">under estimated. </w:t>
      </w:r>
      <w:r w:rsidR="00185286" w:rsidRPr="007C7EEE">
        <w:t>Furthermore, it</w:t>
      </w:r>
      <w:r w:rsidR="00624256" w:rsidRPr="007C7EEE">
        <w:t xml:space="preserve"> will </w:t>
      </w:r>
      <w:r w:rsidR="001A6E5C" w:rsidRPr="007C7EEE">
        <w:t>consider</w:t>
      </w:r>
      <w:r w:rsidR="00624256" w:rsidRPr="007C7EEE">
        <w:t xml:space="preserve"> the interests of both</w:t>
      </w:r>
      <w:r w:rsidR="00861759" w:rsidRPr="007C7EEE">
        <w:t xml:space="preserve"> Suez Canal Authority (</w:t>
      </w:r>
      <w:r w:rsidR="00624256" w:rsidRPr="007C7EEE">
        <w:t>SCA</w:t>
      </w:r>
      <w:r w:rsidR="00861759" w:rsidRPr="007C7EEE">
        <w:t>)</w:t>
      </w:r>
      <w:r w:rsidR="00624256" w:rsidRPr="007C7EEE">
        <w:t xml:space="preserve"> and the ship owners</w:t>
      </w:r>
      <w:r w:rsidR="00790E60" w:rsidRPr="007C7EEE">
        <w:t>, and guarantees</w:t>
      </w:r>
      <w:r w:rsidR="00624256" w:rsidRPr="007C7EEE">
        <w:t xml:space="preserve"> a balanced win - win situation.</w:t>
      </w:r>
    </w:p>
    <w:p w:rsidR="004F554F" w:rsidRPr="007C7EEE" w:rsidRDefault="004F554F" w:rsidP="004F554F">
      <w:r w:rsidRPr="007C7EEE">
        <w:t>The characteristics of each vessel</w:t>
      </w:r>
      <w:r w:rsidR="00456A83" w:rsidRPr="007C7EEE">
        <w:t>;</w:t>
      </w:r>
      <w:r w:rsidRPr="007C7EEE">
        <w:t xml:space="preserve"> including speed and fuel consumption</w:t>
      </w:r>
      <w:r w:rsidR="006A4ECF" w:rsidRPr="007C7EEE">
        <w:t>,</w:t>
      </w:r>
      <w:r w:rsidR="0096394F" w:rsidRPr="007C7EEE">
        <w:t xml:space="preserve"> in addition to the time</w:t>
      </w:r>
      <w:r w:rsidRPr="007C7EEE">
        <w:t xml:space="preserve"> charter rates</w:t>
      </w:r>
      <w:r w:rsidR="00456A83" w:rsidRPr="007C7EEE">
        <w:t>,</w:t>
      </w:r>
      <w:r w:rsidRPr="007C7EEE">
        <w:t xml:space="preserve"> are incorporated with the reduction in distance</w:t>
      </w:r>
      <w:r w:rsidR="00624256" w:rsidRPr="007C7EEE">
        <w:t xml:space="preserve"> when using SC,</w:t>
      </w:r>
      <w:r w:rsidRPr="007C7EEE">
        <w:t xml:space="preserve"> to calculate</w:t>
      </w:r>
      <w:r w:rsidR="008F70AD" w:rsidRPr="007C7EEE">
        <w:t xml:space="preserve"> the total savings</w:t>
      </w:r>
      <w:r w:rsidRPr="007C7EEE">
        <w:t>.</w:t>
      </w:r>
    </w:p>
    <w:p w:rsidR="00501D6E" w:rsidRPr="007C7EEE" w:rsidRDefault="00501D6E" w:rsidP="008F70AD">
      <w:r w:rsidRPr="007C7EEE">
        <w:t>Bulk Carriers are taken as a case study to calculate the saving</w:t>
      </w:r>
      <w:r w:rsidR="00363A6F" w:rsidRPr="007C7EEE">
        <w:t xml:space="preserve">s and compare them to the tolls </w:t>
      </w:r>
      <w:r w:rsidRPr="007C7EEE">
        <w:t>enforced by the SC</w:t>
      </w:r>
      <w:r w:rsidR="007B6A57" w:rsidRPr="007C7EEE">
        <w:t>A</w:t>
      </w:r>
      <w:r w:rsidRPr="007C7EEE">
        <w:t>. The study includes historical and recent data for the savings and the tolls already collected</w:t>
      </w:r>
      <w:r w:rsidR="00624256" w:rsidRPr="007C7EEE">
        <w:t>. The savings are</w:t>
      </w:r>
      <w:r w:rsidR="007C1D70" w:rsidRPr="007C7EEE">
        <w:t xml:space="preserve"> compare</w:t>
      </w:r>
      <w:r w:rsidR="00624256" w:rsidRPr="007C7EEE">
        <w:t>d to</w:t>
      </w:r>
      <w:r w:rsidR="007C1D70" w:rsidRPr="007C7EEE">
        <w:t xml:space="preserve"> the SC tolls</w:t>
      </w:r>
      <w:r w:rsidR="00624256" w:rsidRPr="007C7EEE">
        <w:t xml:space="preserve"> to evaluate if the tolls are over or under estimated,</w:t>
      </w:r>
      <w:r w:rsidR="0039609F" w:rsidRPr="007C7EEE">
        <w:t xml:space="preserve"> </w:t>
      </w:r>
      <w:r w:rsidR="00456A83" w:rsidRPr="007C7EEE">
        <w:t>demonstrate</w:t>
      </w:r>
      <w:r w:rsidR="00624256" w:rsidRPr="007C7EEE">
        <w:t xml:space="preserve"> if there is a necessity for a new toll method</w:t>
      </w:r>
      <w:r w:rsidR="0039609F" w:rsidRPr="007C7EEE">
        <w:t>, and determine the governing parameters and their relevant references</w:t>
      </w:r>
      <w:r w:rsidR="007C1D70" w:rsidRPr="007C7EEE">
        <w:t xml:space="preserve">. </w:t>
      </w:r>
    </w:p>
    <w:p w:rsidR="00B05D6E" w:rsidRPr="007C7EEE" w:rsidRDefault="00F17B4E">
      <w:pPr>
        <w:pStyle w:val="Heading1"/>
        <w:rPr>
          <w:szCs w:val="20"/>
          <w:lang w:eastAsia="en-US"/>
        </w:rPr>
      </w:pPr>
      <w:r w:rsidRPr="007C7EEE">
        <w:rPr>
          <w:lang w:eastAsia="en-US"/>
        </w:rPr>
        <w:t>The Suez Canal</w:t>
      </w:r>
    </w:p>
    <w:p w:rsidR="002C25FB" w:rsidRPr="007C7EEE" w:rsidRDefault="00173315" w:rsidP="00456A83">
      <w:pPr>
        <w:pStyle w:val="NoindentNormal"/>
      </w:pPr>
      <w:r w:rsidRPr="007C7EEE">
        <w:t>SC</w:t>
      </w:r>
      <w:r w:rsidR="002C25FB" w:rsidRPr="007C7EEE">
        <w:t xml:space="preserve"> is considered to be</w:t>
      </w:r>
      <w:r w:rsidR="00456A83" w:rsidRPr="007C7EEE">
        <w:t xml:space="preserve"> the shortest link between the East and the W</w:t>
      </w:r>
      <w:r w:rsidR="002C25FB" w:rsidRPr="007C7EEE">
        <w:t xml:space="preserve">est due to </w:t>
      </w:r>
      <w:r w:rsidR="008F70AD" w:rsidRPr="007C7EEE">
        <w:t xml:space="preserve">its unique geographic location. </w:t>
      </w:r>
      <w:r w:rsidR="00F17B4E" w:rsidRPr="007C7EEE">
        <w:t>T</w:t>
      </w:r>
      <w:r w:rsidR="002C25FB" w:rsidRPr="007C7EEE">
        <w:t>he recent developments</w:t>
      </w:r>
      <w:r w:rsidR="00456A83" w:rsidRPr="007C7EEE">
        <w:t xml:space="preserve"> which were</w:t>
      </w:r>
      <w:r w:rsidR="00525A46" w:rsidRPr="007C7EEE">
        <w:t xml:space="preserve"> finalized in August</w:t>
      </w:r>
      <w:r w:rsidR="00456A83" w:rsidRPr="007C7EEE">
        <w:t>,</w:t>
      </w:r>
      <w:r w:rsidR="00525A46" w:rsidRPr="007C7EEE">
        <w:t xml:space="preserve"> 2015</w:t>
      </w:r>
      <w:r w:rsidR="002C25FB" w:rsidRPr="007C7EEE">
        <w:t xml:space="preserve"> yielded a reduction in the transit time to reach 11 hours instead of 18 hours, and the waiting time is reduced from 11 hours to 3 hours.</w:t>
      </w:r>
      <w:r w:rsidR="006D3EFF" w:rsidRPr="007C7EEE">
        <w:t xml:space="preserve"> </w:t>
      </w:r>
      <w:r w:rsidR="00456A83" w:rsidRPr="007C7EEE">
        <w:t xml:space="preserve">The current condition of SC </w:t>
      </w:r>
      <w:r w:rsidR="002C25FB" w:rsidRPr="007C7EEE">
        <w:t>accommodate</w:t>
      </w:r>
      <w:r w:rsidR="00456A83" w:rsidRPr="007C7EEE">
        <w:t>s</w:t>
      </w:r>
      <w:r w:rsidR="002C25FB" w:rsidRPr="007C7EEE">
        <w:t xml:space="preserve"> 61.2 % of the</w:t>
      </w:r>
      <w:r w:rsidR="00456A83" w:rsidRPr="007C7EEE">
        <w:t xml:space="preserve"> W</w:t>
      </w:r>
      <w:r w:rsidR="002C25FB" w:rsidRPr="007C7EEE">
        <w:t xml:space="preserve">orld </w:t>
      </w:r>
      <w:r w:rsidRPr="007C7EEE">
        <w:t>T</w:t>
      </w:r>
      <w:r w:rsidR="002C25FB" w:rsidRPr="007C7EEE">
        <w:t>anker fleet, 92.7 % </w:t>
      </w:r>
      <w:r w:rsidRPr="007C7EEE">
        <w:t>of the Bulk C</w:t>
      </w:r>
      <w:r w:rsidR="002C25FB" w:rsidRPr="007C7EEE">
        <w:t>arrier fleet, and 100 % of the Container and other ships</w:t>
      </w:r>
      <w:r w:rsidR="006D3EFF" w:rsidRPr="007C7EEE">
        <w:t xml:space="preserve"> [1]</w:t>
      </w:r>
      <w:r w:rsidR="00B05D6E" w:rsidRPr="007C7EEE">
        <w:t>.</w:t>
      </w:r>
      <w:r w:rsidR="006D3EFF" w:rsidRPr="007C7EEE">
        <w:t xml:space="preserve"> </w:t>
      </w:r>
    </w:p>
    <w:p w:rsidR="00FD2146" w:rsidRPr="007C7EEE" w:rsidRDefault="006D3EFF" w:rsidP="00456A83">
      <w:r w:rsidRPr="007C7EEE">
        <w:t>During 2017, 17</w:t>
      </w:r>
      <w:r w:rsidR="00456A83" w:rsidRPr="007C7EEE">
        <w:t>,</w:t>
      </w:r>
      <w:r w:rsidRPr="007C7EEE">
        <w:t>550 vessels passed via SC with a total deadwe</w:t>
      </w:r>
      <w:r w:rsidR="001F4EF4" w:rsidRPr="007C7EEE">
        <w:t>ight of about 1 billion ton</w:t>
      </w:r>
      <w:r w:rsidR="00456A83" w:rsidRPr="007C7EEE">
        <w:t>s.</w:t>
      </w:r>
      <w:r w:rsidR="0089321E" w:rsidRPr="007C7EEE">
        <w:t xml:space="preserve"> </w:t>
      </w:r>
      <w:r w:rsidR="00790E60" w:rsidRPr="007C7EEE">
        <w:t>I</w:t>
      </w:r>
      <w:r w:rsidR="0089321E" w:rsidRPr="007C7EEE">
        <w:t>n 2016</w:t>
      </w:r>
      <w:r w:rsidR="007830BA" w:rsidRPr="007C7EEE">
        <w:t>,</w:t>
      </w:r>
      <w:r w:rsidR="0089321E" w:rsidRPr="007C7EEE">
        <w:t xml:space="preserve"> 16</w:t>
      </w:r>
      <w:r w:rsidR="001A6E5C" w:rsidRPr="007C7EEE">
        <w:t>,</w:t>
      </w:r>
      <w:r w:rsidR="0089321E" w:rsidRPr="007C7EEE">
        <w:t xml:space="preserve">833 </w:t>
      </w:r>
      <w:r w:rsidR="00173315" w:rsidRPr="007C7EEE">
        <w:t xml:space="preserve">vessels </w:t>
      </w:r>
      <w:r w:rsidR="0089321E" w:rsidRPr="007C7EEE">
        <w:t>passed via the canal with a total deadweight of about 0.97 billion ton</w:t>
      </w:r>
      <w:r w:rsidR="00456A83" w:rsidRPr="007C7EEE">
        <w:t>s</w:t>
      </w:r>
      <w:r w:rsidR="008F70AD" w:rsidRPr="007C7EEE">
        <w:t xml:space="preserve"> </w:t>
      </w:r>
      <w:r w:rsidR="00456A83" w:rsidRPr="007C7EEE">
        <w:t>[1</w:t>
      </w:r>
      <w:r w:rsidR="0089321E" w:rsidRPr="007C7EEE">
        <w:t>]</w:t>
      </w:r>
      <w:r w:rsidRPr="007C7EEE">
        <w:t>.</w:t>
      </w:r>
      <w:r w:rsidR="0089321E" w:rsidRPr="007C7EEE">
        <w:t xml:space="preserve"> It </w:t>
      </w:r>
      <w:r w:rsidR="00456A83" w:rsidRPr="007C7EEE">
        <w:t>is also worth saying that the W</w:t>
      </w:r>
      <w:r w:rsidR="0089321E" w:rsidRPr="007C7EEE">
        <w:t>orld</w:t>
      </w:r>
      <w:r w:rsidR="00456A83" w:rsidRPr="007C7EEE">
        <w:t>'s</w:t>
      </w:r>
      <w:r w:rsidR="0089321E" w:rsidRPr="007C7EEE">
        <w:t xml:space="preserve"> seaborne trade total volume reac</w:t>
      </w:r>
      <w:r w:rsidR="00456A83" w:rsidRPr="007C7EEE">
        <w:t>hed 10.3 billion tons</w:t>
      </w:r>
      <w:r w:rsidR="001A6E5C" w:rsidRPr="007C7EEE">
        <w:t xml:space="preserve"> </w:t>
      </w:r>
      <w:r w:rsidR="00456A83" w:rsidRPr="007C7EEE">
        <w:t>in 2016 [2</w:t>
      </w:r>
      <w:r w:rsidR="0089321E" w:rsidRPr="007C7EEE">
        <w:t>], whi</w:t>
      </w:r>
      <w:r w:rsidR="00456A83" w:rsidRPr="007C7EEE">
        <w:t>ch means that about 10% of the W</w:t>
      </w:r>
      <w:r w:rsidR="0089321E" w:rsidRPr="007C7EEE">
        <w:t>orld</w:t>
      </w:r>
      <w:r w:rsidR="00456A83" w:rsidRPr="007C7EEE">
        <w:t>'s</w:t>
      </w:r>
      <w:r w:rsidR="0089321E" w:rsidRPr="007C7EEE">
        <w:t xml:space="preserve"> trade passes via SC. In 2017</w:t>
      </w:r>
      <w:r w:rsidR="001F4EF4" w:rsidRPr="007C7EEE">
        <w:t>,</w:t>
      </w:r>
      <w:r w:rsidR="0089321E" w:rsidRPr="007C7EEE">
        <w:t xml:space="preserve"> SC revenues reached 5.4 billion USD compared to 5 billion USD in 2016</w:t>
      </w:r>
      <w:r w:rsidR="00456A83" w:rsidRPr="007C7EEE">
        <w:t xml:space="preserve"> [3</w:t>
      </w:r>
      <w:r w:rsidR="0021468C" w:rsidRPr="007C7EEE">
        <w:t>]</w:t>
      </w:r>
      <w:r w:rsidR="0089321E" w:rsidRPr="007C7EEE">
        <w:t>.</w:t>
      </w:r>
    </w:p>
    <w:p w:rsidR="001F4EF4" w:rsidRPr="007C7EEE" w:rsidRDefault="006228F8" w:rsidP="00AD7CB2">
      <w:r w:rsidRPr="007C7EEE">
        <w:t xml:space="preserve">The above mentioned facts manifests the importance of SC to both, the seaborne trade and the Egyptian Economy. Tolls paid by the vessels transiting the SC represent an important source of income for the Egyptian government. </w:t>
      </w:r>
    </w:p>
    <w:p w:rsidR="00501D6E" w:rsidRPr="007C7EEE" w:rsidRDefault="001F4EF4" w:rsidP="00456A83">
      <w:r w:rsidRPr="007C7EEE">
        <w:t>A quick calculator for the tolls is provided on the SC website which</w:t>
      </w:r>
      <w:r w:rsidR="00173315" w:rsidRPr="007C7EEE">
        <w:t xml:space="preserve"> calculates the tolls based on </w:t>
      </w:r>
      <w:r w:rsidR="00A51291" w:rsidRPr="007C7EEE">
        <w:t xml:space="preserve">SCNT, </w:t>
      </w:r>
      <w:r w:rsidR="00173315" w:rsidRPr="007C7EEE">
        <w:t>S</w:t>
      </w:r>
      <w:r w:rsidR="00F055F6" w:rsidRPr="007C7EEE">
        <w:t xml:space="preserve">uez </w:t>
      </w:r>
      <w:r w:rsidR="00173315" w:rsidRPr="007C7EEE">
        <w:t>C</w:t>
      </w:r>
      <w:r w:rsidR="00F055F6" w:rsidRPr="007C7EEE">
        <w:t xml:space="preserve">anal </w:t>
      </w:r>
      <w:r w:rsidR="00173315" w:rsidRPr="007C7EEE">
        <w:t>G</w:t>
      </w:r>
      <w:r w:rsidR="00F055F6" w:rsidRPr="007C7EEE">
        <w:t xml:space="preserve">ross </w:t>
      </w:r>
      <w:r w:rsidR="00173315" w:rsidRPr="007C7EEE">
        <w:t>T</w:t>
      </w:r>
      <w:r w:rsidR="00F055F6" w:rsidRPr="007C7EEE">
        <w:t>onnage (SCGT)</w:t>
      </w:r>
      <w:r w:rsidRPr="007C7EEE">
        <w:t xml:space="preserve">, </w:t>
      </w:r>
      <w:r w:rsidR="00456A83" w:rsidRPr="007C7EEE">
        <w:t xml:space="preserve">the </w:t>
      </w:r>
      <w:r w:rsidR="003C2B5B" w:rsidRPr="007C7EEE">
        <w:t>type and</w:t>
      </w:r>
      <w:r w:rsidRPr="007C7EEE">
        <w:t xml:space="preserve"> dimensions</w:t>
      </w:r>
      <w:r w:rsidR="00456A83" w:rsidRPr="007C7EEE">
        <w:t xml:space="preserve"> of the vessel</w:t>
      </w:r>
      <w:r w:rsidRPr="007C7EEE">
        <w:t>, and loading condition</w:t>
      </w:r>
      <w:r w:rsidR="00A51291" w:rsidRPr="007C7EEE">
        <w:t>. The tolls are calculated in Special Drawing Rights (SDR) basket [1]. The currency value of the SDR is determined by the International Monetary Fund (IMF) through summing the values in USD, based on market exchange rates, of a basket of currencies (USD, Euro, the Chinese Renminbi, Japanes</w:t>
      </w:r>
      <w:r w:rsidR="00456A83" w:rsidRPr="007C7EEE">
        <w:t>e Yen</w:t>
      </w:r>
      <w:r w:rsidR="00A51291" w:rsidRPr="007C7EEE">
        <w:t xml:space="preserve"> and British Pound</w:t>
      </w:r>
      <w:r w:rsidR="00173315" w:rsidRPr="007C7EEE">
        <w:t xml:space="preserve">) </w:t>
      </w:r>
      <w:r w:rsidR="00456A83" w:rsidRPr="007C7EEE">
        <w:t>[4</w:t>
      </w:r>
      <w:r w:rsidRPr="007C7EEE">
        <w:t>].</w:t>
      </w:r>
      <w:r w:rsidR="003C2B5B" w:rsidRPr="007C7EEE">
        <w:t xml:space="preserve"> The toll basis is decided at the beginning of each year and can be change</w:t>
      </w:r>
      <w:r w:rsidR="00456A83" w:rsidRPr="007C7EEE">
        <w:t>d or extended to successive years</w:t>
      </w:r>
      <w:r w:rsidR="003C2B5B" w:rsidRPr="007C7EEE">
        <w:t>.</w:t>
      </w:r>
    </w:p>
    <w:p w:rsidR="00C80687" w:rsidRPr="007C7EEE" w:rsidRDefault="00A51291" w:rsidP="00796D87">
      <w:r w:rsidRPr="007C7EEE">
        <w:t>However</w:t>
      </w:r>
      <w:r w:rsidR="003C2B5B" w:rsidRPr="007C7EEE">
        <w:t>,</w:t>
      </w:r>
      <w:r w:rsidRPr="007C7EEE">
        <w:t xml:space="preserve"> the </w:t>
      </w:r>
      <w:r w:rsidR="001A6E5C" w:rsidRPr="007C7EEE">
        <w:t xml:space="preserve">method in which </w:t>
      </w:r>
      <w:r w:rsidRPr="007C7EEE">
        <w:t xml:space="preserve"> SC tolls are actually calculated can not reflect the </w:t>
      </w:r>
      <w:r w:rsidR="00AD7CB2" w:rsidRPr="007C7EEE">
        <w:t xml:space="preserve">SCA </w:t>
      </w:r>
      <w:r w:rsidRPr="007C7EEE">
        <w:t>philosophy</w:t>
      </w:r>
      <w:r w:rsidR="00AD7CB2" w:rsidRPr="007C7EEE">
        <w:t xml:space="preserve"> of sharing</w:t>
      </w:r>
      <w:r w:rsidR="00AD18BB" w:rsidRPr="007C7EEE">
        <w:t xml:space="preserve"> part of the vessel</w:t>
      </w:r>
      <w:r w:rsidR="00456A83" w:rsidRPr="007C7EEE">
        <w:t>'s</w:t>
      </w:r>
      <w:r w:rsidR="00AD18BB" w:rsidRPr="007C7EEE">
        <w:t xml:space="preserve"> </w:t>
      </w:r>
      <w:r w:rsidR="00011997" w:rsidRPr="007C7EEE">
        <w:t>savings</w:t>
      </w:r>
      <w:r w:rsidRPr="007C7EEE">
        <w:t>. The tolls are mainly based on the SCNT</w:t>
      </w:r>
      <w:r w:rsidR="00C70EA4" w:rsidRPr="007C7EEE">
        <w:t>;</w:t>
      </w:r>
      <w:r w:rsidRPr="007C7EEE">
        <w:t xml:space="preserve"> which means the same vessel will pay the same toll</w:t>
      </w:r>
      <w:r w:rsidR="00796D87" w:rsidRPr="007C7EEE">
        <w:t>s</w:t>
      </w:r>
      <w:r w:rsidRPr="007C7EEE">
        <w:t xml:space="preserve"> </w:t>
      </w:r>
      <w:r w:rsidR="00796D87" w:rsidRPr="007C7EEE">
        <w:t>disregarding</w:t>
      </w:r>
      <w:r w:rsidR="00C70EA4" w:rsidRPr="007C7EEE">
        <w:t xml:space="preserve"> her trip and the savings </w:t>
      </w:r>
      <w:r w:rsidRPr="007C7EEE">
        <w:t>earned</w:t>
      </w:r>
      <w:r w:rsidR="00C70EA4" w:rsidRPr="007C7EEE">
        <w:t xml:space="preserve"> by the vessel</w:t>
      </w:r>
      <w:r w:rsidRPr="007C7EEE">
        <w:t xml:space="preserve">. </w:t>
      </w:r>
      <w:r w:rsidR="003C2B5B" w:rsidRPr="007C7EEE">
        <w:t>Moreover, the current SC tolls is</w:t>
      </w:r>
      <w:r w:rsidR="00796D87" w:rsidRPr="007C7EEE">
        <w:t xml:space="preserve"> the same since 2014, despite of</w:t>
      </w:r>
      <w:r w:rsidR="003C2B5B" w:rsidRPr="007C7EEE">
        <w:t xml:space="preserve"> the fluctuations </w:t>
      </w:r>
      <w:r w:rsidR="006A4ECF" w:rsidRPr="007C7EEE">
        <w:t>in</w:t>
      </w:r>
      <w:r w:rsidR="003C2B5B" w:rsidRPr="007C7EEE">
        <w:t xml:space="preserve"> the maritime market concerning the char</w:t>
      </w:r>
      <w:r w:rsidR="002A55CA" w:rsidRPr="007C7EEE">
        <w:t>ter rates and the bunker prices.</w:t>
      </w:r>
      <w:r w:rsidR="0045344C" w:rsidRPr="007C7EEE">
        <w:t xml:space="preserve"> </w:t>
      </w:r>
    </w:p>
    <w:p w:rsidR="00F055F6" w:rsidRPr="007C7EEE" w:rsidRDefault="0010073D" w:rsidP="00F055F6">
      <w:r w:rsidRPr="007C7EEE">
        <w:t>SCA adopts flexible policies to rebate a percent</w:t>
      </w:r>
      <w:r w:rsidR="00C70EA4" w:rsidRPr="007C7EEE">
        <w:t>age</w:t>
      </w:r>
      <w:r w:rsidRPr="007C7EEE">
        <w:t xml:space="preserve"> of the tolls to</w:t>
      </w:r>
      <w:r w:rsidR="00C70EA4" w:rsidRPr="007C7EEE">
        <w:t xml:space="preserve"> certain</w:t>
      </w:r>
      <w:r w:rsidRPr="007C7EEE">
        <w:t xml:space="preserve"> vessels on particular routes in attempt to maximize SC clients and avoid that the </w:t>
      </w:r>
      <w:r w:rsidR="001A6E5C" w:rsidRPr="007C7EEE">
        <w:t xml:space="preserve">vessels use alternative routes; </w:t>
      </w:r>
      <w:r w:rsidRPr="007C7EEE">
        <w:t>via C</w:t>
      </w:r>
      <w:r w:rsidR="001A6E5C" w:rsidRPr="007C7EEE">
        <w:t>ape or Panama Canal</w:t>
      </w:r>
      <w:r w:rsidR="00F055F6" w:rsidRPr="007C7EEE">
        <w:t xml:space="preserve">, when the tolls exceed the vessels' savings. </w:t>
      </w:r>
    </w:p>
    <w:p w:rsidR="00A51291" w:rsidRPr="007C7EEE" w:rsidRDefault="00F055F6" w:rsidP="00F055F6">
      <w:r w:rsidRPr="007C7EEE">
        <w:lastRenderedPageBreak/>
        <w:t>S</w:t>
      </w:r>
      <w:r w:rsidR="00C70EA4" w:rsidRPr="007C7EEE">
        <w:t>everal</w:t>
      </w:r>
      <w:r w:rsidR="0010073D" w:rsidRPr="007C7EEE">
        <w:t xml:space="preserve"> reports discussed that some container lines during the fourth quarter of 2015 and </w:t>
      </w:r>
      <w:r w:rsidR="00C70EA4" w:rsidRPr="007C7EEE">
        <w:t xml:space="preserve">the </w:t>
      </w:r>
      <w:r w:rsidR="0010073D" w:rsidRPr="007C7EEE">
        <w:t>first</w:t>
      </w:r>
      <w:r w:rsidR="00C70EA4" w:rsidRPr="007C7EEE">
        <w:t xml:space="preserve"> three</w:t>
      </w:r>
      <w:r w:rsidR="0010073D" w:rsidRPr="007C7EEE">
        <w:t xml:space="preserve"> quarter</w:t>
      </w:r>
      <w:r w:rsidR="00C70EA4" w:rsidRPr="007C7EEE">
        <w:t>s</w:t>
      </w:r>
      <w:r w:rsidR="0010073D" w:rsidRPr="007C7EEE">
        <w:t xml:space="preserve"> of 2016</w:t>
      </w:r>
      <w:r w:rsidR="00C70EA4" w:rsidRPr="007C7EEE">
        <w:t>,</w:t>
      </w:r>
      <w:r w:rsidR="0010073D" w:rsidRPr="007C7EEE">
        <w:t xml:space="preserve"> preferred using the route via Cape, especially in their ballast trip, due to the reduced voyage expenses</w:t>
      </w:r>
      <w:r w:rsidR="00C70EA4" w:rsidRPr="007C7EEE">
        <w:t xml:space="preserve"> [5</w:t>
      </w:r>
      <w:r w:rsidR="00C80687" w:rsidRPr="007C7EEE">
        <w:t>]</w:t>
      </w:r>
      <w:r w:rsidR="00C70EA4" w:rsidRPr="007C7EEE">
        <w:t xml:space="preserve">, which </w:t>
      </w:r>
      <w:r w:rsidR="0010073D" w:rsidRPr="007C7EEE">
        <w:t>was mainly di</w:t>
      </w:r>
      <w:r w:rsidR="00C80687" w:rsidRPr="007C7EEE">
        <w:t>ctated by the low bunker prices</w:t>
      </w:r>
      <w:r w:rsidRPr="007C7EEE">
        <w:t xml:space="preserve"> and charter rates</w:t>
      </w:r>
      <w:r w:rsidR="00C80687" w:rsidRPr="007C7EEE">
        <w:t>.</w:t>
      </w:r>
      <w:r w:rsidRPr="007C7EEE">
        <w:t xml:space="preserve"> </w:t>
      </w:r>
      <w:r w:rsidR="0010073D" w:rsidRPr="007C7EEE">
        <w:t>In response</w:t>
      </w:r>
      <w:r w:rsidR="00035BF0" w:rsidRPr="007C7EEE">
        <w:t>,</w:t>
      </w:r>
      <w:r w:rsidR="0010073D" w:rsidRPr="007C7EEE">
        <w:t xml:space="preserve"> the SCA in </w:t>
      </w:r>
      <w:r w:rsidR="00C70EA4" w:rsidRPr="007C7EEE">
        <w:t>February</w:t>
      </w:r>
      <w:r w:rsidR="001D3DC9" w:rsidRPr="007C7EEE">
        <w:t>,</w:t>
      </w:r>
      <w:r w:rsidR="00C70EA4" w:rsidRPr="007C7EEE">
        <w:t xml:space="preserve"> </w:t>
      </w:r>
      <w:r w:rsidR="0045344C" w:rsidRPr="007C7EEE">
        <w:t>2016</w:t>
      </w:r>
      <w:r w:rsidR="004D0F98" w:rsidRPr="007C7EEE">
        <w:t xml:space="preserve"> granted</w:t>
      </w:r>
      <w:r w:rsidR="0045344C" w:rsidRPr="007C7EEE">
        <w:t xml:space="preserve"> </w:t>
      </w:r>
      <w:r w:rsidR="006B0F53" w:rsidRPr="007C7EEE">
        <w:t>Container S</w:t>
      </w:r>
      <w:r w:rsidR="0045344C" w:rsidRPr="007C7EEE">
        <w:t xml:space="preserve">hips coming from </w:t>
      </w:r>
      <w:r w:rsidR="00C70EA4" w:rsidRPr="007C7EEE">
        <w:t xml:space="preserve">the </w:t>
      </w:r>
      <w:r w:rsidR="0045344C" w:rsidRPr="007C7EEE">
        <w:t>port of Norfolk and its northern ports</w:t>
      </w:r>
      <w:r w:rsidR="001D3DC9" w:rsidRPr="007C7EEE">
        <w:t>,</w:t>
      </w:r>
      <w:r w:rsidR="0045344C" w:rsidRPr="007C7EEE">
        <w:t xml:space="preserve"> heading to the po</w:t>
      </w:r>
      <w:r w:rsidR="00A71DE2" w:rsidRPr="007C7EEE">
        <w:t>rt Kelang and its eastern p</w:t>
      </w:r>
      <w:r w:rsidR="004D0F98" w:rsidRPr="007C7EEE">
        <w:t>ort</w:t>
      </w:r>
      <w:r w:rsidR="00C70EA4" w:rsidRPr="007C7EEE">
        <w:t>s,</w:t>
      </w:r>
      <w:r w:rsidR="00A71DE2" w:rsidRPr="007C7EEE">
        <w:t xml:space="preserve"> </w:t>
      </w:r>
      <w:r w:rsidR="006760A3" w:rsidRPr="007C7EEE">
        <w:t>a rebate</w:t>
      </w:r>
      <w:r w:rsidR="00A71DE2" w:rsidRPr="007C7EEE">
        <w:t xml:space="preserve"> of 45% of the S</w:t>
      </w:r>
      <w:r w:rsidR="0045344C" w:rsidRPr="007C7EEE">
        <w:t xml:space="preserve">C normal tolls. </w:t>
      </w:r>
      <w:r w:rsidR="004D0F98" w:rsidRPr="007C7EEE">
        <w:t>Also</w:t>
      </w:r>
      <w:r w:rsidR="00C80687" w:rsidRPr="007C7EEE">
        <w:t>,</w:t>
      </w:r>
      <w:r w:rsidR="004D0F98" w:rsidRPr="007C7EEE">
        <w:t xml:space="preserve"> VLCC (of more than</w:t>
      </w:r>
      <w:r w:rsidR="00C80687" w:rsidRPr="007C7EEE">
        <w:t xml:space="preserve"> </w:t>
      </w:r>
      <w:r w:rsidR="004D0F98" w:rsidRPr="007C7EEE">
        <w:t xml:space="preserve">250,000 DWT) coming from Arabian Gulf, heading to American Gulf or the </w:t>
      </w:r>
      <w:r w:rsidR="006760A3" w:rsidRPr="007C7EEE">
        <w:t>Caribbean</w:t>
      </w:r>
      <w:r w:rsidR="004D0F98" w:rsidRPr="007C7EEE">
        <w:t xml:space="preserve"> zone on their round trip to transit the SC, a</w:t>
      </w:r>
      <w:r w:rsidR="006760A3" w:rsidRPr="007C7EEE">
        <w:t>re</w:t>
      </w:r>
      <w:r w:rsidR="004D0F98" w:rsidRPr="007C7EEE">
        <w:t xml:space="preserve"> to pay a lump sum of USD 230,000 on </w:t>
      </w:r>
      <w:r w:rsidR="006760A3" w:rsidRPr="007C7EEE">
        <w:t>t</w:t>
      </w:r>
      <w:r w:rsidR="004D0F98" w:rsidRPr="007C7EEE">
        <w:t>he return ballast trip</w:t>
      </w:r>
      <w:r w:rsidR="006760A3" w:rsidRPr="007C7EEE">
        <w:t xml:space="preserve"> [1]</w:t>
      </w:r>
      <w:r w:rsidR="004D0F98" w:rsidRPr="007C7EEE">
        <w:t>.</w:t>
      </w:r>
      <w:r w:rsidRPr="007C7EEE">
        <w:t xml:space="preserve"> </w:t>
      </w:r>
      <w:r w:rsidR="004D0F98" w:rsidRPr="007C7EEE">
        <w:t>Furthermore</w:t>
      </w:r>
      <w:r w:rsidR="006760A3" w:rsidRPr="007C7EEE">
        <w:t>, other rebates were granted t</w:t>
      </w:r>
      <w:r w:rsidR="00035BF0" w:rsidRPr="007C7EEE">
        <w:t>o</w:t>
      </w:r>
      <w:r w:rsidR="006760A3" w:rsidRPr="007C7EEE">
        <w:t xml:space="preserve"> Bulk Carriers, such as </w:t>
      </w:r>
      <w:r w:rsidR="002A55CA" w:rsidRPr="007C7EEE">
        <w:t>laden Dry Bulk vessels coming from ports at East &amp; South Australia heading to ports at North West Europe</w:t>
      </w:r>
      <w:r w:rsidR="00C80687" w:rsidRPr="007C7EEE">
        <w:t xml:space="preserve"> </w:t>
      </w:r>
      <w:r w:rsidR="004D0F98" w:rsidRPr="007C7EEE">
        <w:t>were</w:t>
      </w:r>
      <w:r w:rsidR="002A55CA" w:rsidRPr="007C7EEE">
        <w:t xml:space="preserve"> granted a 75% rebate of normal SC transit tolls</w:t>
      </w:r>
      <w:r w:rsidR="006760A3" w:rsidRPr="007C7EEE">
        <w:t xml:space="preserve"> starting from February</w:t>
      </w:r>
      <w:r w:rsidR="001D3DC9" w:rsidRPr="007C7EEE">
        <w:t>,</w:t>
      </w:r>
      <w:r w:rsidR="006760A3" w:rsidRPr="007C7EEE">
        <w:t xml:space="preserve"> 2017</w:t>
      </w:r>
      <w:r w:rsidR="002A55CA" w:rsidRPr="007C7EEE">
        <w:t xml:space="preserve">. </w:t>
      </w:r>
      <w:r w:rsidR="006760A3" w:rsidRPr="007C7EEE">
        <w:t>Also i</w:t>
      </w:r>
      <w:r w:rsidR="004D0F98" w:rsidRPr="007C7EEE">
        <w:t xml:space="preserve">n </w:t>
      </w:r>
      <w:r w:rsidR="001D3DC9" w:rsidRPr="007C7EEE">
        <w:t xml:space="preserve">April, </w:t>
      </w:r>
      <w:r w:rsidR="002A55CA" w:rsidRPr="007C7EEE">
        <w:t xml:space="preserve">2017 </w:t>
      </w:r>
      <w:r w:rsidR="004D0F98" w:rsidRPr="007C7EEE">
        <w:t>SCA</w:t>
      </w:r>
      <w:r w:rsidR="002A55CA" w:rsidRPr="007C7EEE">
        <w:t xml:space="preserve"> has decided that Dry Bulk vessels; coming from Republic of South Africa ports and heading to Mediterranean Sea</w:t>
      </w:r>
      <w:r w:rsidR="006760A3" w:rsidRPr="007C7EEE">
        <w:t xml:space="preserve"> should</w:t>
      </w:r>
      <w:r w:rsidR="002A55CA" w:rsidRPr="007C7EEE">
        <w:t xml:space="preserve"> be granted rebates.</w:t>
      </w:r>
    </w:p>
    <w:p w:rsidR="0064200C" w:rsidRPr="007C7EEE" w:rsidRDefault="00E80F56" w:rsidP="0064200C">
      <w:r w:rsidRPr="007C7EEE">
        <w:t xml:space="preserve">These rebates are still in effect until now, although the bunker prices had increased to about 400 USD/ton instead of 150 USD/ton at the beginning of 2016 [6]. </w:t>
      </w:r>
      <w:r w:rsidR="006760A3" w:rsidRPr="007C7EEE">
        <w:t>Accordingly</w:t>
      </w:r>
      <w:r w:rsidR="0064200C" w:rsidRPr="007C7EEE">
        <w:t xml:space="preserve">, it is a must for the SCA to adopt </w:t>
      </w:r>
      <w:r w:rsidR="006760A3" w:rsidRPr="007C7EEE">
        <w:t xml:space="preserve">a </w:t>
      </w:r>
      <w:r w:rsidR="0064200C" w:rsidRPr="007C7EEE">
        <w:t>more flexible policy which quickly responds to the market changes in order to maximize the number of vessels passing via SC</w:t>
      </w:r>
      <w:r w:rsidR="00A57217" w:rsidRPr="007C7EEE">
        <w:t>, increase the collected tolls,</w:t>
      </w:r>
      <w:r w:rsidR="0064200C" w:rsidRPr="007C7EEE">
        <w:t xml:space="preserve"> and guarantee </w:t>
      </w:r>
      <w:r w:rsidRPr="007C7EEE">
        <w:t>smooth operation</w:t>
      </w:r>
      <w:r w:rsidR="0064200C" w:rsidRPr="007C7EEE">
        <w:t>.</w:t>
      </w:r>
    </w:p>
    <w:p w:rsidR="007830BA" w:rsidRPr="007C7EEE" w:rsidRDefault="00CF6B88" w:rsidP="007830BA">
      <w:pPr>
        <w:pStyle w:val="Heading1"/>
        <w:rPr>
          <w:szCs w:val="20"/>
          <w:lang w:eastAsia="en-US"/>
        </w:rPr>
      </w:pPr>
      <w:r w:rsidRPr="007C7EEE">
        <w:rPr>
          <w:lang w:eastAsia="en-US"/>
        </w:rPr>
        <w:t>Bulk Carriers</w:t>
      </w:r>
    </w:p>
    <w:p w:rsidR="007830BA" w:rsidRPr="007C7EEE" w:rsidRDefault="00ED7AB5" w:rsidP="00AF3E39">
      <w:pPr>
        <w:pStyle w:val="NoindentNormal"/>
      </w:pPr>
      <w:r w:rsidRPr="007C7EEE">
        <w:t>In 201</w:t>
      </w:r>
      <w:r w:rsidR="006760A3" w:rsidRPr="007C7EEE">
        <w:t>6, about 30% of the W</w:t>
      </w:r>
      <w:r w:rsidR="000A6AD1" w:rsidRPr="007C7EEE">
        <w:t>orld</w:t>
      </w:r>
      <w:r w:rsidR="006760A3" w:rsidRPr="007C7EEE">
        <w:t>'s</w:t>
      </w:r>
      <w:r w:rsidR="000A6AD1" w:rsidRPr="007C7EEE">
        <w:t xml:space="preserve"> seaborne trade </w:t>
      </w:r>
      <w:r w:rsidR="006760A3" w:rsidRPr="007C7EEE">
        <w:t>was carried by Bulk Carriers [2</w:t>
      </w:r>
      <w:r w:rsidR="00484458" w:rsidRPr="007C7EEE">
        <w:t xml:space="preserve">]. In 2017, </w:t>
      </w:r>
      <w:r w:rsidR="006B0F53" w:rsidRPr="007C7EEE">
        <w:t>the number of</w:t>
      </w:r>
      <w:r w:rsidR="00484458" w:rsidRPr="007C7EEE">
        <w:t xml:space="preserve"> Bulk Carriers </w:t>
      </w:r>
      <w:r w:rsidR="00C80687" w:rsidRPr="007C7EEE">
        <w:t xml:space="preserve">passing via SC </w:t>
      </w:r>
      <w:r w:rsidR="006B0F53" w:rsidRPr="007C7EEE">
        <w:t xml:space="preserve">reached 3,288 </w:t>
      </w:r>
      <w:r w:rsidR="00484458" w:rsidRPr="007C7EEE">
        <w:t>out of the 17</w:t>
      </w:r>
      <w:r w:rsidR="006B0F53" w:rsidRPr="007C7EEE">
        <w:t>,</w:t>
      </w:r>
      <w:r w:rsidR="00484458" w:rsidRPr="007C7EEE">
        <w:t>550 ves</w:t>
      </w:r>
      <w:r w:rsidR="00AF3E39" w:rsidRPr="007C7EEE">
        <w:t>sels which passed via the Canal.</w:t>
      </w:r>
      <w:r w:rsidR="00484458" w:rsidRPr="007C7EEE">
        <w:t xml:space="preserve"> </w:t>
      </w:r>
      <w:r w:rsidR="00AF3E39" w:rsidRPr="007C7EEE">
        <w:t>C</w:t>
      </w:r>
      <w:r w:rsidRPr="007C7EEE">
        <w:t>onsidering the net tons, about 11% of the cargo passing via SC was carr</w:t>
      </w:r>
      <w:r w:rsidR="006B0F53" w:rsidRPr="007C7EEE">
        <w:t>ied by Bulk C</w:t>
      </w:r>
      <w:r w:rsidRPr="007C7EEE">
        <w:t>arriers which outlines the importance of this type of vessels to the income of SC</w:t>
      </w:r>
      <w:r w:rsidR="00AF3E39" w:rsidRPr="007C7EEE">
        <w:t xml:space="preserve"> [1]</w:t>
      </w:r>
      <w:r w:rsidR="007830BA" w:rsidRPr="007C7EEE">
        <w:t xml:space="preserve">. </w:t>
      </w:r>
    </w:p>
    <w:p w:rsidR="00501D6E" w:rsidRPr="007C7EEE" w:rsidRDefault="005749D2" w:rsidP="00501D6E">
      <w:pPr>
        <w:pStyle w:val="Heading2"/>
        <w:rPr>
          <w:lang w:eastAsia="en-US"/>
        </w:rPr>
      </w:pPr>
      <w:r w:rsidRPr="007C7EEE">
        <w:rPr>
          <w:lang w:eastAsia="en-US"/>
        </w:rPr>
        <w:t>Classification of Bulk Carriers</w:t>
      </w:r>
    </w:p>
    <w:p w:rsidR="00501D6E" w:rsidRPr="007C7EEE" w:rsidRDefault="00AC6663" w:rsidP="00AD18BB">
      <w:pPr>
        <w:pStyle w:val="NoindentNormal"/>
      </w:pPr>
      <w:r w:rsidRPr="007C7EEE">
        <w:t>For the purpose of current research, the Bal</w:t>
      </w:r>
      <w:r w:rsidR="006B0F53" w:rsidRPr="007C7EEE">
        <w:t>tic Exchange classification of B</w:t>
      </w:r>
      <w:r w:rsidRPr="007C7EEE">
        <w:t xml:space="preserve">ulk Carriers is mainly adopted. </w:t>
      </w:r>
      <w:r w:rsidR="00AA616D" w:rsidRPr="007C7EEE">
        <w:t xml:space="preserve">Bulk </w:t>
      </w:r>
      <w:r w:rsidR="00BA69FD" w:rsidRPr="007C7EEE">
        <w:t>C</w:t>
      </w:r>
      <w:r w:rsidR="00AA616D" w:rsidRPr="007C7EEE">
        <w:t>arriers are categorized according to their size</w:t>
      </w:r>
      <w:r w:rsidR="00AD18BB" w:rsidRPr="007C7EEE">
        <w:t xml:space="preserve"> as per Table 1, t</w:t>
      </w:r>
      <w:r w:rsidRPr="007C7EEE">
        <w:t xml:space="preserve">he speed and fuel consumption for different types are </w:t>
      </w:r>
      <w:r w:rsidR="00AD18BB" w:rsidRPr="007C7EEE">
        <w:t xml:space="preserve">also </w:t>
      </w:r>
      <w:r w:rsidRPr="007C7EEE">
        <w:t>outlined</w:t>
      </w:r>
      <w:r w:rsidR="00FA499F">
        <w:t xml:space="preserve"> [7]</w:t>
      </w:r>
      <w:r w:rsidR="00AD18BB" w:rsidRPr="007C7EEE">
        <w:t>.</w:t>
      </w:r>
      <w:r w:rsidR="00AA616D" w:rsidRPr="007C7EEE">
        <w:t xml:space="preserve"> </w:t>
      </w:r>
    </w:p>
    <w:p w:rsidR="00AA616D" w:rsidRPr="007C7EEE" w:rsidRDefault="00AA616D" w:rsidP="00BF6B5B">
      <w:pPr>
        <w:pStyle w:val="CaptionLong"/>
      </w:pPr>
      <w:r w:rsidRPr="007C7EEE">
        <w:rPr>
          <w:b/>
        </w:rPr>
        <w:t>Table 1.</w:t>
      </w:r>
      <w:r w:rsidRPr="007C7EEE">
        <w:t xml:space="preserve"> </w:t>
      </w:r>
      <w:r w:rsidR="00BF6B5B" w:rsidRPr="007C7EEE">
        <w:t>Types and characteristics of Bulk Carriers</w:t>
      </w:r>
      <w:r w:rsidR="0053103C" w:rsidRPr="007C7EEE">
        <w:t xml:space="preserve"> as per Baltic Exchange [7]</w:t>
      </w:r>
    </w:p>
    <w:tbl>
      <w:tblPr>
        <w:tblW w:w="5596" w:type="dxa"/>
        <w:jc w:val="center"/>
        <w:tblLook w:val="00BF"/>
      </w:tblPr>
      <w:tblGrid>
        <w:gridCol w:w="1203"/>
        <w:gridCol w:w="1229"/>
        <w:gridCol w:w="1642"/>
        <w:gridCol w:w="1522"/>
      </w:tblGrid>
      <w:tr w:rsidR="00AD18BB" w:rsidRPr="007C7EEE" w:rsidTr="00492224">
        <w:trPr>
          <w:jc w:val="center"/>
        </w:trPr>
        <w:tc>
          <w:tcPr>
            <w:tcW w:w="1203" w:type="dxa"/>
            <w:tcBorders>
              <w:top w:val="single" w:sz="4" w:space="0" w:color="auto"/>
              <w:bottom w:val="single" w:sz="4" w:space="0" w:color="auto"/>
            </w:tcBorders>
            <w:vAlign w:val="center"/>
          </w:tcPr>
          <w:p w:rsidR="00AD18BB" w:rsidRPr="007C7EEE" w:rsidRDefault="00AD18BB" w:rsidP="00492224">
            <w:pPr>
              <w:ind w:firstLine="0"/>
              <w:jc w:val="center"/>
              <w:rPr>
                <w:b/>
                <w:sz w:val="16"/>
                <w:szCs w:val="16"/>
              </w:rPr>
            </w:pPr>
            <w:r w:rsidRPr="007C7EEE">
              <w:rPr>
                <w:b/>
                <w:sz w:val="16"/>
                <w:szCs w:val="16"/>
              </w:rPr>
              <w:t>Type</w:t>
            </w:r>
          </w:p>
        </w:tc>
        <w:tc>
          <w:tcPr>
            <w:tcW w:w="1229" w:type="dxa"/>
            <w:tcBorders>
              <w:top w:val="single" w:sz="4" w:space="0" w:color="auto"/>
              <w:bottom w:val="single" w:sz="4" w:space="0" w:color="auto"/>
            </w:tcBorders>
            <w:vAlign w:val="center"/>
          </w:tcPr>
          <w:p w:rsidR="00AD18BB" w:rsidRPr="007C7EEE" w:rsidRDefault="00AD18BB" w:rsidP="00492224">
            <w:pPr>
              <w:ind w:firstLine="0"/>
              <w:jc w:val="center"/>
              <w:rPr>
                <w:b/>
                <w:sz w:val="16"/>
                <w:szCs w:val="16"/>
              </w:rPr>
            </w:pPr>
            <w:r w:rsidRPr="007C7EEE">
              <w:rPr>
                <w:b/>
                <w:sz w:val="16"/>
                <w:szCs w:val="16"/>
              </w:rPr>
              <w:t>Dead weight      in tons</w:t>
            </w:r>
          </w:p>
        </w:tc>
        <w:tc>
          <w:tcPr>
            <w:tcW w:w="1642" w:type="dxa"/>
            <w:tcBorders>
              <w:top w:val="single" w:sz="4" w:space="0" w:color="auto"/>
              <w:bottom w:val="single" w:sz="4" w:space="0" w:color="auto"/>
            </w:tcBorders>
            <w:vAlign w:val="center"/>
          </w:tcPr>
          <w:p w:rsidR="00AD18BB" w:rsidRPr="007C7EEE" w:rsidRDefault="00AD18BB" w:rsidP="00492224">
            <w:pPr>
              <w:ind w:firstLine="0"/>
              <w:jc w:val="center"/>
              <w:rPr>
                <w:b/>
                <w:sz w:val="16"/>
                <w:szCs w:val="16"/>
              </w:rPr>
            </w:pPr>
            <w:r w:rsidRPr="007C7EEE">
              <w:rPr>
                <w:b/>
                <w:sz w:val="16"/>
                <w:szCs w:val="16"/>
              </w:rPr>
              <w:t>Speed in Knots (laden/ballast)</w:t>
            </w:r>
          </w:p>
        </w:tc>
        <w:tc>
          <w:tcPr>
            <w:tcW w:w="1522" w:type="dxa"/>
            <w:tcBorders>
              <w:top w:val="single" w:sz="4" w:space="0" w:color="auto"/>
              <w:bottom w:val="single" w:sz="4" w:space="0" w:color="auto"/>
            </w:tcBorders>
            <w:vAlign w:val="center"/>
          </w:tcPr>
          <w:p w:rsidR="00AD18BB" w:rsidRPr="007C7EEE" w:rsidRDefault="00AD18BB" w:rsidP="00492224">
            <w:pPr>
              <w:ind w:firstLine="0"/>
              <w:jc w:val="center"/>
              <w:rPr>
                <w:b/>
                <w:sz w:val="16"/>
                <w:szCs w:val="16"/>
              </w:rPr>
            </w:pPr>
            <w:r w:rsidRPr="007C7EEE">
              <w:rPr>
                <w:b/>
                <w:sz w:val="16"/>
                <w:szCs w:val="16"/>
              </w:rPr>
              <w:t>Fuel consumption in tons (380 cst)</w:t>
            </w:r>
          </w:p>
          <w:p w:rsidR="00AD18BB" w:rsidRPr="007C7EEE" w:rsidRDefault="00AD18BB" w:rsidP="00492224">
            <w:pPr>
              <w:ind w:firstLine="0"/>
              <w:jc w:val="center"/>
              <w:rPr>
                <w:b/>
                <w:sz w:val="16"/>
                <w:szCs w:val="16"/>
              </w:rPr>
            </w:pPr>
            <w:r w:rsidRPr="007C7EEE">
              <w:rPr>
                <w:b/>
                <w:sz w:val="16"/>
                <w:szCs w:val="16"/>
              </w:rPr>
              <w:t>(laden/ballast)</w:t>
            </w:r>
          </w:p>
        </w:tc>
      </w:tr>
      <w:tr w:rsidR="00AD18BB" w:rsidRPr="007C7EEE" w:rsidTr="00492224">
        <w:trPr>
          <w:jc w:val="center"/>
        </w:trPr>
        <w:tc>
          <w:tcPr>
            <w:tcW w:w="1203" w:type="dxa"/>
            <w:tcBorders>
              <w:top w:val="single" w:sz="4" w:space="0" w:color="auto"/>
            </w:tcBorders>
            <w:vAlign w:val="center"/>
          </w:tcPr>
          <w:p w:rsidR="00AD18BB" w:rsidRPr="007C7EEE" w:rsidRDefault="00AD18BB" w:rsidP="00492224">
            <w:pPr>
              <w:tabs>
                <w:tab w:val="decimal" w:pos="1026"/>
              </w:tabs>
              <w:ind w:firstLine="0"/>
              <w:jc w:val="center"/>
              <w:rPr>
                <w:sz w:val="16"/>
                <w:szCs w:val="16"/>
              </w:rPr>
            </w:pPr>
            <w:r w:rsidRPr="007C7EEE">
              <w:rPr>
                <w:sz w:val="16"/>
                <w:szCs w:val="16"/>
              </w:rPr>
              <w:t>Capesize</w:t>
            </w:r>
            <w:r w:rsidR="00AF3E39" w:rsidRPr="007C7EEE">
              <w:rPr>
                <w:sz w:val="16"/>
                <w:szCs w:val="16"/>
              </w:rPr>
              <w:t xml:space="preserve"> B</w:t>
            </w:r>
          </w:p>
        </w:tc>
        <w:tc>
          <w:tcPr>
            <w:tcW w:w="1229" w:type="dxa"/>
            <w:tcBorders>
              <w:top w:val="single" w:sz="4" w:space="0" w:color="auto"/>
            </w:tcBorders>
            <w:vAlign w:val="center"/>
          </w:tcPr>
          <w:p w:rsidR="00AD18BB" w:rsidRPr="007C7EEE" w:rsidRDefault="00AD18BB" w:rsidP="00492224">
            <w:pPr>
              <w:tabs>
                <w:tab w:val="decimal" w:pos="1013"/>
              </w:tabs>
              <w:ind w:firstLine="0"/>
              <w:jc w:val="center"/>
              <w:rPr>
                <w:sz w:val="16"/>
                <w:szCs w:val="16"/>
              </w:rPr>
            </w:pPr>
            <w:r w:rsidRPr="007C7EEE">
              <w:rPr>
                <w:sz w:val="16"/>
                <w:szCs w:val="16"/>
              </w:rPr>
              <w:t>180,000</w:t>
            </w:r>
          </w:p>
        </w:tc>
        <w:tc>
          <w:tcPr>
            <w:tcW w:w="1642" w:type="dxa"/>
            <w:tcBorders>
              <w:top w:val="single" w:sz="4" w:space="0" w:color="auto"/>
            </w:tcBorders>
            <w:vAlign w:val="center"/>
          </w:tcPr>
          <w:p w:rsidR="00AD18BB" w:rsidRPr="007C7EEE" w:rsidRDefault="00AD18BB" w:rsidP="00492224">
            <w:pPr>
              <w:tabs>
                <w:tab w:val="decimal" w:pos="1101"/>
              </w:tabs>
              <w:ind w:firstLine="0"/>
              <w:jc w:val="center"/>
              <w:rPr>
                <w:sz w:val="16"/>
                <w:szCs w:val="16"/>
              </w:rPr>
            </w:pPr>
            <w:r w:rsidRPr="007C7EEE">
              <w:rPr>
                <w:sz w:val="16"/>
                <w:szCs w:val="16"/>
              </w:rPr>
              <w:t>14/14.5</w:t>
            </w:r>
          </w:p>
        </w:tc>
        <w:tc>
          <w:tcPr>
            <w:tcW w:w="1522" w:type="dxa"/>
            <w:tcBorders>
              <w:top w:val="single" w:sz="4" w:space="0" w:color="auto"/>
            </w:tcBorders>
            <w:vAlign w:val="center"/>
          </w:tcPr>
          <w:p w:rsidR="00AD18BB" w:rsidRPr="007C7EEE" w:rsidRDefault="00AD18BB" w:rsidP="00492224">
            <w:pPr>
              <w:tabs>
                <w:tab w:val="decimal" w:pos="1101"/>
              </w:tabs>
              <w:ind w:firstLine="0"/>
              <w:jc w:val="center"/>
              <w:rPr>
                <w:sz w:val="16"/>
                <w:szCs w:val="16"/>
              </w:rPr>
            </w:pPr>
            <w:r w:rsidRPr="007C7EEE">
              <w:rPr>
                <w:sz w:val="16"/>
                <w:szCs w:val="16"/>
              </w:rPr>
              <w:t>62</w:t>
            </w:r>
          </w:p>
        </w:tc>
      </w:tr>
      <w:tr w:rsidR="00AD18BB" w:rsidRPr="007C7EEE" w:rsidTr="00492224">
        <w:trPr>
          <w:jc w:val="center"/>
        </w:trPr>
        <w:tc>
          <w:tcPr>
            <w:tcW w:w="1203" w:type="dxa"/>
            <w:vAlign w:val="center"/>
          </w:tcPr>
          <w:p w:rsidR="00AD18BB" w:rsidRPr="007C7EEE" w:rsidRDefault="00AD18BB" w:rsidP="00492224">
            <w:pPr>
              <w:tabs>
                <w:tab w:val="decimal" w:pos="1026"/>
              </w:tabs>
              <w:ind w:firstLine="0"/>
              <w:jc w:val="center"/>
              <w:rPr>
                <w:sz w:val="16"/>
                <w:szCs w:val="16"/>
              </w:rPr>
            </w:pPr>
            <w:r w:rsidRPr="007C7EEE">
              <w:rPr>
                <w:sz w:val="16"/>
                <w:szCs w:val="16"/>
              </w:rPr>
              <w:t>Panamax</w:t>
            </w:r>
            <w:r w:rsidR="00AF3E39" w:rsidRPr="007C7EEE">
              <w:rPr>
                <w:sz w:val="16"/>
                <w:szCs w:val="16"/>
              </w:rPr>
              <w:t xml:space="preserve"> B</w:t>
            </w:r>
          </w:p>
        </w:tc>
        <w:tc>
          <w:tcPr>
            <w:tcW w:w="1229" w:type="dxa"/>
            <w:vAlign w:val="center"/>
          </w:tcPr>
          <w:p w:rsidR="00AD18BB" w:rsidRPr="007C7EEE" w:rsidRDefault="00AD18BB" w:rsidP="00492224">
            <w:pPr>
              <w:tabs>
                <w:tab w:val="decimal" w:pos="1013"/>
              </w:tabs>
              <w:ind w:firstLine="0"/>
              <w:jc w:val="center"/>
              <w:rPr>
                <w:sz w:val="16"/>
                <w:szCs w:val="16"/>
              </w:rPr>
            </w:pPr>
            <w:r w:rsidRPr="007C7EEE">
              <w:rPr>
                <w:sz w:val="16"/>
                <w:szCs w:val="16"/>
              </w:rPr>
              <w:t>74,000</w:t>
            </w:r>
          </w:p>
        </w:tc>
        <w:tc>
          <w:tcPr>
            <w:tcW w:w="1642" w:type="dxa"/>
            <w:vAlign w:val="center"/>
          </w:tcPr>
          <w:p w:rsidR="00AD18BB" w:rsidRPr="007C7EEE" w:rsidRDefault="00AD18BB" w:rsidP="00492224">
            <w:pPr>
              <w:tabs>
                <w:tab w:val="decimal" w:pos="1101"/>
              </w:tabs>
              <w:ind w:firstLine="0"/>
              <w:jc w:val="center"/>
              <w:rPr>
                <w:sz w:val="16"/>
                <w:szCs w:val="16"/>
              </w:rPr>
            </w:pPr>
            <w:r w:rsidRPr="007C7EEE">
              <w:rPr>
                <w:sz w:val="16"/>
                <w:szCs w:val="16"/>
              </w:rPr>
              <w:t>14</w:t>
            </w:r>
          </w:p>
        </w:tc>
        <w:tc>
          <w:tcPr>
            <w:tcW w:w="1522" w:type="dxa"/>
            <w:vAlign w:val="center"/>
          </w:tcPr>
          <w:p w:rsidR="00AD18BB" w:rsidRPr="007C7EEE" w:rsidRDefault="00AD18BB" w:rsidP="00492224">
            <w:pPr>
              <w:tabs>
                <w:tab w:val="decimal" w:pos="1101"/>
              </w:tabs>
              <w:ind w:firstLine="0"/>
              <w:jc w:val="center"/>
              <w:rPr>
                <w:sz w:val="16"/>
                <w:szCs w:val="16"/>
              </w:rPr>
            </w:pPr>
            <w:r w:rsidRPr="007C7EEE">
              <w:rPr>
                <w:sz w:val="16"/>
                <w:szCs w:val="16"/>
              </w:rPr>
              <w:t>32/28</w:t>
            </w:r>
          </w:p>
        </w:tc>
      </w:tr>
      <w:tr w:rsidR="00AD18BB" w:rsidRPr="007C7EEE" w:rsidTr="00492224">
        <w:trPr>
          <w:jc w:val="center"/>
        </w:trPr>
        <w:tc>
          <w:tcPr>
            <w:tcW w:w="1203" w:type="dxa"/>
            <w:vAlign w:val="center"/>
          </w:tcPr>
          <w:p w:rsidR="00AD18BB" w:rsidRPr="007C7EEE" w:rsidRDefault="00AD18BB" w:rsidP="00492224">
            <w:pPr>
              <w:tabs>
                <w:tab w:val="decimal" w:pos="1026"/>
              </w:tabs>
              <w:ind w:firstLine="0"/>
              <w:jc w:val="center"/>
              <w:rPr>
                <w:sz w:val="16"/>
                <w:szCs w:val="16"/>
              </w:rPr>
            </w:pPr>
            <w:r w:rsidRPr="007C7EEE">
              <w:rPr>
                <w:sz w:val="16"/>
                <w:szCs w:val="16"/>
              </w:rPr>
              <w:t>Supramax</w:t>
            </w:r>
            <w:r w:rsidR="00AF3E39" w:rsidRPr="007C7EEE">
              <w:rPr>
                <w:sz w:val="16"/>
                <w:szCs w:val="16"/>
              </w:rPr>
              <w:t xml:space="preserve"> B</w:t>
            </w:r>
          </w:p>
        </w:tc>
        <w:tc>
          <w:tcPr>
            <w:tcW w:w="1229" w:type="dxa"/>
            <w:vAlign w:val="center"/>
          </w:tcPr>
          <w:p w:rsidR="00AD18BB" w:rsidRPr="007C7EEE" w:rsidRDefault="00AD18BB" w:rsidP="00492224">
            <w:pPr>
              <w:tabs>
                <w:tab w:val="decimal" w:pos="1013"/>
              </w:tabs>
              <w:ind w:firstLine="0"/>
              <w:jc w:val="center"/>
              <w:rPr>
                <w:sz w:val="16"/>
                <w:szCs w:val="16"/>
              </w:rPr>
            </w:pPr>
            <w:r w:rsidRPr="007C7EEE">
              <w:rPr>
                <w:sz w:val="16"/>
                <w:szCs w:val="16"/>
              </w:rPr>
              <w:t>52,454</w:t>
            </w:r>
          </w:p>
        </w:tc>
        <w:tc>
          <w:tcPr>
            <w:tcW w:w="1642" w:type="dxa"/>
            <w:vAlign w:val="center"/>
          </w:tcPr>
          <w:p w:rsidR="00AD18BB" w:rsidRPr="007C7EEE" w:rsidRDefault="00AD18BB" w:rsidP="00492224">
            <w:pPr>
              <w:tabs>
                <w:tab w:val="decimal" w:pos="1101"/>
              </w:tabs>
              <w:ind w:firstLine="0"/>
              <w:jc w:val="center"/>
              <w:rPr>
                <w:sz w:val="16"/>
                <w:szCs w:val="16"/>
              </w:rPr>
            </w:pPr>
            <w:r w:rsidRPr="007C7EEE">
              <w:rPr>
                <w:sz w:val="16"/>
                <w:szCs w:val="16"/>
              </w:rPr>
              <w:t>14/14.5</w:t>
            </w:r>
          </w:p>
        </w:tc>
        <w:tc>
          <w:tcPr>
            <w:tcW w:w="1522" w:type="dxa"/>
            <w:vAlign w:val="center"/>
          </w:tcPr>
          <w:p w:rsidR="00AD18BB" w:rsidRPr="007C7EEE" w:rsidRDefault="00AD18BB" w:rsidP="00492224">
            <w:pPr>
              <w:tabs>
                <w:tab w:val="decimal" w:pos="1101"/>
              </w:tabs>
              <w:ind w:firstLine="0"/>
              <w:jc w:val="center"/>
              <w:rPr>
                <w:sz w:val="16"/>
                <w:szCs w:val="16"/>
              </w:rPr>
            </w:pPr>
            <w:r w:rsidRPr="007C7EEE">
              <w:rPr>
                <w:sz w:val="16"/>
                <w:szCs w:val="16"/>
              </w:rPr>
              <w:t>30</w:t>
            </w:r>
          </w:p>
        </w:tc>
      </w:tr>
      <w:tr w:rsidR="00AD18BB" w:rsidRPr="007C7EEE" w:rsidTr="00492224">
        <w:trPr>
          <w:jc w:val="center"/>
        </w:trPr>
        <w:tc>
          <w:tcPr>
            <w:tcW w:w="1203" w:type="dxa"/>
            <w:tcBorders>
              <w:bottom w:val="single" w:sz="4" w:space="0" w:color="auto"/>
            </w:tcBorders>
            <w:vAlign w:val="center"/>
          </w:tcPr>
          <w:p w:rsidR="00AD18BB" w:rsidRPr="007C7EEE" w:rsidRDefault="00AD18BB" w:rsidP="00492224">
            <w:pPr>
              <w:tabs>
                <w:tab w:val="decimal" w:pos="1026"/>
              </w:tabs>
              <w:ind w:firstLine="0"/>
              <w:jc w:val="center"/>
              <w:rPr>
                <w:sz w:val="16"/>
                <w:szCs w:val="16"/>
              </w:rPr>
            </w:pPr>
            <w:r w:rsidRPr="007C7EEE">
              <w:rPr>
                <w:sz w:val="16"/>
                <w:szCs w:val="16"/>
              </w:rPr>
              <w:t>Handysize</w:t>
            </w:r>
            <w:r w:rsidR="00AF3E39" w:rsidRPr="007C7EEE">
              <w:rPr>
                <w:sz w:val="16"/>
                <w:szCs w:val="16"/>
              </w:rPr>
              <w:t xml:space="preserve"> B</w:t>
            </w:r>
          </w:p>
        </w:tc>
        <w:tc>
          <w:tcPr>
            <w:tcW w:w="1229" w:type="dxa"/>
            <w:tcBorders>
              <w:bottom w:val="single" w:sz="4" w:space="0" w:color="auto"/>
            </w:tcBorders>
            <w:vAlign w:val="center"/>
          </w:tcPr>
          <w:p w:rsidR="00AD18BB" w:rsidRPr="007C7EEE" w:rsidRDefault="00AD18BB" w:rsidP="00492224">
            <w:pPr>
              <w:tabs>
                <w:tab w:val="decimal" w:pos="1013"/>
              </w:tabs>
              <w:ind w:firstLine="0"/>
              <w:jc w:val="center"/>
              <w:rPr>
                <w:sz w:val="16"/>
                <w:szCs w:val="16"/>
              </w:rPr>
            </w:pPr>
            <w:r w:rsidRPr="007C7EEE">
              <w:rPr>
                <w:sz w:val="16"/>
                <w:szCs w:val="16"/>
              </w:rPr>
              <w:t>28,000</w:t>
            </w:r>
          </w:p>
        </w:tc>
        <w:tc>
          <w:tcPr>
            <w:tcW w:w="1642" w:type="dxa"/>
            <w:tcBorders>
              <w:bottom w:val="single" w:sz="4" w:space="0" w:color="auto"/>
            </w:tcBorders>
            <w:vAlign w:val="center"/>
          </w:tcPr>
          <w:p w:rsidR="00AD18BB" w:rsidRPr="007C7EEE" w:rsidRDefault="00AD18BB" w:rsidP="00492224">
            <w:pPr>
              <w:tabs>
                <w:tab w:val="decimal" w:pos="1101"/>
              </w:tabs>
              <w:ind w:firstLine="0"/>
              <w:jc w:val="center"/>
              <w:rPr>
                <w:sz w:val="16"/>
                <w:szCs w:val="16"/>
              </w:rPr>
            </w:pPr>
            <w:r w:rsidRPr="007C7EEE">
              <w:rPr>
                <w:sz w:val="16"/>
                <w:szCs w:val="16"/>
              </w:rPr>
              <w:t>14</w:t>
            </w:r>
          </w:p>
        </w:tc>
        <w:tc>
          <w:tcPr>
            <w:tcW w:w="1522" w:type="dxa"/>
            <w:tcBorders>
              <w:bottom w:val="single" w:sz="4" w:space="0" w:color="auto"/>
            </w:tcBorders>
            <w:vAlign w:val="center"/>
          </w:tcPr>
          <w:p w:rsidR="00AD18BB" w:rsidRPr="007C7EEE" w:rsidRDefault="00AD18BB" w:rsidP="00492224">
            <w:pPr>
              <w:tabs>
                <w:tab w:val="decimal" w:pos="1101"/>
              </w:tabs>
              <w:ind w:firstLine="0"/>
              <w:jc w:val="center"/>
              <w:rPr>
                <w:sz w:val="16"/>
                <w:szCs w:val="16"/>
              </w:rPr>
            </w:pPr>
            <w:r w:rsidRPr="007C7EEE">
              <w:rPr>
                <w:sz w:val="16"/>
                <w:szCs w:val="16"/>
              </w:rPr>
              <w:t>22</w:t>
            </w:r>
          </w:p>
        </w:tc>
      </w:tr>
    </w:tbl>
    <w:p w:rsidR="00AF3E39" w:rsidRPr="007C7EEE" w:rsidRDefault="00BA69FD" w:rsidP="00463BA9">
      <w:pPr>
        <w:spacing w:before="80"/>
      </w:pPr>
      <w:r w:rsidRPr="007C7EEE">
        <w:t xml:space="preserve">In addition to the above mentioned </w:t>
      </w:r>
      <w:r w:rsidR="00AD18BB" w:rsidRPr="007C7EEE">
        <w:t>data</w:t>
      </w:r>
      <w:r w:rsidR="00AA3AAB" w:rsidRPr="007C7EEE">
        <w:t xml:space="preserve">, </w:t>
      </w:r>
      <w:r w:rsidR="00AD18BB" w:rsidRPr="007C7EEE">
        <w:t>register books</w:t>
      </w:r>
      <w:r w:rsidR="00177420" w:rsidRPr="007C7EEE">
        <w:t xml:space="preserve"> and online resources</w:t>
      </w:r>
      <w:r w:rsidRPr="007C7EEE">
        <w:t xml:space="preserve"> were addressed to acquire the data of</w:t>
      </w:r>
      <w:r w:rsidR="00791ED8" w:rsidRPr="007C7EEE">
        <w:t xml:space="preserve"> sample</w:t>
      </w:r>
      <w:r w:rsidRPr="007C7EEE">
        <w:t xml:space="preserve"> Bulk Carriers </w:t>
      </w:r>
      <w:r w:rsidR="00791ED8" w:rsidRPr="007C7EEE">
        <w:t xml:space="preserve">of almost the same dead weight </w:t>
      </w:r>
      <w:r w:rsidR="001C74DD" w:rsidRPr="007C7EEE">
        <w:t xml:space="preserve">and dimensions </w:t>
      </w:r>
      <w:r w:rsidR="00791ED8" w:rsidRPr="007C7EEE">
        <w:t xml:space="preserve">as those of the standard Baltic vessels. These vessels data will </w:t>
      </w:r>
      <w:r w:rsidRPr="007C7EEE">
        <w:t>be also used for the calculations throughout this work. The characteri</w:t>
      </w:r>
      <w:r w:rsidR="00791ED8" w:rsidRPr="007C7EEE">
        <w:t>stics of the acquired vessels are</w:t>
      </w:r>
      <w:r w:rsidR="00AD18BB" w:rsidRPr="007C7EEE">
        <w:t xml:space="preserve"> summarized in Table 2</w:t>
      </w:r>
      <w:r w:rsidRPr="007C7EEE">
        <w:t>.</w:t>
      </w:r>
      <w:r w:rsidR="001C74DD" w:rsidRPr="007C7EEE">
        <w:t xml:space="preserve"> </w:t>
      </w:r>
      <w:r w:rsidR="006B0F53" w:rsidRPr="007C7EEE">
        <w:t>T</w:t>
      </w:r>
      <w:r w:rsidR="001C74DD" w:rsidRPr="007C7EEE">
        <w:t>he average sea speed is considered as per the third IMO Greenhouse Gas Study 2014</w:t>
      </w:r>
      <w:r w:rsidR="00FC5F44" w:rsidRPr="007C7EEE">
        <w:t xml:space="preserve"> [8].</w:t>
      </w:r>
      <w:r w:rsidR="00DC22E8" w:rsidRPr="007C7EEE">
        <w:t xml:space="preserve"> There is a pronounced difference in speed </w:t>
      </w:r>
      <w:r w:rsidR="00DC22E8" w:rsidRPr="007C7EEE">
        <w:lastRenderedPageBreak/>
        <w:t xml:space="preserve">between the Baltic vessel and the IMO evaluation of the speed. </w:t>
      </w:r>
      <w:r w:rsidR="006B0F53" w:rsidRPr="007C7EEE">
        <w:t>T</w:t>
      </w:r>
      <w:r w:rsidR="00DC22E8" w:rsidRPr="007C7EEE">
        <w:t>his can be attributed to slow steaming</w:t>
      </w:r>
      <w:r w:rsidR="00463BA9" w:rsidRPr="007C7EEE">
        <w:t>.</w:t>
      </w:r>
      <w:r w:rsidR="00DC22E8" w:rsidRPr="007C7EEE">
        <w:t xml:space="preserve"> </w:t>
      </w:r>
    </w:p>
    <w:p w:rsidR="00463BA9" w:rsidRPr="007C7EEE" w:rsidRDefault="00463BA9" w:rsidP="00463BA9">
      <w:pPr>
        <w:spacing w:before="80"/>
      </w:pPr>
    </w:p>
    <w:p w:rsidR="00AA3AAB" w:rsidRPr="007C7EEE" w:rsidRDefault="00AD18BB" w:rsidP="001C74DD">
      <w:pPr>
        <w:pStyle w:val="CaptionLong"/>
      </w:pPr>
      <w:r w:rsidRPr="007C7EEE">
        <w:rPr>
          <w:b/>
        </w:rPr>
        <w:t>Table 2</w:t>
      </w:r>
      <w:r w:rsidR="00AA3AAB" w:rsidRPr="007C7EEE">
        <w:rPr>
          <w:b/>
        </w:rPr>
        <w:t>.</w:t>
      </w:r>
      <w:r w:rsidR="00AA3AAB" w:rsidRPr="007C7EEE">
        <w:t xml:space="preserve"> Types and characteristics of </w:t>
      </w:r>
      <w:r w:rsidR="001C74DD" w:rsidRPr="007C7EEE">
        <w:t xml:space="preserve">sample </w:t>
      </w:r>
      <w:r w:rsidR="00AA3AAB" w:rsidRPr="007C7EEE">
        <w:t>Bulk Carriers</w:t>
      </w:r>
      <w:r w:rsidR="001C74DD" w:rsidRPr="007C7EEE">
        <w:t>.</w:t>
      </w:r>
    </w:p>
    <w:tbl>
      <w:tblPr>
        <w:tblW w:w="6973" w:type="dxa"/>
        <w:jc w:val="center"/>
        <w:tblLook w:val="00BF"/>
      </w:tblPr>
      <w:tblGrid>
        <w:gridCol w:w="1257"/>
        <w:gridCol w:w="1242"/>
        <w:gridCol w:w="1518"/>
        <w:gridCol w:w="1438"/>
        <w:gridCol w:w="1518"/>
      </w:tblGrid>
      <w:tr w:rsidR="00AA3AAB" w:rsidRPr="007C7EEE" w:rsidTr="00492224">
        <w:trPr>
          <w:jc w:val="center"/>
        </w:trPr>
        <w:tc>
          <w:tcPr>
            <w:tcW w:w="1257" w:type="dxa"/>
            <w:tcBorders>
              <w:top w:val="single" w:sz="4" w:space="0" w:color="auto"/>
              <w:bottom w:val="single" w:sz="4" w:space="0" w:color="auto"/>
            </w:tcBorders>
            <w:vAlign w:val="center"/>
          </w:tcPr>
          <w:p w:rsidR="00AA3AAB" w:rsidRPr="007C7EEE" w:rsidRDefault="00AA3AAB" w:rsidP="00492224">
            <w:pPr>
              <w:ind w:firstLine="0"/>
              <w:jc w:val="center"/>
              <w:rPr>
                <w:b/>
                <w:sz w:val="16"/>
                <w:szCs w:val="16"/>
              </w:rPr>
            </w:pPr>
            <w:r w:rsidRPr="007C7EEE">
              <w:rPr>
                <w:b/>
                <w:sz w:val="16"/>
                <w:szCs w:val="16"/>
              </w:rPr>
              <w:t>Type</w:t>
            </w:r>
          </w:p>
        </w:tc>
        <w:tc>
          <w:tcPr>
            <w:tcW w:w="1242" w:type="dxa"/>
            <w:tcBorders>
              <w:top w:val="single" w:sz="4" w:space="0" w:color="auto"/>
              <w:bottom w:val="single" w:sz="4" w:space="0" w:color="auto"/>
            </w:tcBorders>
            <w:vAlign w:val="center"/>
          </w:tcPr>
          <w:p w:rsidR="00AA3AAB" w:rsidRPr="007C7EEE" w:rsidRDefault="00B341A0" w:rsidP="00492224">
            <w:pPr>
              <w:ind w:firstLine="0"/>
              <w:jc w:val="center"/>
              <w:rPr>
                <w:b/>
                <w:sz w:val="16"/>
                <w:szCs w:val="16"/>
              </w:rPr>
            </w:pPr>
            <w:r w:rsidRPr="007C7EEE">
              <w:rPr>
                <w:b/>
                <w:sz w:val="16"/>
                <w:szCs w:val="16"/>
              </w:rPr>
              <w:t>SCNT</w:t>
            </w:r>
          </w:p>
        </w:tc>
        <w:tc>
          <w:tcPr>
            <w:tcW w:w="1518" w:type="dxa"/>
            <w:tcBorders>
              <w:top w:val="single" w:sz="4" w:space="0" w:color="auto"/>
              <w:bottom w:val="single" w:sz="4" w:space="0" w:color="auto"/>
            </w:tcBorders>
            <w:vAlign w:val="center"/>
          </w:tcPr>
          <w:p w:rsidR="00AA3AAB" w:rsidRPr="007C7EEE" w:rsidRDefault="00B341A0" w:rsidP="00492224">
            <w:pPr>
              <w:ind w:firstLine="0"/>
              <w:jc w:val="center"/>
              <w:rPr>
                <w:b/>
                <w:sz w:val="16"/>
                <w:szCs w:val="16"/>
              </w:rPr>
            </w:pPr>
            <w:r w:rsidRPr="007C7EEE">
              <w:rPr>
                <w:b/>
                <w:sz w:val="16"/>
                <w:szCs w:val="16"/>
              </w:rPr>
              <w:t>SCGT</w:t>
            </w:r>
          </w:p>
        </w:tc>
        <w:tc>
          <w:tcPr>
            <w:tcW w:w="1438" w:type="dxa"/>
            <w:tcBorders>
              <w:top w:val="single" w:sz="4" w:space="0" w:color="auto"/>
              <w:bottom w:val="single" w:sz="4" w:space="0" w:color="auto"/>
            </w:tcBorders>
            <w:vAlign w:val="center"/>
          </w:tcPr>
          <w:p w:rsidR="00AA3AAB" w:rsidRPr="007C7EEE" w:rsidRDefault="00B341A0" w:rsidP="00492224">
            <w:pPr>
              <w:ind w:firstLine="0"/>
              <w:jc w:val="center"/>
              <w:rPr>
                <w:b/>
                <w:sz w:val="16"/>
                <w:szCs w:val="16"/>
              </w:rPr>
            </w:pPr>
            <w:r w:rsidRPr="007C7EEE">
              <w:rPr>
                <w:b/>
                <w:sz w:val="16"/>
                <w:szCs w:val="16"/>
              </w:rPr>
              <w:t>Main Engine</w:t>
            </w:r>
          </w:p>
          <w:p w:rsidR="00B341A0" w:rsidRPr="007C7EEE" w:rsidRDefault="00B341A0" w:rsidP="00492224">
            <w:pPr>
              <w:ind w:firstLine="0"/>
              <w:jc w:val="center"/>
              <w:rPr>
                <w:b/>
                <w:sz w:val="16"/>
                <w:szCs w:val="16"/>
              </w:rPr>
            </w:pPr>
            <w:r w:rsidRPr="007C7EEE">
              <w:rPr>
                <w:b/>
                <w:sz w:val="16"/>
                <w:szCs w:val="16"/>
              </w:rPr>
              <w:t>MCR (KW)</w:t>
            </w:r>
          </w:p>
        </w:tc>
        <w:tc>
          <w:tcPr>
            <w:tcW w:w="1518" w:type="dxa"/>
            <w:tcBorders>
              <w:top w:val="single" w:sz="4" w:space="0" w:color="auto"/>
              <w:bottom w:val="single" w:sz="4" w:space="0" w:color="auto"/>
            </w:tcBorders>
            <w:vAlign w:val="center"/>
          </w:tcPr>
          <w:p w:rsidR="00B341A0" w:rsidRPr="007C7EEE" w:rsidRDefault="00B341A0" w:rsidP="00492224">
            <w:pPr>
              <w:ind w:firstLine="0"/>
              <w:jc w:val="center"/>
              <w:rPr>
                <w:b/>
                <w:sz w:val="16"/>
                <w:szCs w:val="16"/>
              </w:rPr>
            </w:pPr>
            <w:r w:rsidRPr="007C7EEE">
              <w:rPr>
                <w:b/>
                <w:sz w:val="16"/>
                <w:szCs w:val="16"/>
              </w:rPr>
              <w:t>Average sea</w:t>
            </w:r>
          </w:p>
          <w:p w:rsidR="00AA3AAB" w:rsidRPr="007C7EEE" w:rsidRDefault="001C74DD" w:rsidP="00492224">
            <w:pPr>
              <w:ind w:firstLine="0"/>
              <w:jc w:val="center"/>
              <w:rPr>
                <w:b/>
                <w:sz w:val="16"/>
                <w:szCs w:val="16"/>
              </w:rPr>
            </w:pPr>
            <w:r w:rsidRPr="007C7EEE">
              <w:rPr>
                <w:b/>
                <w:sz w:val="16"/>
                <w:szCs w:val="16"/>
              </w:rPr>
              <w:t>s</w:t>
            </w:r>
            <w:r w:rsidR="00B341A0" w:rsidRPr="007C7EEE">
              <w:rPr>
                <w:b/>
                <w:sz w:val="16"/>
                <w:szCs w:val="16"/>
              </w:rPr>
              <w:t>peed in knots</w:t>
            </w:r>
          </w:p>
        </w:tc>
      </w:tr>
      <w:tr w:rsidR="00AA3AAB" w:rsidRPr="007C7EEE" w:rsidTr="00492224">
        <w:trPr>
          <w:jc w:val="center"/>
        </w:trPr>
        <w:tc>
          <w:tcPr>
            <w:tcW w:w="1257" w:type="dxa"/>
            <w:tcBorders>
              <w:top w:val="single" w:sz="4" w:space="0" w:color="auto"/>
            </w:tcBorders>
            <w:vAlign w:val="center"/>
          </w:tcPr>
          <w:p w:rsidR="00AA3AAB" w:rsidRPr="007C7EEE" w:rsidRDefault="00AA3AAB" w:rsidP="00492224">
            <w:pPr>
              <w:tabs>
                <w:tab w:val="decimal" w:pos="1026"/>
              </w:tabs>
              <w:ind w:firstLine="0"/>
              <w:jc w:val="center"/>
              <w:rPr>
                <w:sz w:val="16"/>
                <w:szCs w:val="16"/>
              </w:rPr>
            </w:pPr>
            <w:r w:rsidRPr="007C7EEE">
              <w:rPr>
                <w:sz w:val="16"/>
                <w:szCs w:val="16"/>
              </w:rPr>
              <w:t>Capesize</w:t>
            </w:r>
            <w:r w:rsidR="00AF3E39" w:rsidRPr="007C7EEE">
              <w:rPr>
                <w:sz w:val="16"/>
                <w:szCs w:val="16"/>
              </w:rPr>
              <w:t xml:space="preserve"> S</w:t>
            </w:r>
          </w:p>
        </w:tc>
        <w:tc>
          <w:tcPr>
            <w:tcW w:w="1242" w:type="dxa"/>
            <w:tcBorders>
              <w:top w:val="single" w:sz="4" w:space="0" w:color="auto"/>
            </w:tcBorders>
            <w:vAlign w:val="center"/>
          </w:tcPr>
          <w:p w:rsidR="00AA3AAB" w:rsidRPr="007C7EEE" w:rsidRDefault="00B341A0" w:rsidP="00492224">
            <w:pPr>
              <w:tabs>
                <w:tab w:val="decimal" w:pos="1013"/>
              </w:tabs>
              <w:ind w:firstLine="0"/>
              <w:jc w:val="center"/>
              <w:rPr>
                <w:sz w:val="16"/>
                <w:szCs w:val="16"/>
              </w:rPr>
            </w:pPr>
            <w:r w:rsidRPr="007C7EEE">
              <w:rPr>
                <w:sz w:val="16"/>
                <w:szCs w:val="16"/>
              </w:rPr>
              <w:t>88,564</w:t>
            </w:r>
          </w:p>
        </w:tc>
        <w:tc>
          <w:tcPr>
            <w:tcW w:w="1518" w:type="dxa"/>
            <w:tcBorders>
              <w:top w:val="single" w:sz="4" w:space="0" w:color="auto"/>
            </w:tcBorders>
            <w:vAlign w:val="center"/>
          </w:tcPr>
          <w:p w:rsidR="00AA3AAB" w:rsidRPr="007C7EEE" w:rsidRDefault="00B341A0" w:rsidP="00492224">
            <w:pPr>
              <w:tabs>
                <w:tab w:val="decimal" w:pos="1101"/>
              </w:tabs>
              <w:ind w:firstLine="0"/>
              <w:jc w:val="center"/>
              <w:rPr>
                <w:sz w:val="16"/>
                <w:szCs w:val="16"/>
              </w:rPr>
            </w:pPr>
            <w:r w:rsidRPr="007C7EEE">
              <w:rPr>
                <w:sz w:val="16"/>
                <w:szCs w:val="16"/>
              </w:rPr>
              <w:t>94,634</w:t>
            </w:r>
          </w:p>
        </w:tc>
        <w:tc>
          <w:tcPr>
            <w:tcW w:w="1438" w:type="dxa"/>
            <w:tcBorders>
              <w:top w:val="single" w:sz="4" w:space="0" w:color="auto"/>
            </w:tcBorders>
            <w:vAlign w:val="center"/>
          </w:tcPr>
          <w:p w:rsidR="00AA3AAB" w:rsidRPr="007C7EEE" w:rsidRDefault="00B341A0" w:rsidP="00492224">
            <w:pPr>
              <w:tabs>
                <w:tab w:val="decimal" w:pos="1101"/>
              </w:tabs>
              <w:ind w:firstLine="0"/>
              <w:jc w:val="center"/>
              <w:rPr>
                <w:sz w:val="16"/>
                <w:szCs w:val="16"/>
              </w:rPr>
            </w:pPr>
            <w:r w:rsidRPr="007C7EEE">
              <w:rPr>
                <w:sz w:val="16"/>
                <w:szCs w:val="16"/>
              </w:rPr>
              <w:t>18,600</w:t>
            </w:r>
          </w:p>
        </w:tc>
        <w:tc>
          <w:tcPr>
            <w:tcW w:w="1518" w:type="dxa"/>
            <w:tcBorders>
              <w:top w:val="single" w:sz="4" w:space="0" w:color="auto"/>
            </w:tcBorders>
            <w:vAlign w:val="center"/>
          </w:tcPr>
          <w:p w:rsidR="00AA3AAB" w:rsidRPr="007C7EEE" w:rsidRDefault="001C74DD" w:rsidP="00492224">
            <w:pPr>
              <w:tabs>
                <w:tab w:val="decimal" w:pos="1101"/>
              </w:tabs>
              <w:ind w:firstLine="0"/>
              <w:jc w:val="center"/>
              <w:rPr>
                <w:sz w:val="16"/>
                <w:szCs w:val="16"/>
              </w:rPr>
            </w:pPr>
            <w:r w:rsidRPr="007C7EEE">
              <w:rPr>
                <w:sz w:val="16"/>
                <w:szCs w:val="16"/>
              </w:rPr>
              <w:t>11.7</w:t>
            </w:r>
          </w:p>
        </w:tc>
      </w:tr>
      <w:tr w:rsidR="00AA3AAB" w:rsidRPr="007C7EEE" w:rsidTr="00492224">
        <w:trPr>
          <w:jc w:val="center"/>
        </w:trPr>
        <w:tc>
          <w:tcPr>
            <w:tcW w:w="1257" w:type="dxa"/>
            <w:vAlign w:val="center"/>
          </w:tcPr>
          <w:p w:rsidR="00AA3AAB" w:rsidRPr="007C7EEE" w:rsidRDefault="00AA3AAB" w:rsidP="00492224">
            <w:pPr>
              <w:tabs>
                <w:tab w:val="decimal" w:pos="1026"/>
              </w:tabs>
              <w:ind w:firstLine="0"/>
              <w:jc w:val="center"/>
              <w:rPr>
                <w:sz w:val="16"/>
                <w:szCs w:val="16"/>
              </w:rPr>
            </w:pPr>
            <w:r w:rsidRPr="007C7EEE">
              <w:rPr>
                <w:sz w:val="16"/>
                <w:szCs w:val="16"/>
              </w:rPr>
              <w:t>Panamax</w:t>
            </w:r>
            <w:r w:rsidR="00AF3E39" w:rsidRPr="007C7EEE">
              <w:rPr>
                <w:sz w:val="16"/>
                <w:szCs w:val="16"/>
              </w:rPr>
              <w:t xml:space="preserve"> S</w:t>
            </w:r>
          </w:p>
        </w:tc>
        <w:tc>
          <w:tcPr>
            <w:tcW w:w="1242" w:type="dxa"/>
            <w:vAlign w:val="center"/>
          </w:tcPr>
          <w:p w:rsidR="00AA3AAB" w:rsidRPr="007C7EEE" w:rsidRDefault="00B341A0" w:rsidP="00492224">
            <w:pPr>
              <w:tabs>
                <w:tab w:val="decimal" w:pos="1013"/>
              </w:tabs>
              <w:ind w:firstLine="0"/>
              <w:jc w:val="center"/>
              <w:rPr>
                <w:sz w:val="16"/>
                <w:szCs w:val="16"/>
              </w:rPr>
            </w:pPr>
            <w:r w:rsidRPr="007C7EEE">
              <w:rPr>
                <w:sz w:val="16"/>
                <w:szCs w:val="16"/>
              </w:rPr>
              <w:t>38,761</w:t>
            </w:r>
          </w:p>
        </w:tc>
        <w:tc>
          <w:tcPr>
            <w:tcW w:w="1518" w:type="dxa"/>
            <w:vAlign w:val="center"/>
          </w:tcPr>
          <w:p w:rsidR="00AA3AAB" w:rsidRPr="007C7EEE" w:rsidRDefault="00B341A0" w:rsidP="00492224">
            <w:pPr>
              <w:tabs>
                <w:tab w:val="decimal" w:pos="1101"/>
              </w:tabs>
              <w:ind w:firstLine="0"/>
              <w:jc w:val="center"/>
              <w:rPr>
                <w:sz w:val="16"/>
                <w:szCs w:val="16"/>
              </w:rPr>
            </w:pPr>
            <w:r w:rsidRPr="007C7EEE">
              <w:rPr>
                <w:sz w:val="16"/>
                <w:szCs w:val="16"/>
              </w:rPr>
              <w:t>43,006</w:t>
            </w:r>
          </w:p>
        </w:tc>
        <w:tc>
          <w:tcPr>
            <w:tcW w:w="1438" w:type="dxa"/>
            <w:vAlign w:val="center"/>
          </w:tcPr>
          <w:p w:rsidR="00AA3AAB" w:rsidRPr="007C7EEE" w:rsidRDefault="00B341A0" w:rsidP="00492224">
            <w:pPr>
              <w:tabs>
                <w:tab w:val="decimal" w:pos="1101"/>
              </w:tabs>
              <w:ind w:firstLine="0"/>
              <w:jc w:val="center"/>
              <w:rPr>
                <w:sz w:val="16"/>
                <w:szCs w:val="16"/>
              </w:rPr>
            </w:pPr>
            <w:r w:rsidRPr="007C7EEE">
              <w:rPr>
                <w:sz w:val="16"/>
                <w:szCs w:val="16"/>
              </w:rPr>
              <w:t>10,000</w:t>
            </w:r>
          </w:p>
        </w:tc>
        <w:tc>
          <w:tcPr>
            <w:tcW w:w="1518" w:type="dxa"/>
            <w:vAlign w:val="center"/>
          </w:tcPr>
          <w:p w:rsidR="00AA3AAB" w:rsidRPr="007C7EEE" w:rsidRDefault="001C74DD" w:rsidP="00492224">
            <w:pPr>
              <w:tabs>
                <w:tab w:val="decimal" w:pos="1101"/>
              </w:tabs>
              <w:ind w:firstLine="0"/>
              <w:jc w:val="center"/>
              <w:rPr>
                <w:sz w:val="16"/>
                <w:szCs w:val="16"/>
              </w:rPr>
            </w:pPr>
            <w:r w:rsidRPr="007C7EEE">
              <w:rPr>
                <w:sz w:val="16"/>
                <w:szCs w:val="16"/>
              </w:rPr>
              <w:t>11.9</w:t>
            </w:r>
          </w:p>
        </w:tc>
      </w:tr>
      <w:tr w:rsidR="00AA3AAB" w:rsidRPr="007C7EEE" w:rsidTr="00492224">
        <w:trPr>
          <w:jc w:val="center"/>
        </w:trPr>
        <w:tc>
          <w:tcPr>
            <w:tcW w:w="1257" w:type="dxa"/>
            <w:vAlign w:val="center"/>
          </w:tcPr>
          <w:p w:rsidR="00AA3AAB" w:rsidRPr="007C7EEE" w:rsidRDefault="00AA3AAB" w:rsidP="00492224">
            <w:pPr>
              <w:tabs>
                <w:tab w:val="decimal" w:pos="1026"/>
              </w:tabs>
              <w:ind w:firstLine="0"/>
              <w:jc w:val="center"/>
              <w:rPr>
                <w:sz w:val="16"/>
                <w:szCs w:val="16"/>
              </w:rPr>
            </w:pPr>
            <w:r w:rsidRPr="007C7EEE">
              <w:rPr>
                <w:sz w:val="16"/>
                <w:szCs w:val="16"/>
              </w:rPr>
              <w:t>Supramax</w:t>
            </w:r>
            <w:r w:rsidR="00AF3E39" w:rsidRPr="007C7EEE">
              <w:rPr>
                <w:sz w:val="16"/>
                <w:szCs w:val="16"/>
              </w:rPr>
              <w:t xml:space="preserve"> S</w:t>
            </w:r>
          </w:p>
        </w:tc>
        <w:tc>
          <w:tcPr>
            <w:tcW w:w="1242" w:type="dxa"/>
            <w:vAlign w:val="center"/>
          </w:tcPr>
          <w:p w:rsidR="00AA3AAB" w:rsidRPr="007C7EEE" w:rsidRDefault="00B341A0" w:rsidP="00492224">
            <w:pPr>
              <w:tabs>
                <w:tab w:val="decimal" w:pos="1013"/>
              </w:tabs>
              <w:ind w:firstLine="0"/>
              <w:jc w:val="center"/>
              <w:rPr>
                <w:sz w:val="16"/>
                <w:szCs w:val="16"/>
              </w:rPr>
            </w:pPr>
            <w:r w:rsidRPr="007C7EEE">
              <w:rPr>
                <w:sz w:val="16"/>
                <w:szCs w:val="16"/>
              </w:rPr>
              <w:t>30,961</w:t>
            </w:r>
          </w:p>
        </w:tc>
        <w:tc>
          <w:tcPr>
            <w:tcW w:w="1518" w:type="dxa"/>
            <w:vAlign w:val="center"/>
          </w:tcPr>
          <w:p w:rsidR="00AA3AAB" w:rsidRPr="007C7EEE" w:rsidRDefault="00B341A0" w:rsidP="00492224">
            <w:pPr>
              <w:tabs>
                <w:tab w:val="decimal" w:pos="1101"/>
              </w:tabs>
              <w:ind w:firstLine="0"/>
              <w:jc w:val="center"/>
              <w:rPr>
                <w:sz w:val="16"/>
                <w:szCs w:val="16"/>
              </w:rPr>
            </w:pPr>
            <w:r w:rsidRPr="007C7EEE">
              <w:rPr>
                <w:sz w:val="16"/>
                <w:szCs w:val="16"/>
              </w:rPr>
              <w:t>34,183</w:t>
            </w:r>
          </w:p>
        </w:tc>
        <w:tc>
          <w:tcPr>
            <w:tcW w:w="1438" w:type="dxa"/>
            <w:vAlign w:val="center"/>
          </w:tcPr>
          <w:p w:rsidR="00AA3AAB" w:rsidRPr="007C7EEE" w:rsidRDefault="00B341A0" w:rsidP="00492224">
            <w:pPr>
              <w:tabs>
                <w:tab w:val="decimal" w:pos="1101"/>
              </w:tabs>
              <w:ind w:firstLine="0"/>
              <w:jc w:val="center"/>
              <w:rPr>
                <w:sz w:val="16"/>
                <w:szCs w:val="16"/>
              </w:rPr>
            </w:pPr>
            <w:r w:rsidRPr="007C7EEE">
              <w:rPr>
                <w:sz w:val="16"/>
                <w:szCs w:val="16"/>
              </w:rPr>
              <w:t>9,480</w:t>
            </w:r>
          </w:p>
        </w:tc>
        <w:tc>
          <w:tcPr>
            <w:tcW w:w="1518" w:type="dxa"/>
            <w:vAlign w:val="center"/>
          </w:tcPr>
          <w:p w:rsidR="00AA3AAB" w:rsidRPr="007C7EEE" w:rsidRDefault="001C74DD" w:rsidP="00492224">
            <w:pPr>
              <w:tabs>
                <w:tab w:val="decimal" w:pos="1101"/>
              </w:tabs>
              <w:ind w:firstLine="0"/>
              <w:jc w:val="center"/>
              <w:rPr>
                <w:sz w:val="16"/>
                <w:szCs w:val="16"/>
              </w:rPr>
            </w:pPr>
            <w:r w:rsidRPr="007C7EEE">
              <w:rPr>
                <w:sz w:val="16"/>
                <w:szCs w:val="16"/>
              </w:rPr>
              <w:t>11.8</w:t>
            </w:r>
          </w:p>
        </w:tc>
      </w:tr>
      <w:tr w:rsidR="00AA3AAB" w:rsidRPr="007C7EEE" w:rsidTr="00492224">
        <w:trPr>
          <w:jc w:val="center"/>
        </w:trPr>
        <w:tc>
          <w:tcPr>
            <w:tcW w:w="1257" w:type="dxa"/>
            <w:tcBorders>
              <w:bottom w:val="single" w:sz="4" w:space="0" w:color="auto"/>
            </w:tcBorders>
            <w:vAlign w:val="center"/>
          </w:tcPr>
          <w:p w:rsidR="00AA3AAB" w:rsidRPr="007C7EEE" w:rsidRDefault="00AA3AAB" w:rsidP="00492224">
            <w:pPr>
              <w:tabs>
                <w:tab w:val="decimal" w:pos="1026"/>
              </w:tabs>
              <w:ind w:firstLine="0"/>
              <w:jc w:val="center"/>
              <w:rPr>
                <w:sz w:val="16"/>
                <w:szCs w:val="16"/>
              </w:rPr>
            </w:pPr>
            <w:r w:rsidRPr="007C7EEE">
              <w:rPr>
                <w:sz w:val="16"/>
                <w:szCs w:val="16"/>
              </w:rPr>
              <w:t>Handysize</w:t>
            </w:r>
            <w:r w:rsidR="00AF3E39" w:rsidRPr="007C7EEE">
              <w:rPr>
                <w:sz w:val="16"/>
                <w:szCs w:val="16"/>
              </w:rPr>
              <w:t xml:space="preserve"> S</w:t>
            </w:r>
          </w:p>
        </w:tc>
        <w:tc>
          <w:tcPr>
            <w:tcW w:w="1242" w:type="dxa"/>
            <w:tcBorders>
              <w:bottom w:val="single" w:sz="4" w:space="0" w:color="auto"/>
            </w:tcBorders>
            <w:vAlign w:val="center"/>
          </w:tcPr>
          <w:p w:rsidR="00AA3AAB" w:rsidRPr="007C7EEE" w:rsidRDefault="00B341A0" w:rsidP="00492224">
            <w:pPr>
              <w:tabs>
                <w:tab w:val="decimal" w:pos="1013"/>
              </w:tabs>
              <w:ind w:firstLine="0"/>
              <w:jc w:val="center"/>
              <w:rPr>
                <w:sz w:val="16"/>
                <w:szCs w:val="16"/>
              </w:rPr>
            </w:pPr>
            <w:r w:rsidRPr="007C7EEE">
              <w:rPr>
                <w:sz w:val="16"/>
                <w:szCs w:val="16"/>
              </w:rPr>
              <w:t>15,971</w:t>
            </w:r>
          </w:p>
        </w:tc>
        <w:tc>
          <w:tcPr>
            <w:tcW w:w="1518" w:type="dxa"/>
            <w:tcBorders>
              <w:bottom w:val="single" w:sz="4" w:space="0" w:color="auto"/>
            </w:tcBorders>
            <w:vAlign w:val="center"/>
          </w:tcPr>
          <w:p w:rsidR="00AA3AAB" w:rsidRPr="007C7EEE" w:rsidRDefault="00B341A0" w:rsidP="00492224">
            <w:pPr>
              <w:tabs>
                <w:tab w:val="decimal" w:pos="1101"/>
              </w:tabs>
              <w:ind w:firstLine="0"/>
              <w:jc w:val="center"/>
              <w:rPr>
                <w:sz w:val="16"/>
                <w:szCs w:val="16"/>
              </w:rPr>
            </w:pPr>
            <w:r w:rsidRPr="007C7EEE">
              <w:rPr>
                <w:sz w:val="16"/>
                <w:szCs w:val="16"/>
              </w:rPr>
              <w:t>17,636</w:t>
            </w:r>
          </w:p>
        </w:tc>
        <w:tc>
          <w:tcPr>
            <w:tcW w:w="1438" w:type="dxa"/>
            <w:tcBorders>
              <w:bottom w:val="single" w:sz="4" w:space="0" w:color="auto"/>
            </w:tcBorders>
            <w:vAlign w:val="center"/>
          </w:tcPr>
          <w:p w:rsidR="00AA3AAB" w:rsidRPr="007C7EEE" w:rsidRDefault="00B341A0" w:rsidP="00492224">
            <w:pPr>
              <w:tabs>
                <w:tab w:val="decimal" w:pos="1101"/>
              </w:tabs>
              <w:ind w:firstLine="0"/>
              <w:jc w:val="center"/>
              <w:rPr>
                <w:sz w:val="16"/>
                <w:szCs w:val="16"/>
              </w:rPr>
            </w:pPr>
            <w:r w:rsidRPr="007C7EEE">
              <w:rPr>
                <w:sz w:val="16"/>
                <w:szCs w:val="16"/>
              </w:rPr>
              <w:t>6,150</w:t>
            </w:r>
          </w:p>
        </w:tc>
        <w:tc>
          <w:tcPr>
            <w:tcW w:w="1518" w:type="dxa"/>
            <w:tcBorders>
              <w:bottom w:val="single" w:sz="4" w:space="0" w:color="auto"/>
            </w:tcBorders>
            <w:vAlign w:val="center"/>
          </w:tcPr>
          <w:p w:rsidR="00AA3AAB" w:rsidRPr="007C7EEE" w:rsidRDefault="001C74DD" w:rsidP="00492224">
            <w:pPr>
              <w:tabs>
                <w:tab w:val="decimal" w:pos="1101"/>
              </w:tabs>
              <w:ind w:firstLine="0"/>
              <w:jc w:val="center"/>
              <w:rPr>
                <w:sz w:val="16"/>
                <w:szCs w:val="16"/>
              </w:rPr>
            </w:pPr>
            <w:r w:rsidRPr="007C7EEE">
              <w:rPr>
                <w:sz w:val="16"/>
                <w:szCs w:val="16"/>
              </w:rPr>
              <w:t>11.4</w:t>
            </w:r>
          </w:p>
        </w:tc>
      </w:tr>
    </w:tbl>
    <w:p w:rsidR="00501D6E" w:rsidRPr="007C7EEE" w:rsidRDefault="003038D7" w:rsidP="009E0C01">
      <w:pPr>
        <w:pStyle w:val="Heading2"/>
        <w:rPr>
          <w:lang w:eastAsia="en-US"/>
        </w:rPr>
      </w:pPr>
      <w:r w:rsidRPr="007C7EEE">
        <w:rPr>
          <w:lang w:eastAsia="en-US"/>
        </w:rPr>
        <w:t xml:space="preserve"> Evaluation of Vessel savings</w:t>
      </w:r>
    </w:p>
    <w:p w:rsidR="00AD1FC7" w:rsidRPr="007C7EEE" w:rsidRDefault="00FB469C" w:rsidP="00492224">
      <w:pPr>
        <w:pStyle w:val="NoindentNormal"/>
      </w:pPr>
      <w:r w:rsidRPr="007C7EEE">
        <w:t>Vessel</w:t>
      </w:r>
      <w:r w:rsidR="00AF3E39" w:rsidRPr="007C7EEE">
        <w:t>'s</w:t>
      </w:r>
      <w:r w:rsidRPr="007C7EEE">
        <w:t xml:space="preserve"> </w:t>
      </w:r>
      <w:r w:rsidR="00011997" w:rsidRPr="007C7EEE">
        <w:t xml:space="preserve">savings when passing </w:t>
      </w:r>
      <w:r w:rsidR="00492224" w:rsidRPr="007C7EEE">
        <w:t>through the</w:t>
      </w:r>
      <w:r w:rsidR="00011997" w:rsidRPr="007C7EEE">
        <w:t xml:space="preserve"> SC is due to the reduction in the distance and the </w:t>
      </w:r>
      <w:r w:rsidR="00AD1FC7" w:rsidRPr="007C7EEE">
        <w:t>time at sea</w:t>
      </w:r>
      <w:r w:rsidR="00011997" w:rsidRPr="007C7EEE">
        <w:t>.</w:t>
      </w:r>
      <w:r w:rsidR="00AD1FC7" w:rsidRPr="007C7EEE">
        <w:t xml:space="preserve"> These</w:t>
      </w:r>
      <w:r w:rsidR="00492224" w:rsidRPr="007C7EEE">
        <w:t xml:space="preserve"> reductions consequently minimize</w:t>
      </w:r>
      <w:r w:rsidR="00AD1FC7" w:rsidRPr="007C7EEE">
        <w:t xml:space="preserve"> t</w:t>
      </w:r>
      <w:r w:rsidR="00492224" w:rsidRPr="007C7EEE">
        <w:t>he operating costs and max</w:t>
      </w:r>
      <w:r w:rsidR="00774BD1" w:rsidRPr="007C7EEE">
        <w:t>i</w:t>
      </w:r>
      <w:r w:rsidR="00492224" w:rsidRPr="007C7EEE">
        <w:t>mize</w:t>
      </w:r>
      <w:r w:rsidR="00AD1FC7" w:rsidRPr="007C7EEE">
        <w:t xml:space="preserve"> the profit</w:t>
      </w:r>
      <w:r w:rsidR="00492224" w:rsidRPr="007C7EEE">
        <w:t>,</w:t>
      </w:r>
      <w:r w:rsidR="00AD1FC7" w:rsidRPr="007C7EEE">
        <w:t xml:space="preserve"> as the number of trips conducted annually can be increased [9].</w:t>
      </w:r>
    </w:p>
    <w:p w:rsidR="009E0C01" w:rsidRPr="007C7EEE" w:rsidRDefault="00AD1FC7" w:rsidP="00AD1FC7">
      <w:r w:rsidRPr="007C7EEE">
        <w:t xml:space="preserve">The </w:t>
      </w:r>
      <w:r w:rsidR="00FB469C" w:rsidRPr="007C7EEE">
        <w:t>operating costs can be generally categorized as routine and voyage related costs. The routine costs occur on a daily basis and are not affected by the specific voyage of the vessel, and these generally include capital costs, crew wages, victualling, insurance, spares, and periodic maintenance costs. Costs specific to a voyage includes bunkers, port/canal dues, stevedoring, and load/discharge costs</w:t>
      </w:r>
      <w:r w:rsidR="00FC5F44" w:rsidRPr="007C7EEE">
        <w:t xml:space="preserve"> [7</w:t>
      </w:r>
      <w:r w:rsidRPr="007C7EEE">
        <w:t>,9</w:t>
      </w:r>
      <w:r w:rsidR="00FC5F44" w:rsidRPr="007C7EEE">
        <w:t>]</w:t>
      </w:r>
      <w:r w:rsidR="009E0C01" w:rsidRPr="007C7EEE">
        <w:t>.</w:t>
      </w:r>
      <w:r w:rsidR="003038D7" w:rsidRPr="007C7EEE">
        <w:t xml:space="preserve"> </w:t>
      </w:r>
    </w:p>
    <w:p w:rsidR="009E0C01" w:rsidRPr="007C7EEE" w:rsidRDefault="00FB469C" w:rsidP="003C66C5">
      <w:r w:rsidRPr="007C7EEE">
        <w:t>In order to simp</w:t>
      </w:r>
      <w:r w:rsidR="003038D7" w:rsidRPr="007C7EEE">
        <w:t>lify the savings</w:t>
      </w:r>
      <w:r w:rsidRPr="007C7EEE">
        <w:t xml:space="preserve"> calculation procedure and suggest a realistic</w:t>
      </w:r>
      <w:r w:rsidR="009B2103" w:rsidRPr="007C7EEE">
        <w:t>, reliable</w:t>
      </w:r>
      <w:r w:rsidRPr="007C7EEE">
        <w:t xml:space="preserve"> and fast method for the calculati</w:t>
      </w:r>
      <w:r w:rsidR="00AF3E39" w:rsidRPr="007C7EEE">
        <w:t>on, the first group of costs</w:t>
      </w:r>
      <w:r w:rsidRPr="007C7EEE">
        <w:t xml:space="preserve"> </w:t>
      </w:r>
      <w:r w:rsidR="00A95DB9" w:rsidRPr="007C7EEE">
        <w:t>and the vessel</w:t>
      </w:r>
      <w:r w:rsidR="00445847" w:rsidRPr="007C7EEE">
        <w:t>'s daily</w:t>
      </w:r>
      <w:r w:rsidR="00A95DB9" w:rsidRPr="007C7EEE">
        <w:t xml:space="preserve"> profit</w:t>
      </w:r>
      <w:r w:rsidR="003038D7" w:rsidRPr="007C7EEE">
        <w:t xml:space="preserve"> </w:t>
      </w:r>
      <w:r w:rsidR="00445847" w:rsidRPr="007C7EEE">
        <w:t>are named the</w:t>
      </w:r>
      <w:r w:rsidRPr="007C7EEE">
        <w:t xml:space="preserve"> time </w:t>
      </w:r>
      <w:r w:rsidR="00445847" w:rsidRPr="007C7EEE">
        <w:t xml:space="preserve">savings and corresponds to the time </w:t>
      </w:r>
      <w:r w:rsidRPr="007C7EEE">
        <w:t xml:space="preserve">charter </w:t>
      </w:r>
      <w:r w:rsidR="001D678C" w:rsidRPr="007C7EEE">
        <w:t xml:space="preserve">(TC) </w:t>
      </w:r>
      <w:r w:rsidRPr="007C7EEE">
        <w:t>or time charter equivalent</w:t>
      </w:r>
      <w:r w:rsidR="001D678C" w:rsidRPr="007C7EEE">
        <w:t xml:space="preserve"> (TCE)</w:t>
      </w:r>
      <w:r w:rsidR="003C66C5" w:rsidRPr="007C7EEE">
        <w:t xml:space="preserve"> of the</w:t>
      </w:r>
      <w:r w:rsidRPr="007C7EEE">
        <w:t xml:space="preserve"> vessel</w:t>
      </w:r>
      <w:r w:rsidR="003C66C5" w:rsidRPr="007C7EEE">
        <w:t xml:space="preserve"> when multiplied by the time saved, b</w:t>
      </w:r>
      <w:r w:rsidRPr="007C7EEE">
        <w:t>oth</w:t>
      </w:r>
      <w:r w:rsidR="003C66C5" w:rsidRPr="007C7EEE">
        <w:t xml:space="preserve"> the TC and TCE</w:t>
      </w:r>
      <w:r w:rsidRPr="007C7EEE">
        <w:t xml:space="preserve"> have reliable daily published indices</w:t>
      </w:r>
      <w:r w:rsidR="00AF3E39" w:rsidRPr="007C7EEE">
        <w:t xml:space="preserve"> [7]</w:t>
      </w:r>
      <w:r w:rsidRPr="007C7EEE">
        <w:t>. Out of the second category</w:t>
      </w:r>
      <w:r w:rsidR="006B0F53" w:rsidRPr="007C7EEE">
        <w:t xml:space="preserve"> of the cost</w:t>
      </w:r>
      <w:r w:rsidR="00AF3E39" w:rsidRPr="007C7EEE">
        <w:t>s,</w:t>
      </w:r>
      <w:r w:rsidRPr="007C7EEE">
        <w:t xml:space="preserve"> we are mainly </w:t>
      </w:r>
      <w:r w:rsidR="00AF3E39" w:rsidRPr="007C7EEE">
        <w:t>concerned with</w:t>
      </w:r>
      <w:r w:rsidRPr="007C7EEE">
        <w:t xml:space="preserve"> the bunker cost as the other costs are n</w:t>
      </w:r>
      <w:r w:rsidR="00AF3E39" w:rsidRPr="007C7EEE">
        <w:t>ot affected by passing via SC. B</w:t>
      </w:r>
      <w:r w:rsidRPr="007C7EEE">
        <w:t xml:space="preserve">y summing up these two parts we can evaluate the </w:t>
      </w:r>
      <w:r w:rsidR="007B4CEE" w:rsidRPr="007C7EEE">
        <w:t>total vessel daily savings at sea</w:t>
      </w:r>
      <w:r w:rsidRPr="007C7EEE">
        <w:t>.</w:t>
      </w:r>
    </w:p>
    <w:p w:rsidR="00FB469C" w:rsidRPr="007C7EEE" w:rsidRDefault="00FB469C" w:rsidP="004959A1">
      <w:r w:rsidRPr="007C7EEE">
        <w:t>TC grants th</w:t>
      </w:r>
      <w:r w:rsidR="00AD18BB" w:rsidRPr="007C7EEE">
        <w:t>e charterer</w:t>
      </w:r>
      <w:r w:rsidR="00790E60" w:rsidRPr="007C7EEE">
        <w:t xml:space="preserve"> the use of the ship and</w:t>
      </w:r>
      <w:r w:rsidRPr="007C7EEE">
        <w:t xml:space="preserve"> the owner retains responsibility for the v</w:t>
      </w:r>
      <w:r w:rsidR="001D678C" w:rsidRPr="007C7EEE">
        <w:t>essel</w:t>
      </w:r>
      <w:r w:rsidRPr="007C7EEE">
        <w:t xml:space="preserve">. The time charterer pays for the bunker, port charges, agency fees, canal dues, </w:t>
      </w:r>
      <w:r w:rsidR="001D678C" w:rsidRPr="007C7EEE">
        <w:t>pilo</w:t>
      </w:r>
      <w:r w:rsidR="00790E60" w:rsidRPr="007C7EEE">
        <w:t>tage, and cargo insurance, and</w:t>
      </w:r>
      <w:r w:rsidR="001D678C" w:rsidRPr="007C7EEE">
        <w:t xml:space="preserve"> t</w:t>
      </w:r>
      <w:r w:rsidRPr="007C7EEE">
        <w:t>he owner</w:t>
      </w:r>
      <w:r w:rsidR="004959A1" w:rsidRPr="007C7EEE">
        <w:t xml:space="preserve"> pays the routine costs</w:t>
      </w:r>
      <w:r w:rsidRPr="007C7EEE">
        <w:t xml:space="preserve"> of the vessel</w:t>
      </w:r>
      <w:r w:rsidR="004959A1" w:rsidRPr="007C7EEE">
        <w:t xml:space="preserve"> [7,9]</w:t>
      </w:r>
      <w:r w:rsidR="0053103C" w:rsidRPr="007C7EEE">
        <w:t>. TCE is used by companies to compare period to period changes in the shipping industry</w:t>
      </w:r>
      <w:r w:rsidR="00AF3E39" w:rsidRPr="007C7EEE">
        <w:t>,</w:t>
      </w:r>
      <w:r w:rsidR="0053103C" w:rsidRPr="007C7EEE">
        <w:t xml:space="preserve"> despite of </w:t>
      </w:r>
      <w:r w:rsidR="00AF3E39" w:rsidRPr="007C7EEE">
        <w:t xml:space="preserve">the </w:t>
      </w:r>
      <w:r w:rsidR="0053103C" w:rsidRPr="007C7EEE">
        <w:t>change in the mix of charter types (time, bareboat</w:t>
      </w:r>
      <w:r w:rsidR="00AF3E39" w:rsidRPr="007C7EEE">
        <w:t>,</w:t>
      </w:r>
      <w:r w:rsidR="0053103C" w:rsidRPr="007C7EEE">
        <w:t xml:space="preserve"> etc.) under which the vessels operate. A standard method to compute TCE is to divide the </w:t>
      </w:r>
      <w:r w:rsidR="00AF3E39" w:rsidRPr="007C7EEE">
        <w:t>voyage revenues excluding</w:t>
      </w:r>
      <w:r w:rsidR="0053103C" w:rsidRPr="007C7EEE">
        <w:t xml:space="preserve"> the </w:t>
      </w:r>
      <w:r w:rsidR="004959A1" w:rsidRPr="007C7EEE">
        <w:t xml:space="preserve">voyage </w:t>
      </w:r>
      <w:r w:rsidR="0053103C" w:rsidRPr="007C7EEE">
        <w:t>cost</w:t>
      </w:r>
      <w:r w:rsidR="00E40408" w:rsidRPr="007C7EEE">
        <w:t>s by the round</w:t>
      </w:r>
      <w:r w:rsidR="0053103C" w:rsidRPr="007C7EEE">
        <w:t xml:space="preserve"> voyage</w:t>
      </w:r>
      <w:r w:rsidR="00E40408" w:rsidRPr="007C7EEE">
        <w:t xml:space="preserve"> duration </w:t>
      </w:r>
      <w:r w:rsidR="0053103C" w:rsidRPr="007C7EEE">
        <w:t xml:space="preserve"> (laden/ballast legs)</w:t>
      </w:r>
      <w:r w:rsidR="00AF3E39" w:rsidRPr="007C7EEE">
        <w:t xml:space="preserve"> [7]</w:t>
      </w:r>
      <w:r w:rsidR="0053103C" w:rsidRPr="007C7EEE">
        <w:t>.</w:t>
      </w:r>
      <w:r w:rsidR="009B2103" w:rsidRPr="007C7EEE">
        <w:t xml:space="preserve"> Consequently TC or TCE includes the routine expenses and the profit.</w:t>
      </w:r>
    </w:p>
    <w:p w:rsidR="001D678C" w:rsidRPr="007C7EEE" w:rsidRDefault="00AF3E39" w:rsidP="003C66C5">
      <w:r w:rsidRPr="007C7EEE">
        <w:t>TC for one year rates during</w:t>
      </w:r>
      <w:r w:rsidR="001D678C" w:rsidRPr="007C7EEE">
        <w:t xml:space="preserve"> the period from January 2016 to December 2017</w:t>
      </w:r>
      <w:r w:rsidRPr="007C7EEE">
        <w:t>,</w:t>
      </w:r>
      <w:r w:rsidR="001D678C" w:rsidRPr="007C7EEE">
        <w:t xml:space="preserve"> for the four ship sizes mentioned above</w:t>
      </w:r>
      <w:r w:rsidRPr="007C7EEE">
        <w:t>,</w:t>
      </w:r>
      <w:r w:rsidR="001D678C" w:rsidRPr="007C7EEE">
        <w:t xml:space="preserve"> were acquired through resources available onli</w:t>
      </w:r>
      <w:r w:rsidR="009E4BDB" w:rsidRPr="007C7EEE">
        <w:t>ne from ship brokers [10</w:t>
      </w:r>
      <w:r w:rsidR="009574B4" w:rsidRPr="007C7EEE">
        <w:t>], and</w:t>
      </w:r>
      <w:r w:rsidR="001D678C" w:rsidRPr="007C7EEE">
        <w:t xml:space="preserve"> will be use</w:t>
      </w:r>
      <w:r w:rsidR="003C66C5" w:rsidRPr="007C7EEE">
        <w:t>d for calculating the time savings</w:t>
      </w:r>
      <w:r w:rsidR="001D678C" w:rsidRPr="007C7EEE">
        <w:t xml:space="preserve"> of the sample vessels. </w:t>
      </w:r>
      <w:r w:rsidR="00177420" w:rsidRPr="007C7EEE">
        <w:t>TCE was provided by the Baltic Exchange via pers</w:t>
      </w:r>
      <w:r w:rsidR="001D678C" w:rsidRPr="007C7EEE">
        <w:t>onal contacts for the same peri</w:t>
      </w:r>
      <w:r w:rsidR="009574B4" w:rsidRPr="007C7EEE">
        <w:t>od</w:t>
      </w:r>
      <w:r w:rsidR="003C66C5" w:rsidRPr="007C7EEE">
        <w:t xml:space="preserve"> </w:t>
      </w:r>
      <w:r w:rsidR="00791ED8" w:rsidRPr="007C7EEE">
        <w:t>and it will be used for calculating the</w:t>
      </w:r>
      <w:r w:rsidR="003C66C5" w:rsidRPr="007C7EEE">
        <w:t xml:space="preserve"> time savings</w:t>
      </w:r>
      <w:r w:rsidR="00791ED8" w:rsidRPr="007C7EEE">
        <w:t xml:space="preserve"> of the standard Baltic vessels</w:t>
      </w:r>
      <w:r w:rsidR="00177420" w:rsidRPr="007C7EEE">
        <w:t xml:space="preserve">. </w:t>
      </w:r>
    </w:p>
    <w:p w:rsidR="00B62643" w:rsidRPr="007C7EEE" w:rsidRDefault="00E80F56" w:rsidP="009574B4">
      <w:r w:rsidRPr="007C7EEE">
        <w:t>TC</w:t>
      </w:r>
      <w:r w:rsidR="009574B4" w:rsidRPr="007C7EEE">
        <w:t xml:space="preserve"> and TC</w:t>
      </w:r>
      <w:r w:rsidRPr="007C7EEE">
        <w:t>E</w:t>
      </w:r>
      <w:r w:rsidR="009574B4" w:rsidRPr="007C7EEE">
        <w:t xml:space="preserve"> values are demonstrated</w:t>
      </w:r>
      <w:r w:rsidR="00724B32" w:rsidRPr="007C7EEE">
        <w:t xml:space="preserve"> in Figure 1. The TCE</w:t>
      </w:r>
      <w:r w:rsidR="009574B4" w:rsidRPr="007C7EEE">
        <w:t xml:space="preserve"> shows sharp changes while the one</w:t>
      </w:r>
      <w:r w:rsidR="00724B32" w:rsidRPr="007C7EEE">
        <w:t xml:space="preserve"> year TC has more s</w:t>
      </w:r>
      <w:r w:rsidR="009574B4" w:rsidRPr="007C7EEE">
        <w:t>mooth trend. The two indices have</w:t>
      </w:r>
      <w:r w:rsidR="00724B32" w:rsidRPr="007C7EEE">
        <w:t xml:space="preserve"> almost the same behavior except for the Capesize vessels. The Capesize TCE shows very sharp changes and is plotted in light yellow</w:t>
      </w:r>
      <w:r w:rsidR="00394903" w:rsidRPr="007C7EEE">
        <w:t xml:space="preserve"> </w:t>
      </w:r>
      <w:r w:rsidR="009574B4" w:rsidRPr="007C7EEE">
        <w:t xml:space="preserve">to avoid interference </w:t>
      </w:r>
      <w:r w:rsidR="001D678C" w:rsidRPr="007C7EEE">
        <w:t>with the other values</w:t>
      </w:r>
      <w:r w:rsidR="00394903" w:rsidRPr="007C7EEE">
        <w:t>.</w:t>
      </w:r>
      <w:r w:rsidR="00724B32" w:rsidRPr="007C7EEE">
        <w:t xml:space="preserve"> </w:t>
      </w:r>
    </w:p>
    <w:p w:rsidR="00B62643" w:rsidRPr="007C7EEE" w:rsidRDefault="00B62643" w:rsidP="00FF77AF">
      <w:r w:rsidRPr="007C7EEE">
        <w:t xml:space="preserve">For the calculation of the bunker cost, the price and consumption need to be identified. </w:t>
      </w:r>
      <w:r w:rsidR="009574B4" w:rsidRPr="007C7EEE">
        <w:t>Accordingly, t</w:t>
      </w:r>
      <w:r w:rsidRPr="007C7EEE">
        <w:t>he BW380 is used for t</w:t>
      </w:r>
      <w:r w:rsidR="009574B4" w:rsidRPr="007C7EEE">
        <w:t>he evaluation of the fuel price, which</w:t>
      </w:r>
      <w:r w:rsidRPr="007C7EEE">
        <w:t xml:space="preserve"> is an index </w:t>
      </w:r>
      <w:r w:rsidR="009574B4" w:rsidRPr="007C7EEE">
        <w:t>issued by Bunkerworld and</w:t>
      </w:r>
      <w:r w:rsidRPr="007C7EEE">
        <w:t xml:space="preserve"> recognized by the Baltic Exchange as a trusted </w:t>
      </w:r>
      <w:r w:rsidRPr="007C7EEE">
        <w:lastRenderedPageBreak/>
        <w:t>source for marine fuel prices. The BW380 Index is a  daily average USD value index of 380 cst bunker fuel from 20 key bunkering ports, which were selected by size with reference to t</w:t>
      </w:r>
      <w:r w:rsidR="009574B4" w:rsidRPr="007C7EEE">
        <w:t>heir geographical importance [6</w:t>
      </w:r>
      <w:r w:rsidRPr="007C7EEE">
        <w:t xml:space="preserve">]. </w:t>
      </w:r>
      <w:r w:rsidR="00FF77AF" w:rsidRPr="007C7EEE">
        <w:t>T</w:t>
      </w:r>
      <w:r w:rsidRPr="007C7EEE">
        <w:t xml:space="preserve">he bunker price </w:t>
      </w:r>
      <w:r w:rsidR="00FF77AF" w:rsidRPr="007C7EEE">
        <w:t>as per the Bunkerworld for the period from January</w:t>
      </w:r>
      <w:r w:rsidR="003C66C5" w:rsidRPr="007C7EEE">
        <w:t>,</w:t>
      </w:r>
      <w:r w:rsidR="00FF77AF" w:rsidRPr="007C7EEE">
        <w:t xml:space="preserve"> 2016 to </w:t>
      </w:r>
      <w:r w:rsidRPr="007C7EEE">
        <w:t>December</w:t>
      </w:r>
      <w:r w:rsidR="003C66C5" w:rsidRPr="007C7EEE">
        <w:t>,</w:t>
      </w:r>
      <w:r w:rsidRPr="007C7EEE">
        <w:t xml:space="preserve"> 2017</w:t>
      </w:r>
      <w:r w:rsidR="00FF77AF" w:rsidRPr="007C7EEE">
        <w:t xml:space="preserve"> is shown in Figure 2.</w:t>
      </w:r>
    </w:p>
    <w:p w:rsidR="00724B32" w:rsidRPr="007C7EEE" w:rsidRDefault="00BD0D0A" w:rsidP="00724B32">
      <w:pPr>
        <w:pStyle w:val="NoindentNormal"/>
        <w:spacing w:before="240"/>
        <w:jc w:val="center"/>
      </w:pPr>
      <w:r>
        <w:rPr>
          <w:noProof/>
          <w:lang w:eastAsia="en-US"/>
        </w:rPr>
        <w:pict>
          <v:shapetype id="_x0000_t202" coordsize="21600,21600" o:spt="202" path="m,l,21600r21600,l21600,xe">
            <v:stroke joinstyle="miter"/>
            <v:path gradientshapeok="t" o:connecttype="rect"/>
          </v:shapetype>
          <v:shape id="_x0000_s1030" type="#_x0000_t202" style="position:absolute;left:0;text-align:left;margin-left:55.6pt;margin-top:24.55pt;width:20.35pt;height:11.2pt;z-index:1;mso-width-relative:margin;mso-height-relative:margin" filled="f">
            <v:textbox style="mso-next-textbox:#_x0000_s1030" inset="0,0,0,0">
              <w:txbxContent>
                <w:p w:rsidR="00744F20" w:rsidRPr="009B2103" w:rsidRDefault="00744F20" w:rsidP="00744F20">
                  <w:pPr>
                    <w:ind w:firstLine="0"/>
                    <w:rPr>
                      <w:b/>
                      <w:bCs/>
                      <w:sz w:val="16"/>
                      <w:szCs w:val="16"/>
                    </w:rPr>
                  </w:pPr>
                  <w:r w:rsidRPr="009B2103">
                    <w:rPr>
                      <w:b/>
                      <w:bCs/>
                      <w:sz w:val="16"/>
                      <w:szCs w:val="16"/>
                    </w:rPr>
                    <w:t xml:space="preserve"> USD</w:t>
                  </w:r>
                </w:p>
              </w:txbxContent>
            </v:textbox>
          </v:shape>
        </w:pict>
      </w:r>
      <w:r w:rsidR="00FA499F">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16.15pt;height:206pt;visibility:visible;mso-wrap-style:square" o:bordertopcolor="this" o:borderleftcolor="this" o:borderbottomcolor="this" o:borderrightcolor="this">
            <v:imagedata r:id="rId7" o:title=""/>
            <w10:bordertop type="single" width="4"/>
            <w10:borderleft type="single" width="4"/>
            <w10:borderbottom type="single" width="4"/>
            <w10:borderright type="single" width="4"/>
          </v:shape>
        </w:pict>
      </w:r>
    </w:p>
    <w:p w:rsidR="00724B32" w:rsidRPr="007C7EEE" w:rsidRDefault="009407A5" w:rsidP="00634471">
      <w:pPr>
        <w:pStyle w:val="CaptionShort"/>
      </w:pPr>
      <w:r w:rsidRPr="007C7EEE">
        <w:rPr>
          <w:b/>
        </w:rPr>
        <w:t xml:space="preserve">Figure </w:t>
      </w:r>
      <w:r w:rsidR="00634471" w:rsidRPr="007C7EEE">
        <w:rPr>
          <w:b/>
        </w:rPr>
        <w:t>1</w:t>
      </w:r>
      <w:r w:rsidR="00724B32" w:rsidRPr="007C7EEE">
        <w:rPr>
          <w:b/>
        </w:rPr>
        <w:t>.</w:t>
      </w:r>
      <w:r w:rsidR="00724B32" w:rsidRPr="007C7EEE">
        <w:t xml:space="preserve"> TCE and TC in USD for different vessel sizes</w:t>
      </w:r>
      <w:r w:rsidR="009B2103" w:rsidRPr="007C7EEE">
        <w:t xml:space="preserve"> [</w:t>
      </w:r>
      <w:r w:rsidR="00FF77AF" w:rsidRPr="007C7EEE">
        <w:t>7, 9]</w:t>
      </w:r>
      <w:r w:rsidR="00724B32" w:rsidRPr="007C7EEE">
        <w:t>.</w:t>
      </w:r>
    </w:p>
    <w:p w:rsidR="009B2103" w:rsidRPr="007C7EEE" w:rsidRDefault="001B36A2" w:rsidP="009B2103">
      <w:pPr>
        <w:ind w:firstLine="0"/>
        <w:jc w:val="center"/>
        <w:rPr>
          <w:noProof/>
          <w:lang w:eastAsia="en-US"/>
        </w:rPr>
      </w:pPr>
      <w:r>
        <w:rPr>
          <w:b/>
          <w:noProof/>
          <w:lang w:eastAsia="en-US"/>
        </w:rPr>
        <w:pict>
          <v:shape id="_x0000_s1044" type="#_x0000_t202" style="position:absolute;left:0;text-align:left;margin-left:47.25pt;margin-top:13.7pt;width:20.35pt;height:11.2pt;z-index:4;mso-width-relative:margin;mso-height-relative:margin" filled="f">
            <v:textbox style="mso-next-textbox:#_x0000_s1044" inset="0,0,0,0">
              <w:txbxContent>
                <w:p w:rsidR="001B36A2" w:rsidRPr="009B2103" w:rsidRDefault="001B36A2" w:rsidP="001B36A2">
                  <w:pPr>
                    <w:ind w:firstLine="0"/>
                    <w:rPr>
                      <w:b/>
                      <w:bCs/>
                      <w:sz w:val="16"/>
                      <w:szCs w:val="16"/>
                    </w:rPr>
                  </w:pPr>
                  <w:r w:rsidRPr="009B2103">
                    <w:rPr>
                      <w:b/>
                      <w:bCs/>
                      <w:sz w:val="16"/>
                      <w:szCs w:val="16"/>
                    </w:rPr>
                    <w:t xml:space="preserve"> USD</w:t>
                  </w:r>
                </w:p>
              </w:txbxContent>
            </v:textbox>
          </v:shape>
        </w:pict>
      </w:r>
      <w:r w:rsidR="00FA499F">
        <w:rPr>
          <w:noProof/>
          <w:lang w:eastAsia="en-US"/>
        </w:rPr>
        <w:pict>
          <v:shape id="_x0000_i1026" type="#_x0000_t75" style="width:264.85pt;height:173.45pt;visibility:visible;mso-wrap-style:square" o:bordertopcolor="this" o:borderleftcolor="this" o:borderbottomcolor="this" o:borderrightcolor="this">
            <v:imagedata r:id="rId8" o:title=""/>
            <w10:bordertop type="single" width="4"/>
            <w10:borderleft type="single" width="4"/>
            <w10:borderbottom type="single" width="4"/>
            <w10:borderright type="single" width="4"/>
          </v:shape>
        </w:pict>
      </w:r>
    </w:p>
    <w:p w:rsidR="009B2103" w:rsidRPr="007C7EEE" w:rsidRDefault="009B2103" w:rsidP="00FF77AF">
      <w:pPr>
        <w:pStyle w:val="CaptionShort"/>
      </w:pPr>
      <w:r w:rsidRPr="007C7EEE">
        <w:rPr>
          <w:b/>
        </w:rPr>
        <w:t>Figure 2.</w:t>
      </w:r>
      <w:r w:rsidRPr="007C7EEE">
        <w:t xml:space="preserve"> </w:t>
      </w:r>
      <w:r w:rsidR="00FF77AF" w:rsidRPr="007C7EEE">
        <w:t xml:space="preserve">Bunker </w:t>
      </w:r>
      <w:r w:rsidR="007F0AD7">
        <w:t xml:space="preserve">(380 cst) </w:t>
      </w:r>
      <w:r w:rsidR="00FF77AF" w:rsidRPr="007C7EEE">
        <w:t>prices from January 2016 to December 2017 [6]</w:t>
      </w:r>
      <w:r w:rsidRPr="007C7EEE">
        <w:t>.</w:t>
      </w:r>
    </w:p>
    <w:p w:rsidR="00791ED8" w:rsidRPr="007C7EEE" w:rsidRDefault="00791ED8" w:rsidP="0098704C">
      <w:r w:rsidRPr="007C7EEE">
        <w:t xml:space="preserve">The </w:t>
      </w:r>
      <w:r w:rsidR="0086720E" w:rsidRPr="007C7EEE">
        <w:t xml:space="preserve">voyage </w:t>
      </w:r>
      <w:r w:rsidRPr="007C7EEE">
        <w:t>bunker consumption for the standard Baltic ships is adopted as per the Baltic recommendations</w:t>
      </w:r>
      <w:r w:rsidR="0086720E" w:rsidRPr="007C7EEE">
        <w:t xml:space="preserve"> concerning the daily sea consumption and speed including the weather allowance [7]</w:t>
      </w:r>
      <w:r w:rsidRPr="007C7EEE">
        <w:t>. For the other sample vessels</w:t>
      </w:r>
      <w:r w:rsidR="0098704C" w:rsidRPr="007C7EEE">
        <w:t>, EEDI</w:t>
      </w:r>
      <w:r w:rsidRPr="007C7EEE">
        <w:t xml:space="preserve"> gu</w:t>
      </w:r>
      <w:r w:rsidR="0086720E" w:rsidRPr="007C7EEE">
        <w:t>idelines are used for the</w:t>
      </w:r>
      <w:r w:rsidRPr="007C7EEE">
        <w:t xml:space="preserve"> calculation</w:t>
      </w:r>
      <w:r w:rsidR="0086720E" w:rsidRPr="007C7EEE">
        <w:t>s</w:t>
      </w:r>
      <w:r w:rsidRPr="007C7EEE">
        <w:t xml:space="preserve"> based on the data an</w:t>
      </w:r>
      <w:r w:rsidR="0086720E" w:rsidRPr="007C7EEE">
        <w:t>d characteristics of the vessel</w:t>
      </w:r>
      <w:r w:rsidR="001C74DD" w:rsidRPr="007C7EEE">
        <w:t xml:space="preserve"> </w:t>
      </w:r>
      <w:r w:rsidR="00FF77AF" w:rsidRPr="007C7EEE">
        <w:t>[11</w:t>
      </w:r>
      <w:r w:rsidR="0098704C" w:rsidRPr="007C7EEE">
        <w:t>], and t</w:t>
      </w:r>
      <w:r w:rsidR="001C74DD" w:rsidRPr="007C7EEE">
        <w:t>h</w:t>
      </w:r>
      <w:r w:rsidR="002F2713" w:rsidRPr="007C7EEE">
        <w:t>e specific fuel consumption</w:t>
      </w:r>
      <w:r w:rsidR="001C74DD" w:rsidRPr="007C7EEE">
        <w:t xml:space="preserve"> is adopted as per main engine manufacturer of each vessel</w:t>
      </w:r>
      <w:r w:rsidR="0086720E" w:rsidRPr="007C7EEE">
        <w:t>.</w:t>
      </w:r>
    </w:p>
    <w:p w:rsidR="00B05565" w:rsidRPr="007C7EEE" w:rsidRDefault="00BF7F1A" w:rsidP="0098704C">
      <w:r w:rsidRPr="007C7EEE">
        <w:t xml:space="preserve">The energy </w:t>
      </w:r>
      <w:r w:rsidR="00B05565" w:rsidRPr="007C7EEE">
        <w:t>efficiency requirements were adopted as amendments to MARPOL Annex VI</w:t>
      </w:r>
      <w:r w:rsidR="0098704C" w:rsidRPr="007C7EEE">
        <w:t>,</w:t>
      </w:r>
      <w:r w:rsidR="00B05565" w:rsidRPr="007C7EEE">
        <w:t xml:space="preserve"> in 2011. The regulations make the EEDI  mandatory for new ships, and the </w:t>
      </w:r>
      <w:r w:rsidR="00B05565" w:rsidRPr="007C7EEE">
        <w:lastRenderedPageBreak/>
        <w:t>Ship Energy Efficiency Management Plan</w:t>
      </w:r>
      <w:r w:rsidR="00AA3AAB" w:rsidRPr="007C7EEE">
        <w:t xml:space="preserve"> (SEEMP) is</w:t>
      </w:r>
      <w:r w:rsidR="00B05565" w:rsidRPr="007C7EEE">
        <w:t xml:space="preserve"> a requirement for all ships. </w:t>
      </w:r>
      <w:r w:rsidR="00AA3AAB" w:rsidRPr="007C7EEE">
        <w:t>S</w:t>
      </w:r>
      <w:r w:rsidR="00B05565" w:rsidRPr="007C7EEE">
        <w:t>hips of 5,000 gross tonnage and above will have to collect consumption data for each type of fuel</w:t>
      </w:r>
      <w:r w:rsidR="0098704C" w:rsidRPr="007C7EEE">
        <w:t xml:space="preserve"> oil they use, as well as other additional </w:t>
      </w:r>
      <w:r w:rsidR="00B05565" w:rsidRPr="007C7EEE">
        <w:t xml:space="preserve">specified data for transport work. </w:t>
      </w:r>
    </w:p>
    <w:p w:rsidR="002F2713" w:rsidRPr="007C7EEE" w:rsidRDefault="00F15B57" w:rsidP="00F15B57">
      <w:pPr>
        <w:pStyle w:val="Heading1"/>
        <w:rPr>
          <w:szCs w:val="20"/>
          <w:lang w:eastAsia="en-US"/>
        </w:rPr>
      </w:pPr>
      <w:r w:rsidRPr="007C7EEE">
        <w:rPr>
          <w:lang w:eastAsia="en-US"/>
        </w:rPr>
        <w:t>Calculation of Voyage Savings and SC Tolls</w:t>
      </w:r>
    </w:p>
    <w:p w:rsidR="00B562C5" w:rsidRPr="007C7EEE" w:rsidRDefault="00B562C5" w:rsidP="009E4BDB">
      <w:pPr>
        <w:ind w:firstLine="0"/>
      </w:pPr>
      <w:r w:rsidRPr="007C7EEE">
        <w:t>T</w:t>
      </w:r>
      <w:r w:rsidR="003356A5" w:rsidRPr="007C7EEE">
        <w:t>he voyage savings are calculated for t</w:t>
      </w:r>
      <w:r w:rsidR="00F15B57" w:rsidRPr="007C7EEE">
        <w:t>wo representative routes, namely</w:t>
      </w:r>
      <w:r w:rsidR="0063605D" w:rsidRPr="007C7EEE">
        <w:t xml:space="preserve"> Jeddah - Piraeus</w:t>
      </w:r>
      <w:r w:rsidR="006940D0" w:rsidRPr="007C7EEE">
        <w:t xml:space="preserve"> and</w:t>
      </w:r>
      <w:r w:rsidR="00F15B57" w:rsidRPr="007C7EEE">
        <w:t xml:space="preserve"> Tokyo - Rotterdam </w:t>
      </w:r>
      <w:r w:rsidR="003356A5" w:rsidRPr="007C7EEE">
        <w:t>with a distance reduction of 9</w:t>
      </w:r>
      <w:r w:rsidR="00463BA9" w:rsidRPr="007C7EEE">
        <w:t>,</w:t>
      </w:r>
      <w:r w:rsidR="003356A5" w:rsidRPr="007C7EEE">
        <w:t>891 NM and 3</w:t>
      </w:r>
      <w:r w:rsidR="00463BA9" w:rsidRPr="007C7EEE">
        <w:t>,</w:t>
      </w:r>
      <w:r w:rsidR="003356A5" w:rsidRPr="007C7EEE">
        <w:t xml:space="preserve">315 NM respectively, when passing via SC instead of Cape. The routes are selected to reflect two distinctive trips where a ship saves about 88% of the distance in the former and 23% in the latter. </w:t>
      </w:r>
    </w:p>
    <w:p w:rsidR="009407A5" w:rsidRPr="007C7EEE" w:rsidRDefault="003356A5" w:rsidP="009E4BDB">
      <w:r w:rsidRPr="007C7EEE">
        <w:t>On each route</w:t>
      </w:r>
      <w:r w:rsidR="001D678C" w:rsidRPr="007C7EEE">
        <w:t>,</w:t>
      </w:r>
      <w:r w:rsidRPr="007C7EEE">
        <w:t xml:space="preserve"> the savings are calculated </w:t>
      </w:r>
      <w:r w:rsidR="00A14E9D" w:rsidRPr="007C7EEE">
        <w:t>from January</w:t>
      </w:r>
      <w:r w:rsidR="0098704C" w:rsidRPr="007C7EEE">
        <w:t>, 2016 until</w:t>
      </w:r>
      <w:r w:rsidR="00A14E9D" w:rsidRPr="007C7EEE">
        <w:t xml:space="preserve"> December</w:t>
      </w:r>
      <w:r w:rsidR="0098704C" w:rsidRPr="007C7EEE">
        <w:t>,</w:t>
      </w:r>
      <w:r w:rsidR="00A14E9D" w:rsidRPr="007C7EEE">
        <w:t xml:space="preserve"> 2017</w:t>
      </w:r>
      <w:r w:rsidR="0098704C" w:rsidRPr="007C7EEE">
        <w:t xml:space="preserve"> for the various</w:t>
      </w:r>
      <w:r w:rsidR="00B562C5" w:rsidRPr="007C7EEE">
        <w:t xml:space="preserve"> ship sizes</w:t>
      </w:r>
      <w:r w:rsidR="00A14E9D" w:rsidRPr="007C7EEE">
        <w:t>. T</w:t>
      </w:r>
      <w:r w:rsidRPr="007C7EEE">
        <w:t xml:space="preserve">he data of the Baltic </w:t>
      </w:r>
      <w:r w:rsidR="00A14E9D" w:rsidRPr="007C7EEE">
        <w:t>vessel</w:t>
      </w:r>
      <w:r w:rsidR="00B562C5" w:rsidRPr="007C7EEE">
        <w:t>s</w:t>
      </w:r>
      <w:r w:rsidR="00A14E9D" w:rsidRPr="007C7EEE">
        <w:t xml:space="preserve"> incorporating</w:t>
      </w:r>
      <w:r w:rsidRPr="007C7EEE">
        <w:t xml:space="preserve"> the Baltic TCE and standard Baltic vessel characteristics</w:t>
      </w:r>
      <w:r w:rsidR="009407A5" w:rsidRPr="007C7EEE">
        <w:t xml:space="preserve"> are used </w:t>
      </w:r>
      <w:r w:rsidR="0098704C" w:rsidRPr="007C7EEE">
        <w:t xml:space="preserve">to evaluate </w:t>
      </w:r>
      <w:r w:rsidR="009407A5" w:rsidRPr="007C7EEE">
        <w:t>the savings. For the sample vessels,</w:t>
      </w:r>
      <w:r w:rsidRPr="007C7EEE">
        <w:t xml:space="preserve"> the</w:t>
      </w:r>
      <w:r w:rsidR="00DF6B9F" w:rsidRPr="007C7EEE">
        <w:t xml:space="preserve"> one</w:t>
      </w:r>
      <w:r w:rsidR="009407A5" w:rsidRPr="007C7EEE">
        <w:t xml:space="preserve"> year</w:t>
      </w:r>
      <w:r w:rsidRPr="007C7EEE">
        <w:t xml:space="preserve"> TC</w:t>
      </w:r>
      <w:r w:rsidR="009407A5" w:rsidRPr="007C7EEE">
        <w:t xml:space="preserve"> is used together with the </w:t>
      </w:r>
      <w:r w:rsidR="00DF6B9F" w:rsidRPr="007C7EEE">
        <w:t>vessel characteristics</w:t>
      </w:r>
      <w:r w:rsidRPr="007C7EEE">
        <w:t xml:space="preserve"> and EEDI guidelines</w:t>
      </w:r>
      <w:r w:rsidR="00A14E9D" w:rsidRPr="007C7EEE">
        <w:t xml:space="preserve"> </w:t>
      </w:r>
      <w:r w:rsidR="009407A5" w:rsidRPr="007C7EEE">
        <w:t>to calculate the savings</w:t>
      </w:r>
      <w:r w:rsidRPr="007C7EEE">
        <w:t>.</w:t>
      </w:r>
      <w:r w:rsidR="00A14E9D" w:rsidRPr="007C7EEE">
        <w:t xml:space="preserve"> </w:t>
      </w:r>
    </w:p>
    <w:p w:rsidR="003A3361" w:rsidRPr="007C7EEE" w:rsidRDefault="009E4BDB" w:rsidP="001B36A2">
      <w:r w:rsidRPr="007C7EEE">
        <w:t xml:space="preserve">Time </w:t>
      </w:r>
      <w:r w:rsidR="003356A5" w:rsidRPr="007C7EEE">
        <w:t xml:space="preserve">saved is </w:t>
      </w:r>
      <w:r w:rsidRPr="007C7EEE">
        <w:t xml:space="preserve">calculated by dividing the saved distance by the </w:t>
      </w:r>
      <w:r w:rsidR="00041C9D" w:rsidRPr="007C7EEE">
        <w:t xml:space="preserve">relevant vessel </w:t>
      </w:r>
      <w:r w:rsidRPr="007C7EEE">
        <w:t>speed</w:t>
      </w:r>
      <w:r w:rsidR="003A3361" w:rsidRPr="007C7EEE">
        <w:t xml:space="preserve"> as per tables 1 and 2</w:t>
      </w:r>
      <w:r w:rsidR="00DF6B9F" w:rsidRPr="007C7EEE">
        <w:t xml:space="preserve"> </w:t>
      </w:r>
      <w:r w:rsidR="00774BD1" w:rsidRPr="007C7EEE">
        <w:t>after correction</w:t>
      </w:r>
      <w:r w:rsidR="00DF6B9F" w:rsidRPr="007C7EEE">
        <w:t xml:space="preserve"> </w:t>
      </w:r>
      <w:r w:rsidR="00B562C5" w:rsidRPr="007C7EEE">
        <w:t xml:space="preserve">for the </w:t>
      </w:r>
      <w:r w:rsidRPr="007C7EEE">
        <w:t>weather conditions</w:t>
      </w:r>
      <w:r w:rsidR="00041C9D" w:rsidRPr="007C7EEE">
        <w:t>,</w:t>
      </w:r>
      <w:r w:rsidRPr="007C7EEE">
        <w:t xml:space="preserve"> the</w:t>
      </w:r>
      <w:r w:rsidR="00041C9D" w:rsidRPr="007C7EEE">
        <w:t>n deducting the</w:t>
      </w:r>
      <w:r w:rsidRPr="007C7EEE">
        <w:t xml:space="preserve"> time required for w</w:t>
      </w:r>
      <w:r w:rsidR="00041C9D" w:rsidRPr="007C7EEE">
        <w:t>aiting and transiting via SC</w:t>
      </w:r>
      <w:r w:rsidR="00A14E9D" w:rsidRPr="007C7EEE">
        <w:t xml:space="preserve">. </w:t>
      </w:r>
      <w:r w:rsidR="00B562C5" w:rsidRPr="007C7EEE">
        <w:t xml:space="preserve">The speed </w:t>
      </w:r>
      <w:r w:rsidR="003A3361" w:rsidRPr="007C7EEE">
        <w:t>for the Baltic vessels is reduced by</w:t>
      </w:r>
      <w:r w:rsidRPr="007C7EEE">
        <w:t xml:space="preserve"> a constant value of</w:t>
      </w:r>
      <w:r w:rsidR="00B562C5" w:rsidRPr="007C7EEE">
        <w:t xml:space="preserve"> 7%</w:t>
      </w:r>
      <w:r w:rsidRPr="007C7EEE">
        <w:t xml:space="preserve"> </w:t>
      </w:r>
      <w:r w:rsidR="007F0AD7">
        <w:t xml:space="preserve">to </w:t>
      </w:r>
      <w:r w:rsidR="001B36A2">
        <w:t>compensate</w:t>
      </w:r>
      <w:r w:rsidR="007F0AD7">
        <w:t xml:space="preserve"> for the weather conditions correction </w:t>
      </w:r>
      <w:r w:rsidRPr="007C7EEE">
        <w:t>[7].</w:t>
      </w:r>
      <w:r w:rsidR="00B562C5" w:rsidRPr="007C7EEE">
        <w:t xml:space="preserve"> </w:t>
      </w:r>
      <w:r w:rsidRPr="007C7EEE">
        <w:t>F</w:t>
      </w:r>
      <w:r w:rsidR="00B562C5" w:rsidRPr="007C7EEE">
        <w:t>or the sample vessels</w:t>
      </w:r>
      <w:r w:rsidRPr="007C7EEE">
        <w:t>,</w:t>
      </w:r>
      <w:r w:rsidR="00B562C5" w:rsidRPr="007C7EEE">
        <w:t xml:space="preserve"> </w:t>
      </w:r>
      <w:r w:rsidR="001F7315" w:rsidRPr="007C7EEE">
        <w:t>the reduction for each vessel</w:t>
      </w:r>
      <w:r w:rsidR="007F0AD7">
        <w:t xml:space="preserve"> speed</w:t>
      </w:r>
      <w:r w:rsidR="001F7315" w:rsidRPr="007C7EEE">
        <w:t xml:space="preserve"> </w:t>
      </w:r>
      <w:r w:rsidR="00B562C5" w:rsidRPr="007C7EEE">
        <w:t>is calculated as per EEDI</w:t>
      </w:r>
      <w:r w:rsidR="001F7315" w:rsidRPr="007C7EEE">
        <w:t xml:space="preserve"> guidelines</w:t>
      </w:r>
      <w:r w:rsidRPr="007C7EEE">
        <w:t xml:space="preserve"> [11]</w:t>
      </w:r>
      <w:r w:rsidR="00041C9D" w:rsidRPr="007C7EEE">
        <w:t xml:space="preserve">, where the speed reduction is a function of the vessel deadweight, and </w:t>
      </w:r>
      <w:r w:rsidR="009407A5" w:rsidRPr="007C7EEE">
        <w:t>rang</w:t>
      </w:r>
      <w:r w:rsidR="00041C9D" w:rsidRPr="007C7EEE">
        <w:t>es</w:t>
      </w:r>
      <w:r w:rsidR="009407A5" w:rsidRPr="007C7EEE">
        <w:t xml:space="preserve"> from 19% for the Cape</w:t>
      </w:r>
      <w:r w:rsidR="00541109" w:rsidRPr="007C7EEE">
        <w:t>size</w:t>
      </w:r>
      <w:r w:rsidR="009407A5" w:rsidRPr="007C7EEE">
        <w:t xml:space="preserve"> vessels to 27% for Handysize vessels</w:t>
      </w:r>
      <w:r w:rsidR="001F7315" w:rsidRPr="007C7EEE">
        <w:t>.</w:t>
      </w:r>
      <w:r w:rsidR="00041C9D" w:rsidRPr="007C7EEE">
        <w:t xml:space="preserve"> </w:t>
      </w:r>
    </w:p>
    <w:p w:rsidR="009E4BDB" w:rsidRPr="007C7EEE" w:rsidRDefault="00041C9D" w:rsidP="00C402EE">
      <w:r w:rsidRPr="007C7EEE">
        <w:t xml:space="preserve">Time savings in USD is calculated by multiplying the time saved </w:t>
      </w:r>
      <w:r w:rsidR="003A3361" w:rsidRPr="007C7EEE">
        <w:t xml:space="preserve">in days </w:t>
      </w:r>
      <w:r w:rsidRPr="007C7EEE">
        <w:t xml:space="preserve">for each of the Baltic and sample vessels by the TCE </w:t>
      </w:r>
      <w:r w:rsidR="00192A09" w:rsidRPr="007C7EEE">
        <w:t xml:space="preserve">[7] </w:t>
      </w:r>
      <w:r w:rsidRPr="007C7EEE">
        <w:t>and TC</w:t>
      </w:r>
      <w:r w:rsidR="00192A09" w:rsidRPr="007C7EEE">
        <w:t xml:space="preserve"> [10]</w:t>
      </w:r>
      <w:r w:rsidRPr="007C7EEE">
        <w:t xml:space="preserve"> respectively.</w:t>
      </w:r>
      <w:r w:rsidR="003A3361" w:rsidRPr="007C7EEE">
        <w:t xml:space="preserve"> </w:t>
      </w:r>
      <w:r w:rsidR="003C66C5" w:rsidRPr="007C7EEE">
        <w:t>T</w:t>
      </w:r>
      <w:r w:rsidR="009E4BDB" w:rsidRPr="007C7EEE">
        <w:t xml:space="preserve">he </w:t>
      </w:r>
      <w:r w:rsidR="003C66C5" w:rsidRPr="007C7EEE">
        <w:t xml:space="preserve">fuel savings </w:t>
      </w:r>
      <w:r w:rsidR="003A3361" w:rsidRPr="007C7EEE">
        <w:t xml:space="preserve">in USD </w:t>
      </w:r>
      <w:r w:rsidR="003C66C5" w:rsidRPr="007C7EEE">
        <w:t>are calculated by multiplying the daily fuel consumption by the time saved (in days)</w:t>
      </w:r>
      <w:r w:rsidR="003A3361" w:rsidRPr="007C7EEE">
        <w:t xml:space="preserve"> and the cost of bunker as per the Bunkerworld price [6]</w:t>
      </w:r>
      <w:r w:rsidR="003C66C5" w:rsidRPr="007C7EEE">
        <w:t>. The daily fuel consumption for the Balti</w:t>
      </w:r>
      <w:r w:rsidR="00192A09" w:rsidRPr="007C7EEE">
        <w:t>c vessels is considered as per T</w:t>
      </w:r>
      <w:r w:rsidR="00774BD1" w:rsidRPr="007C7EEE">
        <w:t>able 1.</w:t>
      </w:r>
      <w:r w:rsidR="003C66C5" w:rsidRPr="007C7EEE">
        <w:t xml:space="preserve"> </w:t>
      </w:r>
      <w:r w:rsidR="00774BD1" w:rsidRPr="007C7EEE">
        <w:t>F</w:t>
      </w:r>
      <w:r w:rsidR="003C66C5" w:rsidRPr="007C7EEE">
        <w:t>or the sample vessels</w:t>
      </w:r>
      <w:r w:rsidR="00774BD1" w:rsidRPr="007C7EEE">
        <w:t>, the daily fuel consumption</w:t>
      </w:r>
      <w:r w:rsidR="003C66C5" w:rsidRPr="007C7EEE">
        <w:t xml:space="preserve"> is calculated by multiplying the </w:t>
      </w:r>
      <w:r w:rsidR="007F0AD7">
        <w:t xml:space="preserve">main engine </w:t>
      </w:r>
      <w:r w:rsidR="003C66C5" w:rsidRPr="007C7EEE">
        <w:t>power</w:t>
      </w:r>
      <w:r w:rsidR="00774BD1" w:rsidRPr="007C7EEE">
        <w:t>,</w:t>
      </w:r>
      <w:r w:rsidR="003C66C5" w:rsidRPr="007C7EEE">
        <w:t xml:space="preserve"> </w:t>
      </w:r>
      <w:r w:rsidR="00192A09" w:rsidRPr="007C7EEE">
        <w:t>as per T</w:t>
      </w:r>
      <w:r w:rsidR="003C66C5" w:rsidRPr="007C7EEE">
        <w:t>able 2</w:t>
      </w:r>
      <w:r w:rsidR="00C402EE">
        <w:t xml:space="preserve"> after the corrections recommended by EEDI</w:t>
      </w:r>
      <w:r w:rsidR="00774BD1" w:rsidRPr="007C7EEE">
        <w:t>, and specific fuel consumption as per the ma</w:t>
      </w:r>
      <w:r w:rsidR="00C402EE">
        <w:t>in engine maker for each vessel. T</w:t>
      </w:r>
      <w:r w:rsidR="00774BD1" w:rsidRPr="007C7EEE">
        <w:t>he auxiliaries</w:t>
      </w:r>
      <w:r w:rsidR="001B36A2">
        <w:t>'</w:t>
      </w:r>
      <w:r w:rsidR="00774BD1" w:rsidRPr="007C7EEE">
        <w:t xml:space="preserve"> fuel consumption is calculated as per EEDI guidelines</w:t>
      </w:r>
      <w:r w:rsidR="003C66C5" w:rsidRPr="007C7EEE">
        <w:t>.</w:t>
      </w:r>
      <w:r w:rsidR="003A3361" w:rsidRPr="007C7EEE">
        <w:t xml:space="preserve"> </w:t>
      </w:r>
      <w:r w:rsidR="009E4BDB" w:rsidRPr="007C7EEE">
        <w:t xml:space="preserve"> </w:t>
      </w:r>
    </w:p>
    <w:p w:rsidR="00B562C5" w:rsidRPr="007C7EEE" w:rsidRDefault="00A14E9D" w:rsidP="00C402EE">
      <w:r w:rsidRPr="007C7EEE">
        <w:t xml:space="preserve">SC </w:t>
      </w:r>
      <w:r w:rsidR="00B562C5" w:rsidRPr="007C7EEE">
        <w:t>tolls are</w:t>
      </w:r>
      <w:r w:rsidR="00F15B57" w:rsidRPr="007C7EEE">
        <w:t xml:space="preserve"> calculated</w:t>
      </w:r>
      <w:r w:rsidR="00B562C5" w:rsidRPr="007C7EEE">
        <w:t xml:space="preserve"> for the vessels</w:t>
      </w:r>
      <w:r w:rsidR="00DF6B9F" w:rsidRPr="007C7EEE">
        <w:t xml:space="preserve"> in SDR</w:t>
      </w:r>
      <w:r w:rsidR="00F15B57" w:rsidRPr="007C7EEE">
        <w:t xml:space="preserve"> for the</w:t>
      </w:r>
      <w:r w:rsidR="00B562C5" w:rsidRPr="007C7EEE">
        <w:t xml:space="preserve"> same</w:t>
      </w:r>
      <w:r w:rsidR="00F15B57" w:rsidRPr="007C7EEE">
        <w:t xml:space="preserve"> period</w:t>
      </w:r>
      <w:r w:rsidR="003A3361" w:rsidRPr="007C7EEE">
        <w:t xml:space="preserve"> using the quick calculator on the SCA website</w:t>
      </w:r>
      <w:r w:rsidR="00C402EE">
        <w:t xml:space="preserve">, </w:t>
      </w:r>
      <w:r w:rsidR="00C402EE" w:rsidRPr="007C7EEE">
        <w:t xml:space="preserve">and the tolls remained constant in SDR </w:t>
      </w:r>
      <w:r w:rsidR="00C402EE">
        <w:t>throughout the period</w:t>
      </w:r>
      <w:r w:rsidR="003A3361" w:rsidRPr="007C7EEE">
        <w:t xml:space="preserve"> [1]</w:t>
      </w:r>
      <w:r w:rsidR="00B562C5" w:rsidRPr="007C7EEE">
        <w:t>. This is converted to USD using the IMF historical data for the USD - SDR exchange rates</w:t>
      </w:r>
      <w:r w:rsidR="00DF6B9F" w:rsidRPr="007C7EEE">
        <w:t xml:space="preserve"> [4</w:t>
      </w:r>
      <w:r w:rsidR="001F7315" w:rsidRPr="007C7EEE">
        <w:t>]</w:t>
      </w:r>
      <w:r w:rsidR="00C402EE">
        <w:t>.</w:t>
      </w:r>
      <w:r w:rsidR="00876599" w:rsidRPr="007C7EEE">
        <w:t xml:space="preserve"> </w:t>
      </w:r>
    </w:p>
    <w:p w:rsidR="00DC22E8" w:rsidRPr="007C7EEE" w:rsidRDefault="001F7315" w:rsidP="00797DC9">
      <w:r w:rsidRPr="007C7EEE">
        <w:t>The savings and SC</w:t>
      </w:r>
      <w:r w:rsidR="003A3361" w:rsidRPr="007C7EEE">
        <w:t xml:space="preserve"> tolls were</w:t>
      </w:r>
      <w:r w:rsidR="00DC22E8" w:rsidRPr="007C7EEE">
        <w:t xml:space="preserve"> </w:t>
      </w:r>
      <w:r w:rsidRPr="007C7EEE">
        <w:t>plotted</w:t>
      </w:r>
      <w:r w:rsidR="00DC22E8" w:rsidRPr="007C7EEE">
        <w:t xml:space="preserve"> and compared</w:t>
      </w:r>
      <w:r w:rsidRPr="007C7EEE">
        <w:t>, which showed major discrepancies between the savings for the Baltic</w:t>
      </w:r>
      <w:r w:rsidR="001B36A2">
        <w:t>,</w:t>
      </w:r>
      <w:r w:rsidRPr="007C7EEE">
        <w:t xml:space="preserve"> and sample vessels on the two routes for the </w:t>
      </w:r>
      <w:r w:rsidR="009407A5" w:rsidRPr="007C7EEE">
        <w:t xml:space="preserve">different </w:t>
      </w:r>
      <w:r w:rsidRPr="007C7EEE">
        <w:t>vessel sizes</w:t>
      </w:r>
      <w:r w:rsidR="009407A5" w:rsidRPr="007C7EEE">
        <w:t>, particularly Cape</w:t>
      </w:r>
      <w:r w:rsidR="00541109" w:rsidRPr="007C7EEE">
        <w:t>size</w:t>
      </w:r>
      <w:r w:rsidR="009407A5" w:rsidRPr="007C7EEE">
        <w:t xml:space="preserve"> vessels</w:t>
      </w:r>
      <w:r w:rsidRPr="007C7EEE">
        <w:t>. Extra calculations were made using the sample vessels characteristics and calculation philosophy but using the Baltic TCE. These calculations went in good agreement with th</w:t>
      </w:r>
      <w:r w:rsidR="00DF6B9F" w:rsidRPr="007C7EEE">
        <w:t>e sample vessels results using one</w:t>
      </w:r>
      <w:r w:rsidRPr="007C7EEE">
        <w:t xml:space="preserve"> year TC.</w:t>
      </w:r>
    </w:p>
    <w:p w:rsidR="00177420" w:rsidRPr="007C7EEE" w:rsidRDefault="00DC22E8" w:rsidP="00A95DB9">
      <w:r w:rsidRPr="007C7EEE">
        <w:t>This shows that</w:t>
      </w:r>
      <w:r w:rsidR="00A95DB9" w:rsidRPr="007C7EEE">
        <w:t xml:space="preserve"> </w:t>
      </w:r>
      <w:r w:rsidR="00774BD1" w:rsidRPr="007C7EEE">
        <w:t xml:space="preserve">the </w:t>
      </w:r>
      <w:r w:rsidR="00A95DB9" w:rsidRPr="007C7EEE">
        <w:t xml:space="preserve">results </w:t>
      </w:r>
      <w:r w:rsidR="003A3361" w:rsidRPr="007C7EEE">
        <w:t>are</w:t>
      </w:r>
      <w:r w:rsidR="00A95DB9" w:rsidRPr="007C7EEE">
        <w:t xml:space="preserve"> sensitive to</w:t>
      </w:r>
      <w:r w:rsidRPr="007C7EEE">
        <w:t xml:space="preserve"> the vessel speed more than </w:t>
      </w:r>
      <w:r w:rsidR="00A95DB9" w:rsidRPr="007C7EEE">
        <w:t>its sensitivity to considering</w:t>
      </w:r>
      <w:r w:rsidRPr="007C7EEE">
        <w:t xml:space="preserve"> TC</w:t>
      </w:r>
      <w:r w:rsidR="00A95DB9" w:rsidRPr="007C7EEE">
        <w:t xml:space="preserve"> or TCE</w:t>
      </w:r>
      <w:r w:rsidR="00774BD1" w:rsidRPr="007C7EEE">
        <w:t xml:space="preserve"> values</w:t>
      </w:r>
      <w:r w:rsidRPr="007C7EEE">
        <w:t>. As explained earlier, there is a difference in speed between the Baltic vessel and the IMO eva</w:t>
      </w:r>
      <w:r w:rsidR="00DF6B9F" w:rsidRPr="007C7EEE">
        <w:t>luation which is emphasized by</w:t>
      </w:r>
      <w:r w:rsidRPr="007C7EEE">
        <w:t xml:space="preserve"> the speed reduction due to weather conditions. </w:t>
      </w:r>
    </w:p>
    <w:p w:rsidR="0087312F" w:rsidRPr="007C7EEE" w:rsidRDefault="00FF77AF" w:rsidP="00BF7F1A">
      <w:r w:rsidRPr="007C7EEE">
        <w:lastRenderedPageBreak/>
        <w:t>Figures 3 and 4</w:t>
      </w:r>
      <w:r w:rsidR="00DF6B9F" w:rsidRPr="007C7EEE">
        <w:t xml:space="preserve"> represent</w:t>
      </w:r>
      <w:r w:rsidR="002809E1" w:rsidRPr="007C7EEE">
        <w:t xml:space="preserve"> the savings and SC tolls for </w:t>
      </w:r>
      <w:r w:rsidR="00634471" w:rsidRPr="007C7EEE">
        <w:t xml:space="preserve">the different </w:t>
      </w:r>
      <w:r w:rsidR="0087312F" w:rsidRPr="007C7EEE">
        <w:t>vessels. Baltic vessel</w:t>
      </w:r>
      <w:r w:rsidR="00541109" w:rsidRPr="007C7EEE">
        <w:t>s</w:t>
      </w:r>
      <w:r w:rsidR="0087312F" w:rsidRPr="007C7EEE">
        <w:t>, sample vessel</w:t>
      </w:r>
      <w:r w:rsidR="00541109" w:rsidRPr="007C7EEE">
        <w:t>s</w:t>
      </w:r>
      <w:r w:rsidR="0087312F" w:rsidRPr="007C7EEE">
        <w:t>, and sample vessel</w:t>
      </w:r>
      <w:r w:rsidR="00541109" w:rsidRPr="007C7EEE">
        <w:t>s</w:t>
      </w:r>
      <w:r w:rsidR="0087312F" w:rsidRPr="007C7EEE">
        <w:t xml:space="preserve"> with TCE are denoted by B, S, and S* respectively. </w:t>
      </w:r>
    </w:p>
    <w:p w:rsidR="00177420" w:rsidRPr="007C7EEE" w:rsidRDefault="00BD0D0A" w:rsidP="0063605D">
      <w:pPr>
        <w:pStyle w:val="NoindentNormal"/>
        <w:spacing w:before="240"/>
        <w:jc w:val="center"/>
        <w:rPr>
          <w:noProof/>
          <w:lang w:eastAsia="en-US"/>
        </w:rPr>
      </w:pPr>
      <w:r>
        <w:rPr>
          <w:noProof/>
          <w:lang w:eastAsia="en-US"/>
        </w:rPr>
        <w:pict>
          <v:shape id="_x0000_s1031" type="#_x0000_t202" style="position:absolute;left:0;text-align:left;margin-left:89.55pt;margin-top:24.9pt;width:42.75pt;height:9.2pt;z-index:2;mso-width-relative:margin;mso-height-relative:margin" filled="f">
            <v:textbox style="mso-next-textbox:#_x0000_s1031" inset="0,0,0,0">
              <w:txbxContent>
                <w:p w:rsidR="00744F20" w:rsidRPr="00B34C50" w:rsidRDefault="001B36A2" w:rsidP="00744F20">
                  <w:pPr>
                    <w:ind w:firstLine="0"/>
                    <w:rPr>
                      <w:b/>
                      <w:bCs/>
                      <w:sz w:val="14"/>
                      <w:szCs w:val="14"/>
                    </w:rPr>
                  </w:pPr>
                  <w:r>
                    <w:rPr>
                      <w:b/>
                      <w:bCs/>
                      <w:sz w:val="14"/>
                      <w:szCs w:val="14"/>
                    </w:rPr>
                    <w:t xml:space="preserve"> </w:t>
                  </w:r>
                  <w:r w:rsidR="00744F20">
                    <w:rPr>
                      <w:b/>
                      <w:bCs/>
                      <w:sz w:val="14"/>
                      <w:szCs w:val="14"/>
                    </w:rPr>
                    <w:t xml:space="preserve">In </w:t>
                  </w:r>
                  <w:r w:rsidR="00744F20" w:rsidRPr="00B34C50">
                    <w:rPr>
                      <w:b/>
                      <w:bCs/>
                      <w:sz w:val="14"/>
                      <w:szCs w:val="14"/>
                    </w:rPr>
                    <w:t>1000 USD</w:t>
                  </w:r>
                </w:p>
              </w:txbxContent>
            </v:textbox>
          </v:shape>
        </w:pict>
      </w:r>
      <w:r w:rsidR="00FA499F">
        <w:rPr>
          <w:noProof/>
          <w:lang w:eastAsia="en-US"/>
        </w:rPr>
        <w:pict>
          <v:shape id="Picture 1" o:spid="_x0000_i1028" type="#_x0000_t75" style="width:334.95pt;height:219.15pt;visibility:visible;mso-wrap-style:square" o:bordertopcolor="this" o:borderleftcolor="this" o:borderbottomcolor="this" o:borderrightcolor="this">
            <v:imagedata r:id="rId9" o:title=""/>
            <w10:bordertop type="single" width="4"/>
            <w10:borderleft type="single" width="4"/>
            <w10:borderbottom type="single" width="4"/>
            <w10:borderright type="single" width="4"/>
          </v:shape>
        </w:pict>
      </w:r>
    </w:p>
    <w:p w:rsidR="00273E8C" w:rsidRPr="007C7EEE" w:rsidRDefault="00394903" w:rsidP="0087312F">
      <w:pPr>
        <w:pStyle w:val="CaptionShort"/>
      </w:pPr>
      <w:r w:rsidRPr="007C7EEE">
        <w:rPr>
          <w:b/>
        </w:rPr>
        <w:t>Figure</w:t>
      </w:r>
      <w:r w:rsidR="00FF77AF" w:rsidRPr="007C7EEE">
        <w:rPr>
          <w:b/>
        </w:rPr>
        <w:t xml:space="preserve"> 3</w:t>
      </w:r>
      <w:r w:rsidR="0063605D" w:rsidRPr="007C7EEE">
        <w:rPr>
          <w:b/>
        </w:rPr>
        <w:t>.</w:t>
      </w:r>
      <w:r w:rsidR="0063605D" w:rsidRPr="007C7EEE">
        <w:t xml:space="preserve"> Voyage savings and SC tolls </w:t>
      </w:r>
      <w:r w:rsidR="00797DC9" w:rsidRPr="007C7EEE">
        <w:t xml:space="preserve">in thousand USD </w:t>
      </w:r>
      <w:r w:rsidR="0063605D" w:rsidRPr="007C7EEE">
        <w:t xml:space="preserve">for </w:t>
      </w:r>
      <w:r w:rsidR="00797DC9" w:rsidRPr="007C7EEE">
        <w:t>different</w:t>
      </w:r>
      <w:r w:rsidR="0063605D" w:rsidRPr="007C7EEE">
        <w:t xml:space="preserve"> vessel</w:t>
      </w:r>
      <w:r w:rsidR="00797DC9" w:rsidRPr="007C7EEE">
        <w:t>s</w:t>
      </w:r>
      <w:r w:rsidR="0063605D" w:rsidRPr="007C7EEE">
        <w:t xml:space="preserve"> from Jeddah to Piraeus</w:t>
      </w:r>
      <w:r w:rsidR="0087312F" w:rsidRPr="007C7EEE">
        <w:t>.</w:t>
      </w:r>
    </w:p>
    <w:p w:rsidR="0063605D" w:rsidRPr="007C7EEE" w:rsidRDefault="001B36A2" w:rsidP="006940D0">
      <w:pPr>
        <w:pStyle w:val="NoindentNormal"/>
        <w:spacing w:before="240"/>
        <w:jc w:val="center"/>
        <w:rPr>
          <w:noProof/>
          <w:lang w:eastAsia="en-US"/>
        </w:rPr>
      </w:pPr>
      <w:r>
        <w:rPr>
          <w:noProof/>
          <w:lang w:eastAsia="en-US"/>
        </w:rPr>
        <w:pict>
          <v:shape id="_x0000_s1042" type="#_x0000_t202" style="position:absolute;left:0;text-align:left;margin-left:85.8pt;margin-top:22.1pt;width:42.75pt;height:9.2pt;z-index:3;mso-width-relative:margin;mso-height-relative:margin" filled="f">
            <v:textbox style="mso-next-textbox:#_x0000_s1042" inset="0,0,0,0">
              <w:txbxContent>
                <w:p w:rsidR="001B36A2" w:rsidRPr="00B34C50" w:rsidRDefault="001B36A2" w:rsidP="001B36A2">
                  <w:pPr>
                    <w:ind w:firstLine="0"/>
                    <w:rPr>
                      <w:b/>
                      <w:bCs/>
                      <w:sz w:val="14"/>
                      <w:szCs w:val="14"/>
                    </w:rPr>
                  </w:pPr>
                  <w:r>
                    <w:rPr>
                      <w:b/>
                      <w:bCs/>
                      <w:sz w:val="14"/>
                      <w:szCs w:val="14"/>
                    </w:rPr>
                    <w:t xml:space="preserve"> In </w:t>
                  </w:r>
                  <w:r w:rsidRPr="00B34C50">
                    <w:rPr>
                      <w:b/>
                      <w:bCs/>
                      <w:sz w:val="14"/>
                      <w:szCs w:val="14"/>
                    </w:rPr>
                    <w:t>1000 USD</w:t>
                  </w:r>
                </w:p>
              </w:txbxContent>
            </v:textbox>
          </v:shape>
        </w:pict>
      </w:r>
      <w:r w:rsidR="00FA499F">
        <w:rPr>
          <w:noProof/>
          <w:lang w:eastAsia="en-US"/>
        </w:rPr>
        <w:pict>
          <v:shape id="_x0000_i1027" type="#_x0000_t75" style="width:333.7pt;height:217.25pt;visibility:visible;mso-wrap-style:square" o:bordertopcolor="this" o:borderleftcolor="this" o:borderbottomcolor="this" o:borderrightcolor="this">
            <v:imagedata r:id="rId10" o:title="" croptop="300f"/>
            <w10:bordertop type="single" width="4"/>
            <w10:borderleft type="single" width="4"/>
            <w10:borderbottom type="single" width="4"/>
            <w10:borderright type="single" width="4"/>
          </v:shape>
        </w:pict>
      </w:r>
    </w:p>
    <w:p w:rsidR="00273E8C" w:rsidRPr="007C7EEE" w:rsidRDefault="00FF77AF" w:rsidP="00572F31">
      <w:pPr>
        <w:pStyle w:val="CaptionShort"/>
      </w:pPr>
      <w:r w:rsidRPr="007C7EEE">
        <w:rPr>
          <w:b/>
        </w:rPr>
        <w:t>Figure 4</w:t>
      </w:r>
      <w:r w:rsidR="006940D0" w:rsidRPr="007C7EEE">
        <w:rPr>
          <w:b/>
        </w:rPr>
        <w:t>.</w:t>
      </w:r>
      <w:r w:rsidR="006940D0" w:rsidRPr="007C7EEE">
        <w:t xml:space="preserve"> </w:t>
      </w:r>
      <w:r w:rsidR="00055F61" w:rsidRPr="007C7EEE">
        <w:t xml:space="preserve">Voyage </w:t>
      </w:r>
      <w:r w:rsidR="00572F31" w:rsidRPr="007C7EEE">
        <w:t>savings and SC tolls in thousand USD for different vessels from</w:t>
      </w:r>
      <w:r w:rsidR="006940D0" w:rsidRPr="007C7EEE">
        <w:t xml:space="preserve"> Tokyo to Rotterdam</w:t>
      </w:r>
      <w:r w:rsidR="00F14233" w:rsidRPr="007C7EEE">
        <w:t>.</w:t>
      </w:r>
    </w:p>
    <w:p w:rsidR="00FF77AF" w:rsidRPr="007C7EEE" w:rsidRDefault="00541109" w:rsidP="00FF77AF">
      <w:r w:rsidRPr="007C7EEE">
        <w:t>For Cape</w:t>
      </w:r>
      <w:r w:rsidR="00FF77AF" w:rsidRPr="007C7EEE">
        <w:t xml:space="preserve">size vessel some deviations are present even when using the TCE with the sample vessel characteristics. For the route Jeddah to Piraeus, SC tolls are always less than the total savings of the Baltic vessel, sample vessel, and sample vessel applying </w:t>
      </w:r>
      <w:r w:rsidR="00FF77AF" w:rsidRPr="007C7EEE">
        <w:lastRenderedPageBreak/>
        <w:t xml:space="preserve">TCE. SC tolls to the total savings, in percentage, varied along the </w:t>
      </w:r>
      <w:r w:rsidR="002D31E3">
        <w:t>period considered, for the Baltic</w:t>
      </w:r>
      <w:r w:rsidR="00FF77AF" w:rsidRPr="007C7EEE">
        <w:t xml:space="preserve"> vessel</w:t>
      </w:r>
      <w:r w:rsidR="002D31E3">
        <w:t xml:space="preserve"> from 89% to 21%, for the sample</w:t>
      </w:r>
      <w:r w:rsidR="00FF77AF" w:rsidRPr="007C7EEE">
        <w:t xml:space="preserve"> vessel it varied from 23% to 18%, and fro</w:t>
      </w:r>
      <w:r w:rsidR="002D31E3">
        <w:t>m 28.5% to 16% for the sample vessel with TCE</w:t>
      </w:r>
      <w:r w:rsidR="00FF77AF" w:rsidRPr="007C7EEE">
        <w:t>. On the other hand, the route Tokyo to Rotterdam, SC tolls to the total savings, in percentage, varied for the first vessel from 259% to 61%, for the second vessel it varied from 139% to 55%, and from 197% to 46% for the third one. This means that in certain periods the SC tolls exceeded the vessels' savings. These periods extend from January 2016 for all the vessels until November, June, and September for the three vessels respectively, which coincides with the reports mentioning that some vessels skipped passage from SC to the Cape during the first three quarters of 2016, due to the reduced bunker prices.</w:t>
      </w:r>
    </w:p>
    <w:p w:rsidR="00FF77AF" w:rsidRPr="007C7EEE" w:rsidRDefault="00FF77AF" w:rsidP="00FF77AF">
      <w:r w:rsidRPr="007C7EEE">
        <w:t>The same pattern holds for Panamax and Supramax vessels as in the case of Capesize vessels. The savings for the sample vessel and the sample vessel with TCE are almost the same. On Tokyo to Rotterdam route, SC tolls in the beginning of 2016 were always greater than the savings. The length of this period varied between the different vessels. SC tolls were by far much less than the savings by the end of 2017.</w:t>
      </w:r>
    </w:p>
    <w:p w:rsidR="00FF77AF" w:rsidRPr="007C7EEE" w:rsidRDefault="00FF77AF" w:rsidP="00FF77AF">
      <w:r w:rsidRPr="007C7EEE">
        <w:t>Handysize vessels show the same pattern with identical savings for the sample vessel and the sample vessel with TCE. For the Handy size vessels, on Tokyo to Rotterdam route, SC tolls were greater than the savings in the beginning of 2016 for the Baltic vessel only. For the other two vessels, in the beginning of 2016, the SC tolls is almost the same as the savings, which is attributed to the fact that the charter rates for the Handysize in this period were high, almost the same as Panamax and Supramax, while the SC tolls is much less</w:t>
      </w:r>
      <w:r w:rsidR="00192A09" w:rsidRPr="007C7EEE">
        <w:t xml:space="preserve"> than that for the Panamax and Supramax</w:t>
      </w:r>
      <w:r w:rsidRPr="007C7EEE">
        <w:t xml:space="preserve"> as it is dependent on the SCNT. </w:t>
      </w:r>
    </w:p>
    <w:p w:rsidR="00F449AC" w:rsidRPr="007C7EEE" w:rsidRDefault="00F449AC" w:rsidP="00F449AC">
      <w:pPr>
        <w:pStyle w:val="Heading1"/>
        <w:rPr>
          <w:szCs w:val="20"/>
          <w:lang w:eastAsia="en-US"/>
        </w:rPr>
      </w:pPr>
      <w:r w:rsidRPr="007C7EEE">
        <w:rPr>
          <w:lang w:eastAsia="en-US"/>
        </w:rPr>
        <w:t>Conclusion</w:t>
      </w:r>
    </w:p>
    <w:p w:rsidR="00E059C1" w:rsidRPr="007C7EEE" w:rsidRDefault="00FE58D7" w:rsidP="008E60AB">
      <w:pPr>
        <w:pStyle w:val="NoindentNormal"/>
      </w:pPr>
      <w:r w:rsidRPr="007C7EEE">
        <w:t>As different sources for the charter rates, vessel speed and fuel consumption were considered, the variation in the same vessel total saving on the same route</w:t>
      </w:r>
      <w:r w:rsidR="00192A09" w:rsidRPr="007C7EEE">
        <w:t xml:space="preserve"> and same date</w:t>
      </w:r>
      <w:r w:rsidRPr="007C7EEE">
        <w:t xml:space="preserve"> was mainly sensitive to the speed, speed reduction due to weather conditions,</w:t>
      </w:r>
      <w:r w:rsidR="005478B3" w:rsidRPr="007C7EEE">
        <w:t xml:space="preserve"> </w:t>
      </w:r>
      <w:r w:rsidRPr="007C7EEE">
        <w:t>and the daily</w:t>
      </w:r>
      <w:r w:rsidR="00192A09" w:rsidRPr="007C7EEE">
        <w:t xml:space="preserve"> fuel</w:t>
      </w:r>
      <w:r w:rsidRPr="007C7EEE">
        <w:t xml:space="preserve"> consumption, while </w:t>
      </w:r>
      <w:r w:rsidR="00A95DB9" w:rsidRPr="007C7EEE">
        <w:t>switching between</w:t>
      </w:r>
      <w:r w:rsidR="00790E60" w:rsidRPr="007C7EEE">
        <w:t xml:space="preserve"> the TC or TCE (</w:t>
      </w:r>
      <w:r w:rsidRPr="007C7EEE">
        <w:t>the variation in the charter rates</w:t>
      </w:r>
      <w:r w:rsidR="002D31E3">
        <w:t xml:space="preserve"> between different references</w:t>
      </w:r>
      <w:r w:rsidR="00790E60" w:rsidRPr="007C7EEE">
        <w:t>)</w:t>
      </w:r>
      <w:r w:rsidRPr="007C7EEE">
        <w:t xml:space="preserve"> was not the deciding parameter.</w:t>
      </w:r>
      <w:r w:rsidR="00D510AC" w:rsidRPr="007C7EEE">
        <w:t xml:space="preserve"> </w:t>
      </w:r>
      <w:r w:rsidRPr="007C7EEE">
        <w:t>Meanwhile, SC tolls remained constant while the</w:t>
      </w:r>
      <w:r w:rsidR="00331A37" w:rsidRPr="007C7EEE">
        <w:t xml:space="preserve"> vessels'</w:t>
      </w:r>
      <w:r w:rsidR="00D510AC" w:rsidRPr="007C7EEE">
        <w:t xml:space="preserve"> savings are</w:t>
      </w:r>
      <w:r w:rsidR="008E60AB" w:rsidRPr="007C7EEE">
        <w:t xml:space="preserve"> doubled and sometimes tripled</w:t>
      </w:r>
      <w:r w:rsidR="00D510AC" w:rsidRPr="007C7EEE">
        <w:t xml:space="preserve"> along the period. The tolls calculated wh</w:t>
      </w:r>
      <w:r w:rsidR="00D677C6" w:rsidRPr="007C7EEE">
        <w:t>en compared to the savings demonstrate</w:t>
      </w:r>
      <w:r w:rsidR="00D510AC" w:rsidRPr="007C7EEE">
        <w:t xml:space="preserve"> over estimation in certain periods and</w:t>
      </w:r>
      <w:r w:rsidR="00682B04" w:rsidRPr="007C7EEE">
        <w:t xml:space="preserve"> under estimation in others.</w:t>
      </w:r>
      <w:r w:rsidRPr="007C7EEE">
        <w:t xml:space="preserve"> </w:t>
      </w:r>
    </w:p>
    <w:p w:rsidR="00682B04" w:rsidRPr="007C7EEE" w:rsidRDefault="00682B04" w:rsidP="000A130E">
      <w:r w:rsidRPr="007C7EEE">
        <w:t>Th</w:t>
      </w:r>
      <w:r w:rsidR="00D510AC" w:rsidRPr="007C7EEE">
        <w:t>erefore</w:t>
      </w:r>
      <w:r w:rsidR="00D677C6" w:rsidRPr="007C7EEE">
        <w:t>,</w:t>
      </w:r>
      <w:r w:rsidR="00D510AC" w:rsidRPr="007C7EEE">
        <w:t xml:space="preserve"> </w:t>
      </w:r>
      <w:r w:rsidR="000A130E" w:rsidRPr="007C7EEE">
        <w:t xml:space="preserve">the current </w:t>
      </w:r>
      <w:r w:rsidR="00D510AC" w:rsidRPr="007C7EEE">
        <w:t xml:space="preserve">tolls </w:t>
      </w:r>
      <w:r w:rsidR="000A130E" w:rsidRPr="007C7EEE">
        <w:t xml:space="preserve">policy </w:t>
      </w:r>
      <w:r w:rsidR="00D510AC" w:rsidRPr="007C7EEE">
        <w:t>fails to mimic the shipping market quick variation for the same vessel</w:t>
      </w:r>
      <w:r w:rsidRPr="007C7EEE">
        <w:t xml:space="preserve"> on different routes or even</w:t>
      </w:r>
      <w:r w:rsidR="00D677C6" w:rsidRPr="007C7EEE">
        <w:t xml:space="preserve"> on the same route i</w:t>
      </w:r>
      <w:r w:rsidR="00D510AC" w:rsidRPr="007C7EEE">
        <w:t>n different dates.</w:t>
      </w:r>
      <w:r w:rsidR="00E059C1" w:rsidRPr="007C7EEE">
        <w:t xml:space="preserve"> This dictates the necessity of adopting a more flexible method </w:t>
      </w:r>
      <w:r w:rsidR="00D677C6" w:rsidRPr="007C7EEE">
        <w:t>for the SC tolls estimation</w:t>
      </w:r>
      <w:r w:rsidR="00E059C1" w:rsidRPr="007C7EEE">
        <w:t xml:space="preserve"> as a percent</w:t>
      </w:r>
      <w:r w:rsidR="00D677C6" w:rsidRPr="007C7EEE">
        <w:t>age</w:t>
      </w:r>
      <w:r w:rsidR="00E059C1" w:rsidRPr="007C7EEE">
        <w:t xml:space="preserve"> of each</w:t>
      </w:r>
      <w:r w:rsidR="00572F31" w:rsidRPr="007C7EEE">
        <w:t xml:space="preserve"> vessel saving, or by allowing</w:t>
      </w:r>
      <w:r w:rsidR="00E059C1" w:rsidRPr="007C7EEE">
        <w:t xml:space="preserve"> rebate</w:t>
      </w:r>
      <w:r w:rsidR="00FE58D7" w:rsidRPr="007C7EEE">
        <w:t>s</w:t>
      </w:r>
      <w:r w:rsidR="00331A37" w:rsidRPr="007C7EEE">
        <w:t>, on case by case basis,</w:t>
      </w:r>
      <w:r w:rsidR="00E059C1" w:rsidRPr="007C7EEE">
        <w:t xml:space="preserve"> if the tolls exceed the savings. The second suggestion allows SCA to raise the tolls without </w:t>
      </w:r>
      <w:r w:rsidR="00A439CA" w:rsidRPr="007C7EEE">
        <w:t>losing</w:t>
      </w:r>
      <w:r w:rsidR="00634471" w:rsidRPr="007C7EEE">
        <w:t xml:space="preserve"> its potential customers taking into consideration that</w:t>
      </w:r>
      <w:r w:rsidR="00FE58D7" w:rsidRPr="007C7EEE">
        <w:t xml:space="preserve"> t</w:t>
      </w:r>
      <w:r w:rsidR="00A439CA" w:rsidRPr="007C7EEE">
        <w:t>he rebate policy is already an acc</w:t>
      </w:r>
      <w:r w:rsidR="00572F31" w:rsidRPr="007C7EEE">
        <w:t xml:space="preserve">eptable idea and adopted by </w:t>
      </w:r>
      <w:r w:rsidR="00A439CA" w:rsidRPr="007C7EEE">
        <w:t>SCA</w:t>
      </w:r>
      <w:r w:rsidR="00572F31" w:rsidRPr="007C7EEE">
        <w:t>,</w:t>
      </w:r>
      <w:r w:rsidR="00A439CA" w:rsidRPr="007C7EEE">
        <w:t xml:space="preserve"> but without elaborated explanation and reference to well derived and available indices.</w:t>
      </w:r>
      <w:r w:rsidR="00634471" w:rsidRPr="007C7EEE">
        <w:t xml:space="preserve"> </w:t>
      </w:r>
      <w:r w:rsidR="00FE58D7" w:rsidRPr="007C7EEE">
        <w:t>The main parameters involved in the suggested new method is the speed, fuel consumption, charter</w:t>
      </w:r>
      <w:r w:rsidR="00634471" w:rsidRPr="007C7EEE">
        <w:t xml:space="preserve"> </w:t>
      </w:r>
      <w:r w:rsidR="00FE58D7" w:rsidRPr="007C7EEE">
        <w:t xml:space="preserve"> rates, and bunker</w:t>
      </w:r>
      <w:r w:rsidR="00634471" w:rsidRPr="007C7EEE">
        <w:t xml:space="preserve"> price</w:t>
      </w:r>
      <w:r w:rsidR="00D677C6" w:rsidRPr="007C7EEE">
        <w:t>s</w:t>
      </w:r>
      <w:r w:rsidR="00634471" w:rsidRPr="007C7EEE">
        <w:t>.</w:t>
      </w:r>
      <w:r w:rsidR="00FE58D7" w:rsidRPr="007C7EEE">
        <w:t xml:space="preserve"> </w:t>
      </w:r>
    </w:p>
    <w:p w:rsidR="00E059C1" w:rsidRPr="007C7EEE" w:rsidRDefault="00E059C1" w:rsidP="00FE58D7">
      <w:r w:rsidRPr="007C7EEE">
        <w:t xml:space="preserve">With the introduction of the EEDI as a mandatory </w:t>
      </w:r>
      <w:r w:rsidR="00D677C6" w:rsidRPr="007C7EEE">
        <w:t xml:space="preserve">requirement by </w:t>
      </w:r>
      <w:r w:rsidR="00331A37" w:rsidRPr="007C7EEE">
        <w:t>IMO</w:t>
      </w:r>
      <w:r w:rsidR="00FE58D7" w:rsidRPr="007C7EEE">
        <w:t>,</w:t>
      </w:r>
      <w:r w:rsidRPr="007C7EEE">
        <w:t xml:space="preserve"> </w:t>
      </w:r>
      <w:r w:rsidR="00FE58D7" w:rsidRPr="007C7EEE">
        <w:t>the speed and fuel consumption of each vessel</w:t>
      </w:r>
      <w:r w:rsidRPr="007C7EEE">
        <w:t xml:space="preserve"> will be properly measured and monitored, and an internationally accepted allowance for the speed reduction due to weather conditions is derived. This provides an independent and trustful reference for the vessel</w:t>
      </w:r>
      <w:r w:rsidR="00572F31" w:rsidRPr="007C7EEE">
        <w:t>s</w:t>
      </w:r>
      <w:r w:rsidRPr="007C7EEE">
        <w:t xml:space="preserve"> speed and </w:t>
      </w:r>
      <w:r w:rsidRPr="007C7EEE">
        <w:lastRenderedPageBreak/>
        <w:t xml:space="preserve">fuel consumption. Relating SC tolls to the EEDI will </w:t>
      </w:r>
      <w:r w:rsidR="00A439CA" w:rsidRPr="007C7EEE">
        <w:t xml:space="preserve">even </w:t>
      </w:r>
      <w:r w:rsidRPr="007C7EEE">
        <w:t>contribute to IMO efforts to make shipping a greener industry</w:t>
      </w:r>
      <w:r w:rsidR="00A439CA" w:rsidRPr="007C7EEE">
        <w:t xml:space="preserve"> and will further encourage ship owners to adopt energy efficient technologies</w:t>
      </w:r>
      <w:r w:rsidRPr="007C7EEE">
        <w:t xml:space="preserve">. </w:t>
      </w:r>
    </w:p>
    <w:p w:rsidR="002D31E3" w:rsidRDefault="00A439CA" w:rsidP="00260FA1">
      <w:r w:rsidRPr="007C7EEE">
        <w:t>B</w:t>
      </w:r>
      <w:r w:rsidR="00E059C1" w:rsidRPr="007C7EEE">
        <w:t>unker price</w:t>
      </w:r>
      <w:r w:rsidRPr="007C7EEE">
        <w:t>s</w:t>
      </w:r>
      <w:r w:rsidR="00E059C1" w:rsidRPr="007C7EEE">
        <w:t xml:space="preserve"> </w:t>
      </w:r>
      <w:r w:rsidRPr="007C7EEE">
        <w:t>are</w:t>
      </w:r>
      <w:r w:rsidR="00E059C1" w:rsidRPr="007C7EEE">
        <w:t xml:space="preserve"> daily published and circulated for different ports</w:t>
      </w:r>
      <w:r w:rsidR="00D677C6" w:rsidRPr="007C7EEE">
        <w:t>,</w:t>
      </w:r>
      <w:r w:rsidR="00E059C1" w:rsidRPr="007C7EEE">
        <w:t xml:space="preserve"> which makes this parameter easy to obtain</w:t>
      </w:r>
      <w:r w:rsidRPr="007C7EEE">
        <w:t xml:space="preserve"> and undisputable</w:t>
      </w:r>
      <w:r w:rsidR="002D31E3">
        <w:t>, and adopting the Bunkerworld indices is an acceptable method</w:t>
      </w:r>
      <w:r w:rsidR="00E059C1" w:rsidRPr="007C7EEE">
        <w:t xml:space="preserve">. </w:t>
      </w:r>
    </w:p>
    <w:p w:rsidR="00501D6E" w:rsidRPr="007C7EEE" w:rsidRDefault="00E059C1" w:rsidP="002D31E3">
      <w:r w:rsidRPr="007C7EEE">
        <w:t>Charter rates are available from different brokers and research institutes</w:t>
      </w:r>
      <w:r w:rsidR="00A439CA" w:rsidRPr="007C7EEE">
        <w:t>. As different approaches and data sources are used for deriving the tim</w:t>
      </w:r>
      <w:r w:rsidR="00192A09" w:rsidRPr="007C7EEE">
        <w:t>e charter rates, this parameter</w:t>
      </w:r>
      <w:r w:rsidR="00A439CA" w:rsidRPr="007C7EEE">
        <w:t xml:space="preserve"> seems to be the most difficult to ev</w:t>
      </w:r>
      <w:r w:rsidR="00D677C6" w:rsidRPr="007C7EEE">
        <w:t>aluate, but still, as mentioned</w:t>
      </w:r>
      <w:r w:rsidR="00A439CA" w:rsidRPr="007C7EEE">
        <w:t xml:space="preserve"> earlier, </w:t>
      </w:r>
      <w:r w:rsidR="00260FA1" w:rsidRPr="007C7EEE">
        <w:t xml:space="preserve">the variation between TC and TCE </w:t>
      </w:r>
      <w:r w:rsidR="00A439CA" w:rsidRPr="007C7EEE">
        <w:t xml:space="preserve">is not the main driving parameter. </w:t>
      </w:r>
      <w:r w:rsidR="002D31E3">
        <w:t>TCEs from the Baltic Exchange are widely accepted in the maritime field, or t</w:t>
      </w:r>
      <w:r w:rsidR="00A439CA" w:rsidRPr="007C7EEE">
        <w:t>he time charter rates from different sources</w:t>
      </w:r>
      <w:r w:rsidRPr="007C7EEE">
        <w:t xml:space="preserve"> can be collaborated to reach an average weighed time charter rate for each vessel type and size.</w:t>
      </w:r>
    </w:p>
    <w:p w:rsidR="00FE58D7" w:rsidRPr="007C7EEE" w:rsidRDefault="00FE58D7" w:rsidP="00206577">
      <w:r w:rsidRPr="007C7EEE">
        <w:t>Still there are other topics which nee</w:t>
      </w:r>
      <w:r w:rsidR="003B4369" w:rsidRPr="007C7EEE">
        <w:t>d</w:t>
      </w:r>
      <w:r w:rsidR="00572F31" w:rsidRPr="007C7EEE">
        <w:t xml:space="preserve"> to be further investigated. S</w:t>
      </w:r>
      <w:r w:rsidRPr="007C7EEE">
        <w:t xml:space="preserve">low steaming and its effect </w:t>
      </w:r>
      <w:r w:rsidR="00CF6276" w:rsidRPr="007C7EEE">
        <w:t>on reducing the fuel consumed during the voyage</w:t>
      </w:r>
      <w:r w:rsidRPr="007C7EEE">
        <w:t xml:space="preserve"> is an important issue. Also, alternative routes other than the Cape must also be compared, these include Panama Canal and the</w:t>
      </w:r>
      <w:r w:rsidR="00206577" w:rsidRPr="007C7EEE">
        <w:t xml:space="preserve"> North Pole route. The impact of increasing SC tolls on encouraging other modes of transportation</w:t>
      </w:r>
      <w:r w:rsidR="003B4369" w:rsidRPr="007C7EEE">
        <w:t>,</w:t>
      </w:r>
      <w:r w:rsidR="00206577" w:rsidRPr="007C7EEE">
        <w:t xml:space="preserve"> as rail and road</w:t>
      </w:r>
      <w:r w:rsidR="003B4369" w:rsidRPr="007C7EEE">
        <w:t>,</w:t>
      </w:r>
      <w:r w:rsidR="00206577" w:rsidRPr="007C7EEE">
        <w:t xml:space="preserve"> on some routes should not be overlooked. </w:t>
      </w:r>
    </w:p>
    <w:p w:rsidR="00B05D6E" w:rsidRPr="007C7EEE" w:rsidRDefault="00B05D6E">
      <w:pPr>
        <w:pStyle w:val="HeadingUnn1"/>
      </w:pPr>
      <w:r w:rsidRPr="007C7EEE">
        <w:t>References</w:t>
      </w:r>
    </w:p>
    <w:p w:rsidR="00B05D6E" w:rsidRPr="007C7EEE" w:rsidRDefault="006C5EEC" w:rsidP="006C5EEC">
      <w:pPr>
        <w:pStyle w:val="References"/>
        <w:ind w:left="357" w:hanging="357"/>
        <w:rPr>
          <w:snapToGrid w:val="0"/>
        </w:rPr>
      </w:pPr>
      <w:r w:rsidRPr="007C7EEE">
        <w:rPr>
          <w:snapToGrid w:val="0"/>
        </w:rPr>
        <w:t xml:space="preserve">Suez Canal Authority, </w:t>
      </w:r>
      <w:r w:rsidRPr="007C7EEE">
        <w:rPr>
          <w:i/>
          <w:snapToGrid w:val="0"/>
        </w:rPr>
        <w:t>https://www.suezcanal.gov.eg/English/Pages/default.aspx</w:t>
      </w:r>
      <w:r w:rsidR="00B05D6E" w:rsidRPr="007C7EEE">
        <w:rPr>
          <w:snapToGrid w:val="0"/>
        </w:rPr>
        <w:t>.</w:t>
      </w:r>
    </w:p>
    <w:p w:rsidR="0021468C" w:rsidRPr="007C7EEE" w:rsidRDefault="006C5EEC" w:rsidP="0089321E">
      <w:pPr>
        <w:pStyle w:val="References"/>
        <w:ind w:left="357" w:hanging="357"/>
      </w:pPr>
      <w:r w:rsidRPr="007C7EEE">
        <w:t xml:space="preserve">United Nations Conference on Trade and Development, </w:t>
      </w:r>
      <w:r w:rsidRPr="007C7EEE">
        <w:rPr>
          <w:i/>
          <w:iCs/>
        </w:rPr>
        <w:t xml:space="preserve">Review of Maritime Transport, </w:t>
      </w:r>
      <w:r w:rsidRPr="007C7EEE">
        <w:t>United Nations Publications, New York and Geneva, 2017</w:t>
      </w:r>
      <w:r w:rsidR="00F31F87" w:rsidRPr="007C7EEE">
        <w:t>.</w:t>
      </w:r>
    </w:p>
    <w:p w:rsidR="0089321E" w:rsidRPr="007C7EEE" w:rsidRDefault="0089321E" w:rsidP="00F31F87">
      <w:pPr>
        <w:pStyle w:val="References"/>
        <w:ind w:left="357" w:hanging="357"/>
      </w:pPr>
      <w:r w:rsidRPr="007C7EEE">
        <w:rPr>
          <w:snapToGrid w:val="0"/>
        </w:rPr>
        <w:t>State Information Service</w:t>
      </w:r>
      <w:r w:rsidR="006C5EEC" w:rsidRPr="007C7EEE">
        <w:rPr>
          <w:snapToGrid w:val="0"/>
        </w:rPr>
        <w:t>,</w:t>
      </w:r>
      <w:r w:rsidRPr="007C7EEE">
        <w:t xml:space="preserve"> </w:t>
      </w:r>
      <w:r w:rsidRPr="007C7EEE">
        <w:rPr>
          <w:i/>
          <w:snapToGrid w:val="0"/>
        </w:rPr>
        <w:t>http://www.sis.gov.eg/Story/123091?lang=en-us</w:t>
      </w:r>
      <w:r w:rsidR="00F31F87" w:rsidRPr="007C7EEE">
        <w:t>.</w:t>
      </w:r>
    </w:p>
    <w:p w:rsidR="00A51291" w:rsidRPr="007C7EEE" w:rsidRDefault="00A51291" w:rsidP="0089321E">
      <w:pPr>
        <w:pStyle w:val="References"/>
        <w:ind w:left="357" w:hanging="357"/>
      </w:pPr>
      <w:r w:rsidRPr="007C7EEE">
        <w:t>International Monetary Fund,</w:t>
      </w:r>
      <w:r w:rsidR="00F31F87" w:rsidRPr="007C7EEE">
        <w:t xml:space="preserve"> Special Drawing Right,</w:t>
      </w:r>
      <w:r w:rsidRPr="007C7EEE">
        <w:t xml:space="preserve"> </w:t>
      </w:r>
      <w:r w:rsidRPr="007C7EEE">
        <w:rPr>
          <w:i/>
          <w:snapToGrid w:val="0"/>
        </w:rPr>
        <w:t>http://www.imf.org/en/About/Factsheets/Sheets/2016/08/01/14/51/Special-Drawing-Right-S</w:t>
      </w:r>
      <w:r w:rsidRPr="007C7EEE">
        <w:rPr>
          <w:i/>
        </w:rPr>
        <w:t>DR</w:t>
      </w:r>
      <w:r w:rsidR="00F31F87" w:rsidRPr="007C7EEE">
        <w:rPr>
          <w:i/>
        </w:rPr>
        <w:t>.</w:t>
      </w:r>
    </w:p>
    <w:p w:rsidR="00035BF0" w:rsidRPr="007C7EEE" w:rsidRDefault="00035BF0" w:rsidP="00035BF0">
      <w:pPr>
        <w:pStyle w:val="References"/>
        <w:ind w:left="357" w:hanging="357"/>
      </w:pPr>
      <w:r w:rsidRPr="007C7EEE">
        <w:t xml:space="preserve">SeaIntel Maritime Analysis, SeaIntel Sunday Spotlight, </w:t>
      </w:r>
      <w:r w:rsidRPr="007C7EEE">
        <w:rPr>
          <w:i/>
          <w:iCs/>
        </w:rPr>
        <w:t>www.SeaIntel.com issue 273 (2016)</w:t>
      </w:r>
      <w:r w:rsidRPr="007C7EEE">
        <w:t xml:space="preserve">.  </w:t>
      </w:r>
    </w:p>
    <w:p w:rsidR="00D677C6" w:rsidRPr="007C7EEE" w:rsidRDefault="00E80F56" w:rsidP="00D677C6">
      <w:pPr>
        <w:pStyle w:val="References"/>
      </w:pPr>
      <w:r w:rsidRPr="007C7EEE">
        <w:t>Bunkerw</w:t>
      </w:r>
      <w:r w:rsidR="00D677C6" w:rsidRPr="007C7EEE">
        <w:t>orld,  Fuel Prices,</w:t>
      </w:r>
      <w:r w:rsidR="00D677C6" w:rsidRPr="007C7EEE">
        <w:rPr>
          <w:i/>
          <w:snapToGrid w:val="0"/>
        </w:rPr>
        <w:t xml:space="preserve"> http://www.bunkerworld.com/prices/index/.</w:t>
      </w:r>
    </w:p>
    <w:p w:rsidR="00177420" w:rsidRPr="007C7EEE" w:rsidRDefault="002F2713" w:rsidP="00035BF0">
      <w:pPr>
        <w:pStyle w:val="References"/>
        <w:ind w:left="357" w:hanging="357"/>
      </w:pPr>
      <w:r w:rsidRPr="007C7EEE">
        <w:t>T</w:t>
      </w:r>
      <w:r w:rsidR="0053103C" w:rsidRPr="007C7EEE">
        <w:t xml:space="preserve">he Baltic Exchange, </w:t>
      </w:r>
      <w:r w:rsidR="0053103C" w:rsidRPr="007C7EEE">
        <w:rPr>
          <w:i/>
          <w:iCs/>
        </w:rPr>
        <w:t>Guide to Market Benchmarks</w:t>
      </w:r>
      <w:r w:rsidR="0053103C" w:rsidRPr="007C7EEE">
        <w:t>, Baltic Exchange Information services Ltd, 2016.</w:t>
      </w:r>
    </w:p>
    <w:p w:rsidR="00FC5F44" w:rsidRPr="007C7EEE" w:rsidRDefault="00FC5F44" w:rsidP="00035BF0">
      <w:pPr>
        <w:pStyle w:val="References"/>
        <w:ind w:left="357" w:hanging="357"/>
      </w:pPr>
      <w:r w:rsidRPr="007C7EEE">
        <w:t xml:space="preserve">International Maritime Organization, </w:t>
      </w:r>
      <w:r w:rsidRPr="007C7EEE">
        <w:rPr>
          <w:i/>
          <w:snapToGrid w:val="0"/>
        </w:rPr>
        <w:t>Third IMO Greenhouse Gas Study,</w:t>
      </w:r>
      <w:r w:rsidRPr="007C7EEE">
        <w:t xml:space="preserve"> 2014</w:t>
      </w:r>
      <w:r w:rsidR="00791499" w:rsidRPr="007C7EEE">
        <w:t>.</w:t>
      </w:r>
      <w:r w:rsidRPr="007C7EEE">
        <w:t xml:space="preserve">  </w:t>
      </w:r>
    </w:p>
    <w:p w:rsidR="009E4BDB" w:rsidRPr="007C7EEE" w:rsidRDefault="00A56CE3" w:rsidP="00A56CE3">
      <w:pPr>
        <w:pStyle w:val="References"/>
        <w:rPr>
          <w:snapToGrid w:val="0"/>
        </w:rPr>
      </w:pPr>
      <w:r w:rsidRPr="007C7EEE">
        <w:rPr>
          <w:snapToGrid w:val="0"/>
        </w:rPr>
        <w:t xml:space="preserve">Thomas Lamb, editor, </w:t>
      </w:r>
      <w:r w:rsidRPr="007C7EEE">
        <w:rPr>
          <w:i/>
          <w:snapToGrid w:val="0"/>
        </w:rPr>
        <w:t>Ship Design and Construction</w:t>
      </w:r>
      <w:r w:rsidRPr="007C7EEE">
        <w:rPr>
          <w:snapToGrid w:val="0"/>
        </w:rPr>
        <w:t>, The Society of Naval Architects and Marine Engineers, USA, 2003.</w:t>
      </w:r>
    </w:p>
    <w:p w:rsidR="00FF77AF" w:rsidRPr="007C7EEE" w:rsidRDefault="00177420" w:rsidP="009E4BDB">
      <w:pPr>
        <w:pStyle w:val="References"/>
        <w:ind w:left="357" w:hanging="357"/>
      </w:pPr>
      <w:r w:rsidRPr="007C7EEE">
        <w:t xml:space="preserve">Athenian Shipbrokers S.A, Monthly Report, </w:t>
      </w:r>
      <w:r w:rsidRPr="007C7EEE">
        <w:rPr>
          <w:i/>
          <w:snapToGrid w:val="0"/>
        </w:rPr>
        <w:t>www.atheniansa.gr</w:t>
      </w:r>
      <w:r w:rsidRPr="007C7EEE">
        <w:t>, December 2017.</w:t>
      </w:r>
    </w:p>
    <w:p w:rsidR="0053103C" w:rsidRPr="007C7EEE" w:rsidRDefault="00EE1F06" w:rsidP="007311E7">
      <w:pPr>
        <w:pStyle w:val="References"/>
        <w:ind w:left="357" w:hanging="357"/>
      </w:pPr>
      <w:r w:rsidRPr="007C7EEE">
        <w:t>International Maritime Organization</w:t>
      </w:r>
      <w:r w:rsidR="007311E7" w:rsidRPr="007C7EEE">
        <w:t xml:space="preserve">, </w:t>
      </w:r>
      <w:r w:rsidR="007311E7" w:rsidRPr="007C7EEE">
        <w:rPr>
          <w:i/>
          <w:snapToGrid w:val="0"/>
        </w:rPr>
        <w:t xml:space="preserve">MARPOL Consolidated Edition, </w:t>
      </w:r>
      <w:r w:rsidR="007311E7" w:rsidRPr="007C7EEE">
        <w:t>2017</w:t>
      </w:r>
      <w:r w:rsidR="00791499" w:rsidRPr="007C7EEE">
        <w:t>.</w:t>
      </w:r>
    </w:p>
    <w:sectPr w:rsidR="0053103C" w:rsidRPr="007C7EEE" w:rsidSect="000E7526">
      <w:pgSz w:w="11907" w:h="16840" w:code="9"/>
      <w:pgMar w:top="3119" w:right="2438" w:bottom="2381" w:left="2438" w:header="851"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26B" w:rsidRDefault="00DD126B">
      <w:r>
        <w:separator/>
      </w:r>
    </w:p>
  </w:endnote>
  <w:endnote w:type="continuationSeparator" w:id="1">
    <w:p w:rsidR="00DD126B" w:rsidRDefault="00DD1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26B" w:rsidRDefault="00DD126B">
      <w:r>
        <w:separator/>
      </w:r>
    </w:p>
  </w:footnote>
  <w:footnote w:type="continuationSeparator" w:id="1">
    <w:p w:rsidR="00DD126B" w:rsidRDefault="00DD126B">
      <w:r>
        <w:continuationSeparator/>
      </w:r>
    </w:p>
  </w:footnote>
  <w:footnote w:id="2">
    <w:p w:rsidR="00B05D6E" w:rsidRPr="00C765BC" w:rsidRDefault="00B05D6E" w:rsidP="000502B8">
      <w:pPr>
        <w:pStyle w:val="FootnoteText"/>
        <w:rPr>
          <w:rStyle w:val="FootnoteChar"/>
          <w:szCs w:val="16"/>
          <w:lang w:val="en-GB"/>
        </w:rPr>
      </w:pPr>
      <w:r>
        <w:rPr>
          <w:rStyle w:val="FootnoteReference"/>
        </w:rPr>
        <w:footnoteRef/>
      </w:r>
      <w:r>
        <w:rPr>
          <w:rStyle w:val="FootnoteChar"/>
        </w:rPr>
        <w:t xml:space="preserve"> </w:t>
      </w:r>
      <w:r w:rsidR="00C765BC">
        <w:rPr>
          <w:sz w:val="16"/>
          <w:szCs w:val="16"/>
          <w:lang w:val="en-GB"/>
        </w:rPr>
        <w:t>Maged Abdel Naby</w:t>
      </w:r>
      <w:r w:rsidR="006161C2" w:rsidRPr="006161C2">
        <w:rPr>
          <w:sz w:val="16"/>
          <w:szCs w:val="16"/>
          <w:lang w:val="en-GB"/>
        </w:rPr>
        <w:t xml:space="preserve">, </w:t>
      </w:r>
      <w:r w:rsidR="00C765BC">
        <w:rPr>
          <w:sz w:val="16"/>
          <w:szCs w:val="16"/>
          <w:lang w:val="en-GB"/>
        </w:rPr>
        <w:t>Naval Architecture and Marine Engineering</w:t>
      </w:r>
      <w:r w:rsidR="006161C2" w:rsidRPr="006161C2">
        <w:rPr>
          <w:sz w:val="16"/>
          <w:szCs w:val="16"/>
          <w:lang w:val="en-GB"/>
        </w:rPr>
        <w:t xml:space="preserve"> Department, </w:t>
      </w:r>
      <w:r w:rsidR="005406D7">
        <w:rPr>
          <w:sz w:val="16"/>
          <w:szCs w:val="16"/>
          <w:lang w:val="en-GB"/>
        </w:rPr>
        <w:t xml:space="preserve">Faculty of Engineering, </w:t>
      </w:r>
      <w:r w:rsidR="00C765BC">
        <w:rPr>
          <w:sz w:val="16"/>
          <w:szCs w:val="16"/>
          <w:lang w:val="en-GB"/>
        </w:rPr>
        <w:t>Alexandria University</w:t>
      </w:r>
      <w:r w:rsidR="006161C2" w:rsidRPr="006161C2">
        <w:rPr>
          <w:sz w:val="16"/>
          <w:szCs w:val="16"/>
          <w:lang w:val="en-GB"/>
        </w:rPr>
        <w:t xml:space="preserve">, </w:t>
      </w:r>
      <w:r w:rsidR="007E5EC8">
        <w:rPr>
          <w:sz w:val="16"/>
          <w:szCs w:val="16"/>
          <w:lang w:val="en-GB"/>
        </w:rPr>
        <w:t>Lotfy El-Sied S</w:t>
      </w:r>
      <w:r w:rsidR="000502B8">
        <w:rPr>
          <w:sz w:val="16"/>
          <w:szCs w:val="16"/>
          <w:lang w:val="en-GB"/>
        </w:rPr>
        <w:t>t. off Gamal Abd El-Naser, 11432</w:t>
      </w:r>
      <w:r w:rsidR="00C765BC">
        <w:rPr>
          <w:sz w:val="16"/>
          <w:szCs w:val="16"/>
          <w:lang w:val="en-GB"/>
        </w:rPr>
        <w:t xml:space="preserve"> Alexandria</w:t>
      </w:r>
      <w:r w:rsidR="006161C2" w:rsidRPr="006161C2">
        <w:rPr>
          <w:sz w:val="16"/>
          <w:szCs w:val="16"/>
          <w:lang w:val="en-GB"/>
        </w:rPr>
        <w:t xml:space="preserve">, </w:t>
      </w:r>
      <w:r w:rsidR="00C765BC">
        <w:rPr>
          <w:sz w:val="16"/>
          <w:szCs w:val="16"/>
          <w:lang w:val="en-GB"/>
        </w:rPr>
        <w:t>Egypt</w:t>
      </w:r>
      <w:r w:rsidR="006161C2" w:rsidRPr="006161C2">
        <w:rPr>
          <w:sz w:val="16"/>
          <w:szCs w:val="16"/>
          <w:lang w:val="en-GB"/>
        </w:rPr>
        <w:t xml:space="preserve">; E-mail: </w:t>
      </w:r>
      <w:r w:rsidR="00C765BC">
        <w:rPr>
          <w:sz w:val="16"/>
          <w:szCs w:val="16"/>
          <w:lang w:val="en-GB"/>
        </w:rPr>
        <w:t>maged_abdelnaby@yahoo.com</w:t>
      </w:r>
      <w:r w:rsidR="006161C2" w:rsidRPr="006161C2">
        <w:rPr>
          <w:sz w:val="16"/>
          <w:szCs w:val="16"/>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nsid w:val="26902ADE"/>
    <w:multiLevelType w:val="hybridMultilevel"/>
    <w:tmpl w:val="70F6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A8185E"/>
    <w:multiLevelType w:val="hybridMultilevel"/>
    <w:tmpl w:val="E7B470D8"/>
    <w:lvl w:ilvl="0" w:tplc="F9524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8">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9">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em w:val="none"/>
      </w:rPr>
    </w:lvl>
    <w:lvl w:ilvl="1">
      <w:start w:val="1"/>
      <w:numFmt w:val="decimal"/>
      <w:pStyle w:val="Heading2"/>
      <w:suff w:val="space"/>
      <w:lvlText w:val="%1.%2."/>
      <w:lvlJc w:val="left"/>
      <w:pPr>
        <w:ind w:left="568"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9"/>
  </w:num>
  <w:num w:numId="5">
    <w:abstractNumId w:val="4"/>
  </w:num>
  <w:num w:numId="6">
    <w:abstractNumId w:val="8"/>
  </w:num>
  <w:num w:numId="7">
    <w:abstractNumId w:val="10"/>
  </w:num>
  <w:num w:numId="8">
    <w:abstractNumId w:val="6"/>
  </w:num>
  <w:num w:numId="9">
    <w:abstractNumId w:val="10"/>
  </w:num>
  <w:num w:numId="10">
    <w:abstractNumId w:val="2"/>
  </w:num>
  <w:num w:numId="11">
    <w:abstractNumId w:val="10"/>
    <w:lvlOverride w:ilvl="0">
      <w:startOverride w:val="1"/>
    </w:lvlOverride>
  </w:num>
  <w:num w:numId="12">
    <w:abstractNumId w:val="9"/>
  </w:num>
  <w:num w:numId="13">
    <w:abstractNumId w:val="9"/>
  </w:num>
  <w:num w:numId="14">
    <w:abstractNumId w:val="3"/>
  </w:num>
  <w:num w:numId="15">
    <w:abstractNumId w:val="1"/>
  </w:num>
  <w:num w:numId="16">
    <w:abstractNumId w:val="4"/>
  </w:num>
  <w:num w:numId="17">
    <w:abstractNumId w:val="4"/>
  </w:num>
  <w:num w:numId="18">
    <w:abstractNumId w:val="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163"/>
    <w:rsid w:val="000102C5"/>
    <w:rsid w:val="00011997"/>
    <w:rsid w:val="00013522"/>
    <w:rsid w:val="00035BF0"/>
    <w:rsid w:val="00041C9D"/>
    <w:rsid w:val="000502B8"/>
    <w:rsid w:val="0005098F"/>
    <w:rsid w:val="00055F61"/>
    <w:rsid w:val="0007147F"/>
    <w:rsid w:val="000A130E"/>
    <w:rsid w:val="000A6AD1"/>
    <w:rsid w:val="000C1DC8"/>
    <w:rsid w:val="000D0298"/>
    <w:rsid w:val="000E7526"/>
    <w:rsid w:val="000F10E5"/>
    <w:rsid w:val="0010073D"/>
    <w:rsid w:val="00107A25"/>
    <w:rsid w:val="00111C13"/>
    <w:rsid w:val="00111FEE"/>
    <w:rsid w:val="0013313C"/>
    <w:rsid w:val="00165464"/>
    <w:rsid w:val="00173315"/>
    <w:rsid w:val="00177420"/>
    <w:rsid w:val="00185286"/>
    <w:rsid w:val="00190CC7"/>
    <w:rsid w:val="00192A09"/>
    <w:rsid w:val="001A5E7B"/>
    <w:rsid w:val="001A6E5C"/>
    <w:rsid w:val="001B1A76"/>
    <w:rsid w:val="001B36A2"/>
    <w:rsid w:val="001C4EB6"/>
    <w:rsid w:val="001C74DD"/>
    <w:rsid w:val="001C79E5"/>
    <w:rsid w:val="001D3DC9"/>
    <w:rsid w:val="001D6768"/>
    <w:rsid w:val="001D678C"/>
    <w:rsid w:val="001F4EF4"/>
    <w:rsid w:val="001F7315"/>
    <w:rsid w:val="00206577"/>
    <w:rsid w:val="0021468C"/>
    <w:rsid w:val="00260FA1"/>
    <w:rsid w:val="00273E8C"/>
    <w:rsid w:val="002809E1"/>
    <w:rsid w:val="00284A70"/>
    <w:rsid w:val="00286A80"/>
    <w:rsid w:val="002A55CA"/>
    <w:rsid w:val="002C25FB"/>
    <w:rsid w:val="002C3816"/>
    <w:rsid w:val="002D31E3"/>
    <w:rsid w:val="002E5530"/>
    <w:rsid w:val="002F2713"/>
    <w:rsid w:val="00301DDC"/>
    <w:rsid w:val="003038D7"/>
    <w:rsid w:val="00331A37"/>
    <w:rsid w:val="003351CB"/>
    <w:rsid w:val="003356A5"/>
    <w:rsid w:val="00360869"/>
    <w:rsid w:val="00363A6F"/>
    <w:rsid w:val="00394903"/>
    <w:rsid w:val="0039609F"/>
    <w:rsid w:val="003A1D70"/>
    <w:rsid w:val="003A3361"/>
    <w:rsid w:val="003B4369"/>
    <w:rsid w:val="003C2B5B"/>
    <w:rsid w:val="003C31A6"/>
    <w:rsid w:val="003C66C5"/>
    <w:rsid w:val="003F03A2"/>
    <w:rsid w:val="003F0DCE"/>
    <w:rsid w:val="00400C2F"/>
    <w:rsid w:val="00445847"/>
    <w:rsid w:val="0045344C"/>
    <w:rsid w:val="00456A83"/>
    <w:rsid w:val="00463BA9"/>
    <w:rsid w:val="00464164"/>
    <w:rsid w:val="004759AD"/>
    <w:rsid w:val="00482000"/>
    <w:rsid w:val="00484458"/>
    <w:rsid w:val="00484AF7"/>
    <w:rsid w:val="00492224"/>
    <w:rsid w:val="004959A1"/>
    <w:rsid w:val="004C35A9"/>
    <w:rsid w:val="004D0F98"/>
    <w:rsid w:val="004E0500"/>
    <w:rsid w:val="004F554F"/>
    <w:rsid w:val="00501D6E"/>
    <w:rsid w:val="00503EA4"/>
    <w:rsid w:val="00525A46"/>
    <w:rsid w:val="0053103C"/>
    <w:rsid w:val="005406D7"/>
    <w:rsid w:val="00541109"/>
    <w:rsid w:val="005478B3"/>
    <w:rsid w:val="00563926"/>
    <w:rsid w:val="00572F31"/>
    <w:rsid w:val="005749D2"/>
    <w:rsid w:val="00576064"/>
    <w:rsid w:val="005A2A0A"/>
    <w:rsid w:val="005B2CFA"/>
    <w:rsid w:val="005B4861"/>
    <w:rsid w:val="005C1532"/>
    <w:rsid w:val="006018D2"/>
    <w:rsid w:val="00605E12"/>
    <w:rsid w:val="006161C2"/>
    <w:rsid w:val="00621DE5"/>
    <w:rsid w:val="00621EC3"/>
    <w:rsid w:val="006228F8"/>
    <w:rsid w:val="00624256"/>
    <w:rsid w:val="00631672"/>
    <w:rsid w:val="00634471"/>
    <w:rsid w:val="0063605D"/>
    <w:rsid w:val="0064200C"/>
    <w:rsid w:val="00643359"/>
    <w:rsid w:val="0065563C"/>
    <w:rsid w:val="006760A3"/>
    <w:rsid w:val="00677C59"/>
    <w:rsid w:val="006822F6"/>
    <w:rsid w:val="00682B04"/>
    <w:rsid w:val="006940D0"/>
    <w:rsid w:val="006A4ECF"/>
    <w:rsid w:val="006B0F53"/>
    <w:rsid w:val="006B3C85"/>
    <w:rsid w:val="006C5EEC"/>
    <w:rsid w:val="006D3EFF"/>
    <w:rsid w:val="006E56ED"/>
    <w:rsid w:val="006F3513"/>
    <w:rsid w:val="00724B32"/>
    <w:rsid w:val="007311E7"/>
    <w:rsid w:val="007313E1"/>
    <w:rsid w:val="00744F20"/>
    <w:rsid w:val="00774BD1"/>
    <w:rsid w:val="00781918"/>
    <w:rsid w:val="007830BA"/>
    <w:rsid w:val="00790E60"/>
    <w:rsid w:val="00791499"/>
    <w:rsid w:val="00791773"/>
    <w:rsid w:val="00791ED8"/>
    <w:rsid w:val="00796D87"/>
    <w:rsid w:val="00797DC9"/>
    <w:rsid w:val="007B4CEE"/>
    <w:rsid w:val="007B6352"/>
    <w:rsid w:val="007B6A57"/>
    <w:rsid w:val="007C1D70"/>
    <w:rsid w:val="007C7EEE"/>
    <w:rsid w:val="007E5B17"/>
    <w:rsid w:val="007E5EC8"/>
    <w:rsid w:val="007F0AD7"/>
    <w:rsid w:val="00833875"/>
    <w:rsid w:val="00857CDE"/>
    <w:rsid w:val="00861759"/>
    <w:rsid w:val="0086720E"/>
    <w:rsid w:val="0087312F"/>
    <w:rsid w:val="00876599"/>
    <w:rsid w:val="0089321E"/>
    <w:rsid w:val="008A26D5"/>
    <w:rsid w:val="008E2801"/>
    <w:rsid w:val="008E60AB"/>
    <w:rsid w:val="008F70AD"/>
    <w:rsid w:val="009407A5"/>
    <w:rsid w:val="00953CDD"/>
    <w:rsid w:val="009574B4"/>
    <w:rsid w:val="00962D51"/>
    <w:rsid w:val="0096394F"/>
    <w:rsid w:val="0098704C"/>
    <w:rsid w:val="009908F9"/>
    <w:rsid w:val="009B2103"/>
    <w:rsid w:val="009C5418"/>
    <w:rsid w:val="009E0C01"/>
    <w:rsid w:val="009E2052"/>
    <w:rsid w:val="009E4BDB"/>
    <w:rsid w:val="00A02111"/>
    <w:rsid w:val="00A14E9D"/>
    <w:rsid w:val="00A23720"/>
    <w:rsid w:val="00A3743E"/>
    <w:rsid w:val="00A439CA"/>
    <w:rsid w:val="00A46534"/>
    <w:rsid w:val="00A4721B"/>
    <w:rsid w:val="00A51291"/>
    <w:rsid w:val="00A56CE3"/>
    <w:rsid w:val="00A57217"/>
    <w:rsid w:val="00A71DE2"/>
    <w:rsid w:val="00A92C23"/>
    <w:rsid w:val="00A95DB9"/>
    <w:rsid w:val="00AA3AAB"/>
    <w:rsid w:val="00AA616D"/>
    <w:rsid w:val="00AC6663"/>
    <w:rsid w:val="00AD1219"/>
    <w:rsid w:val="00AD18BB"/>
    <w:rsid w:val="00AD1FC7"/>
    <w:rsid w:val="00AD7CB2"/>
    <w:rsid w:val="00AE12C6"/>
    <w:rsid w:val="00AE2D72"/>
    <w:rsid w:val="00AE5B69"/>
    <w:rsid w:val="00AF3E39"/>
    <w:rsid w:val="00B05565"/>
    <w:rsid w:val="00B05D6E"/>
    <w:rsid w:val="00B11F8E"/>
    <w:rsid w:val="00B32BC6"/>
    <w:rsid w:val="00B341A0"/>
    <w:rsid w:val="00B34C50"/>
    <w:rsid w:val="00B37D22"/>
    <w:rsid w:val="00B42123"/>
    <w:rsid w:val="00B562C5"/>
    <w:rsid w:val="00B57C79"/>
    <w:rsid w:val="00B62643"/>
    <w:rsid w:val="00BA69FD"/>
    <w:rsid w:val="00BC28C5"/>
    <w:rsid w:val="00BD0D0A"/>
    <w:rsid w:val="00BF6B5B"/>
    <w:rsid w:val="00BF7F1A"/>
    <w:rsid w:val="00C1205E"/>
    <w:rsid w:val="00C12D73"/>
    <w:rsid w:val="00C33634"/>
    <w:rsid w:val="00C402EE"/>
    <w:rsid w:val="00C47DF1"/>
    <w:rsid w:val="00C70EA4"/>
    <w:rsid w:val="00C72FFC"/>
    <w:rsid w:val="00C765BC"/>
    <w:rsid w:val="00C80687"/>
    <w:rsid w:val="00C91EBF"/>
    <w:rsid w:val="00C97D11"/>
    <w:rsid w:val="00CA3819"/>
    <w:rsid w:val="00CB7F87"/>
    <w:rsid w:val="00CD1163"/>
    <w:rsid w:val="00CE216C"/>
    <w:rsid w:val="00CF5C91"/>
    <w:rsid w:val="00CF6276"/>
    <w:rsid w:val="00CF6B88"/>
    <w:rsid w:val="00CF7D5E"/>
    <w:rsid w:val="00D510AC"/>
    <w:rsid w:val="00D6494F"/>
    <w:rsid w:val="00D677C6"/>
    <w:rsid w:val="00D82BC9"/>
    <w:rsid w:val="00D9030D"/>
    <w:rsid w:val="00DB0C2F"/>
    <w:rsid w:val="00DC22E8"/>
    <w:rsid w:val="00DD126B"/>
    <w:rsid w:val="00DD7D17"/>
    <w:rsid w:val="00DE32C5"/>
    <w:rsid w:val="00DF6B9F"/>
    <w:rsid w:val="00E059C1"/>
    <w:rsid w:val="00E1753E"/>
    <w:rsid w:val="00E40408"/>
    <w:rsid w:val="00E42235"/>
    <w:rsid w:val="00E74F0A"/>
    <w:rsid w:val="00E80F56"/>
    <w:rsid w:val="00E90225"/>
    <w:rsid w:val="00ED7AB5"/>
    <w:rsid w:val="00EE1F06"/>
    <w:rsid w:val="00F055F6"/>
    <w:rsid w:val="00F07FC3"/>
    <w:rsid w:val="00F14233"/>
    <w:rsid w:val="00F15B57"/>
    <w:rsid w:val="00F17B4E"/>
    <w:rsid w:val="00F30B76"/>
    <w:rsid w:val="00F31F87"/>
    <w:rsid w:val="00F449AC"/>
    <w:rsid w:val="00F4748F"/>
    <w:rsid w:val="00F57E6B"/>
    <w:rsid w:val="00F734A7"/>
    <w:rsid w:val="00F73C7A"/>
    <w:rsid w:val="00F82FBE"/>
    <w:rsid w:val="00F97DB9"/>
    <w:rsid w:val="00FA499F"/>
    <w:rsid w:val="00FB469C"/>
    <w:rsid w:val="00FC5F44"/>
    <w:rsid w:val="00FD2146"/>
    <w:rsid w:val="00FE2B66"/>
    <w:rsid w:val="00FE58D7"/>
    <w:rsid w:val="00FE686D"/>
    <w:rsid w:val="00FF77AF"/>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26"/>
    <w:pPr>
      <w:ind w:firstLine="357"/>
      <w:jc w:val="both"/>
    </w:pPr>
    <w:rPr>
      <w:szCs w:val="24"/>
      <w:lang w:eastAsia="ja-JP"/>
    </w:rPr>
  </w:style>
  <w:style w:type="paragraph" w:styleId="Heading1">
    <w:name w:val="heading 1"/>
    <w:basedOn w:val="Normal"/>
    <w:next w:val="NoindentNormal"/>
    <w:qFormat/>
    <w:rsid w:val="000E7526"/>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link w:val="Heading2Char"/>
    <w:qFormat/>
    <w:rsid w:val="000E7526"/>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rsid w:val="000E7526"/>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rsid w:val="000E7526"/>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rsid w:val="000E7526"/>
    <w:pPr>
      <w:numPr>
        <w:ilvl w:val="4"/>
        <w:numId w:val="4"/>
      </w:numPr>
      <w:jc w:val="left"/>
      <w:outlineLvl w:val="4"/>
    </w:pPr>
    <w:rPr>
      <w:bCs/>
      <w:i/>
      <w:iCs/>
      <w:szCs w:val="26"/>
    </w:rPr>
  </w:style>
  <w:style w:type="paragraph" w:styleId="Heading6">
    <w:name w:val="heading 6"/>
    <w:basedOn w:val="Normal"/>
    <w:next w:val="Normal"/>
    <w:qFormat/>
    <w:rsid w:val="000E7526"/>
    <w:pPr>
      <w:numPr>
        <w:ilvl w:val="5"/>
        <w:numId w:val="4"/>
      </w:numPr>
      <w:spacing w:before="240"/>
      <w:outlineLvl w:val="5"/>
    </w:pPr>
    <w:rPr>
      <w:bCs/>
      <w:szCs w:val="22"/>
    </w:rPr>
  </w:style>
  <w:style w:type="paragraph" w:styleId="Heading7">
    <w:name w:val="heading 7"/>
    <w:basedOn w:val="Normal"/>
    <w:next w:val="Normal"/>
    <w:qFormat/>
    <w:rsid w:val="000E7526"/>
    <w:pPr>
      <w:spacing w:before="240" w:after="60"/>
      <w:outlineLvl w:val="6"/>
    </w:pPr>
    <w:rPr>
      <w:sz w:val="24"/>
    </w:rPr>
  </w:style>
  <w:style w:type="paragraph" w:styleId="Heading8">
    <w:name w:val="heading 8"/>
    <w:basedOn w:val="Normal"/>
    <w:next w:val="Normal"/>
    <w:qFormat/>
    <w:rsid w:val="000E7526"/>
    <w:pPr>
      <w:spacing w:before="240" w:after="60"/>
      <w:outlineLvl w:val="7"/>
    </w:pPr>
    <w:rPr>
      <w:i/>
      <w:iCs/>
      <w:sz w:val="24"/>
    </w:rPr>
  </w:style>
  <w:style w:type="paragraph" w:styleId="Heading9">
    <w:name w:val="heading 9"/>
    <w:basedOn w:val="Normal"/>
    <w:next w:val="Normal"/>
    <w:qFormat/>
    <w:rsid w:val="000E75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rsid w:val="000E7526"/>
    <w:pPr>
      <w:ind w:firstLine="0"/>
    </w:pPr>
  </w:style>
  <w:style w:type="paragraph" w:customStyle="1" w:styleId="Quote1">
    <w:name w:val="Quote1"/>
    <w:basedOn w:val="Normal"/>
    <w:rsid w:val="000E7526"/>
    <w:pPr>
      <w:ind w:left="204"/>
    </w:pPr>
    <w:rPr>
      <w:sz w:val="18"/>
    </w:rPr>
  </w:style>
  <w:style w:type="paragraph" w:customStyle="1" w:styleId="Abstract">
    <w:name w:val="Abstract"/>
    <w:basedOn w:val="Normal"/>
    <w:rsid w:val="000E7526"/>
    <w:pPr>
      <w:adjustRightInd w:val="0"/>
      <w:snapToGrid w:val="0"/>
      <w:spacing w:before="480"/>
      <w:ind w:left="851" w:right="851" w:firstLine="0"/>
    </w:pPr>
    <w:rPr>
      <w:sz w:val="16"/>
    </w:rPr>
  </w:style>
  <w:style w:type="paragraph" w:customStyle="1" w:styleId="Affiliation">
    <w:name w:val="Affiliation"/>
    <w:basedOn w:val="Normal"/>
    <w:rsid w:val="000E7526"/>
    <w:pPr>
      <w:ind w:firstLine="0"/>
      <w:jc w:val="center"/>
    </w:pPr>
    <w:rPr>
      <w:i/>
    </w:rPr>
  </w:style>
  <w:style w:type="paragraph" w:customStyle="1" w:styleId="Equation">
    <w:name w:val="Equation"/>
    <w:basedOn w:val="Normal"/>
    <w:rsid w:val="000E7526"/>
    <w:pPr>
      <w:tabs>
        <w:tab w:val="left" w:pos="6781"/>
      </w:tabs>
      <w:spacing w:before="240" w:after="240"/>
      <w:ind w:left="454" w:firstLine="0"/>
      <w:jc w:val="left"/>
    </w:pPr>
  </w:style>
  <w:style w:type="paragraph" w:customStyle="1" w:styleId="Footnote">
    <w:name w:val="Footnote"/>
    <w:basedOn w:val="Normal"/>
    <w:rsid w:val="000E7526"/>
    <w:pPr>
      <w:ind w:firstLine="136"/>
    </w:pPr>
    <w:rPr>
      <w:sz w:val="16"/>
    </w:rPr>
  </w:style>
  <w:style w:type="paragraph" w:customStyle="1" w:styleId="LISTalph">
    <w:name w:val="LISTalph"/>
    <w:basedOn w:val="Normal"/>
    <w:rsid w:val="000E7526"/>
    <w:pPr>
      <w:numPr>
        <w:numId w:val="1"/>
      </w:numPr>
      <w:tabs>
        <w:tab w:val="left" w:pos="499"/>
      </w:tabs>
    </w:pPr>
  </w:style>
  <w:style w:type="paragraph" w:customStyle="1" w:styleId="LISTdash">
    <w:name w:val="LISTdash"/>
    <w:basedOn w:val="Normal"/>
    <w:rsid w:val="000E7526"/>
    <w:pPr>
      <w:numPr>
        <w:numId w:val="2"/>
      </w:numPr>
      <w:tabs>
        <w:tab w:val="left" w:pos="454"/>
      </w:tabs>
      <w:adjustRightInd w:val="0"/>
      <w:snapToGrid w:val="0"/>
    </w:pPr>
  </w:style>
  <w:style w:type="paragraph" w:customStyle="1" w:styleId="LISTnum">
    <w:name w:val="LISTnum"/>
    <w:basedOn w:val="Normal"/>
    <w:rsid w:val="000E7526"/>
    <w:pPr>
      <w:numPr>
        <w:numId w:val="6"/>
      </w:numPr>
      <w:adjustRightInd w:val="0"/>
      <w:snapToGrid w:val="0"/>
      <w:ind w:left="714" w:hanging="357"/>
    </w:pPr>
  </w:style>
  <w:style w:type="paragraph" w:customStyle="1" w:styleId="References">
    <w:name w:val="References"/>
    <w:basedOn w:val="Normal"/>
    <w:rsid w:val="000E7526"/>
    <w:pPr>
      <w:numPr>
        <w:numId w:val="9"/>
      </w:numPr>
      <w:tabs>
        <w:tab w:val="left" w:pos="85"/>
      </w:tabs>
    </w:pPr>
    <w:rPr>
      <w:sz w:val="16"/>
    </w:rPr>
  </w:style>
  <w:style w:type="paragraph" w:customStyle="1" w:styleId="Table">
    <w:name w:val="Table"/>
    <w:basedOn w:val="Normal"/>
    <w:rsid w:val="000E7526"/>
    <w:pPr>
      <w:spacing w:before="60" w:after="60"/>
      <w:ind w:firstLine="0"/>
      <w:jc w:val="left"/>
    </w:pPr>
    <w:rPr>
      <w:sz w:val="16"/>
    </w:rPr>
  </w:style>
  <w:style w:type="paragraph" w:styleId="Title">
    <w:name w:val="Title"/>
    <w:basedOn w:val="Normal"/>
    <w:next w:val="Normal"/>
    <w:qFormat/>
    <w:rsid w:val="000E7526"/>
    <w:pPr>
      <w:spacing w:before="480" w:after="320"/>
      <w:ind w:firstLine="0"/>
      <w:jc w:val="center"/>
    </w:pPr>
    <w:rPr>
      <w:noProof/>
      <w:kern w:val="28"/>
      <w:sz w:val="40"/>
    </w:rPr>
  </w:style>
  <w:style w:type="paragraph" w:customStyle="1" w:styleId="Author">
    <w:name w:val="Author"/>
    <w:basedOn w:val="Normal"/>
    <w:rsid w:val="000E7526"/>
    <w:pPr>
      <w:ind w:firstLine="0"/>
      <w:jc w:val="center"/>
    </w:pPr>
  </w:style>
  <w:style w:type="paragraph" w:styleId="Caption">
    <w:name w:val="caption"/>
    <w:basedOn w:val="Normal"/>
    <w:next w:val="Normal"/>
    <w:qFormat/>
    <w:rsid w:val="000E7526"/>
    <w:pPr>
      <w:spacing w:before="80" w:after="80"/>
      <w:ind w:firstLine="0"/>
    </w:pPr>
    <w:rPr>
      <w:sz w:val="16"/>
    </w:rPr>
  </w:style>
  <w:style w:type="paragraph" w:customStyle="1" w:styleId="LISTDescription">
    <w:name w:val="LISTDescription"/>
    <w:basedOn w:val="Normal"/>
    <w:rsid w:val="000E7526"/>
    <w:pPr>
      <w:ind w:left="454" w:hanging="454"/>
    </w:pPr>
  </w:style>
  <w:style w:type="paragraph" w:customStyle="1" w:styleId="Notes">
    <w:name w:val="Notes"/>
    <w:basedOn w:val="Normal"/>
    <w:rsid w:val="000E7526"/>
    <w:rPr>
      <w:sz w:val="16"/>
    </w:rPr>
  </w:style>
  <w:style w:type="paragraph" w:styleId="BodyText">
    <w:name w:val="Body Text"/>
    <w:basedOn w:val="Normal"/>
    <w:semiHidden/>
    <w:rsid w:val="000E7526"/>
    <w:pPr>
      <w:spacing w:after="120"/>
    </w:pPr>
  </w:style>
  <w:style w:type="paragraph" w:customStyle="1" w:styleId="CaptionLong">
    <w:name w:val="CaptionLong"/>
    <w:basedOn w:val="Normal"/>
    <w:rsid w:val="000E7526"/>
    <w:pPr>
      <w:spacing w:before="80" w:after="80"/>
      <w:ind w:firstLine="0"/>
    </w:pPr>
    <w:rPr>
      <w:sz w:val="16"/>
    </w:rPr>
  </w:style>
  <w:style w:type="paragraph" w:customStyle="1" w:styleId="HeadingUnn1">
    <w:name w:val="HeadingUnn1"/>
    <w:basedOn w:val="Heading1"/>
    <w:next w:val="NoindentNormal"/>
    <w:rsid w:val="000E7526"/>
    <w:pPr>
      <w:numPr>
        <w:numId w:val="0"/>
      </w:numPr>
    </w:pPr>
    <w:rPr>
      <w:bCs w:val="0"/>
    </w:rPr>
  </w:style>
  <w:style w:type="paragraph" w:customStyle="1" w:styleId="HeadingUnn2">
    <w:name w:val="HeadingUnn2"/>
    <w:basedOn w:val="Heading2"/>
    <w:next w:val="NoindentNormal"/>
    <w:rsid w:val="000E7526"/>
    <w:pPr>
      <w:numPr>
        <w:ilvl w:val="0"/>
        <w:numId w:val="0"/>
      </w:numPr>
    </w:pPr>
  </w:style>
  <w:style w:type="paragraph" w:customStyle="1" w:styleId="HeadingUnn3">
    <w:name w:val="HeadingUnn3"/>
    <w:basedOn w:val="Heading3"/>
    <w:next w:val="NoindentNormal"/>
    <w:rsid w:val="000E7526"/>
    <w:pPr>
      <w:numPr>
        <w:ilvl w:val="0"/>
        <w:numId w:val="0"/>
      </w:numPr>
    </w:pPr>
  </w:style>
  <w:style w:type="paragraph" w:customStyle="1" w:styleId="HeadingUnn4">
    <w:name w:val="HeadingUnn4"/>
    <w:basedOn w:val="Heading4"/>
    <w:next w:val="NoindentNormal"/>
    <w:rsid w:val="000E7526"/>
    <w:pPr>
      <w:numPr>
        <w:ilvl w:val="0"/>
        <w:numId w:val="0"/>
      </w:numPr>
    </w:pPr>
  </w:style>
  <w:style w:type="paragraph" w:customStyle="1" w:styleId="HeadingUnn5">
    <w:name w:val="HeadingUnn5"/>
    <w:basedOn w:val="Heading5"/>
    <w:next w:val="Normal"/>
    <w:rsid w:val="000E7526"/>
    <w:pPr>
      <w:numPr>
        <w:ilvl w:val="0"/>
        <w:numId w:val="0"/>
      </w:numPr>
      <w:spacing w:before="120"/>
    </w:pPr>
  </w:style>
  <w:style w:type="paragraph" w:styleId="ListNumber">
    <w:name w:val="List Number"/>
    <w:basedOn w:val="Normal"/>
    <w:semiHidden/>
    <w:rsid w:val="000E7526"/>
    <w:pPr>
      <w:numPr>
        <w:numId w:val="3"/>
      </w:numPr>
    </w:pPr>
  </w:style>
  <w:style w:type="paragraph" w:customStyle="1" w:styleId="CaptionShort">
    <w:name w:val="CaptionShort"/>
    <w:basedOn w:val="Normal"/>
    <w:rsid w:val="000E7526"/>
    <w:pPr>
      <w:spacing w:before="80" w:after="80"/>
      <w:ind w:firstLine="0"/>
      <w:jc w:val="center"/>
    </w:pPr>
    <w:rPr>
      <w:sz w:val="16"/>
    </w:rPr>
  </w:style>
  <w:style w:type="paragraph" w:customStyle="1" w:styleId="Listbul">
    <w:name w:val="Listbul"/>
    <w:basedOn w:val="Normal"/>
    <w:rsid w:val="000E7526"/>
    <w:pPr>
      <w:numPr>
        <w:numId w:val="5"/>
      </w:numPr>
    </w:pPr>
  </w:style>
  <w:style w:type="paragraph" w:customStyle="1" w:styleId="Keywords">
    <w:name w:val="Keywords"/>
    <w:basedOn w:val="Abstract"/>
    <w:next w:val="Heading1"/>
    <w:rsid w:val="000E7526"/>
    <w:pPr>
      <w:spacing w:before="240" w:after="240"/>
    </w:pPr>
  </w:style>
  <w:style w:type="paragraph" w:styleId="FootnoteText">
    <w:name w:val="footnote text"/>
    <w:basedOn w:val="Normal"/>
    <w:semiHidden/>
    <w:rsid w:val="000E7526"/>
    <w:rPr>
      <w:szCs w:val="20"/>
    </w:rPr>
  </w:style>
  <w:style w:type="character" w:styleId="FootnoteReference">
    <w:name w:val="footnote reference"/>
    <w:semiHidden/>
    <w:rsid w:val="000E7526"/>
    <w:rPr>
      <w:vertAlign w:val="superscript"/>
    </w:rPr>
  </w:style>
  <w:style w:type="character" w:customStyle="1" w:styleId="FootnoteChar">
    <w:name w:val="Footnote Char"/>
    <w:rsid w:val="000E7526"/>
    <w:rPr>
      <w:rFonts w:eastAsia="MS Mincho"/>
      <w:sz w:val="16"/>
      <w:szCs w:val="24"/>
      <w:lang w:val="en-US" w:eastAsia="ja-JP" w:bidi="ar-SA"/>
    </w:rPr>
  </w:style>
  <w:style w:type="character" w:customStyle="1" w:styleId="MTEquationSection">
    <w:name w:val="MTEquationSection"/>
    <w:rsid w:val="000E7526"/>
    <w:rPr>
      <w:i/>
      <w:vanish/>
      <w:color w:val="FF0000"/>
    </w:rPr>
  </w:style>
  <w:style w:type="character" w:customStyle="1" w:styleId="Heading2Char">
    <w:name w:val="Heading 2 Char"/>
    <w:basedOn w:val="DefaultParagraphFont"/>
    <w:link w:val="Heading2"/>
    <w:rsid w:val="00501D6E"/>
    <w:rPr>
      <w:rFonts w:cs="Arial"/>
      <w:bCs/>
      <w:i/>
      <w:iCs/>
      <w:szCs w:val="28"/>
      <w:lang w:eastAsia="ja-JP"/>
    </w:rPr>
  </w:style>
  <w:style w:type="paragraph" w:styleId="ListParagraph">
    <w:name w:val="List Paragraph"/>
    <w:basedOn w:val="Normal"/>
    <w:uiPriority w:val="34"/>
    <w:qFormat/>
    <w:rsid w:val="006228F8"/>
    <w:pPr>
      <w:bidi/>
      <w:spacing w:after="200" w:line="276" w:lineRule="auto"/>
      <w:ind w:left="720" w:firstLine="0"/>
      <w:contextualSpacing/>
      <w:jc w:val="left"/>
    </w:pPr>
    <w:rPr>
      <w:rFonts w:ascii="Calibri" w:eastAsia="Calibri" w:hAnsi="Calibri" w:cs="Arial"/>
      <w:sz w:val="22"/>
      <w:szCs w:val="22"/>
      <w:lang w:eastAsia="en-US"/>
    </w:rPr>
  </w:style>
  <w:style w:type="paragraph" w:customStyle="1" w:styleId="Default">
    <w:name w:val="Default"/>
    <w:rsid w:val="00B37D2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273E8C"/>
    <w:pPr>
      <w:tabs>
        <w:tab w:val="center" w:pos="4153"/>
        <w:tab w:val="right" w:pos="8306"/>
      </w:tabs>
    </w:pPr>
  </w:style>
  <w:style w:type="character" w:customStyle="1" w:styleId="HeaderChar">
    <w:name w:val="Header Char"/>
    <w:basedOn w:val="DefaultParagraphFont"/>
    <w:link w:val="Header"/>
    <w:uiPriority w:val="99"/>
    <w:semiHidden/>
    <w:rsid w:val="00273E8C"/>
    <w:rPr>
      <w:szCs w:val="24"/>
      <w:lang w:eastAsia="ja-JP"/>
    </w:rPr>
  </w:style>
  <w:style w:type="paragraph" w:styleId="Footer">
    <w:name w:val="footer"/>
    <w:basedOn w:val="Normal"/>
    <w:link w:val="FooterChar"/>
    <w:uiPriority w:val="99"/>
    <w:semiHidden/>
    <w:unhideWhenUsed/>
    <w:rsid w:val="00273E8C"/>
    <w:pPr>
      <w:tabs>
        <w:tab w:val="center" w:pos="4153"/>
        <w:tab w:val="right" w:pos="8306"/>
      </w:tabs>
    </w:pPr>
  </w:style>
  <w:style w:type="character" w:customStyle="1" w:styleId="FooterChar">
    <w:name w:val="Footer Char"/>
    <w:basedOn w:val="DefaultParagraphFont"/>
    <w:link w:val="Footer"/>
    <w:uiPriority w:val="99"/>
    <w:semiHidden/>
    <w:rsid w:val="00273E8C"/>
    <w:rPr>
      <w:szCs w:val="24"/>
      <w:lang w:eastAsia="ja-JP"/>
    </w:rPr>
  </w:style>
  <w:style w:type="paragraph" w:styleId="BalloonText">
    <w:name w:val="Balloon Text"/>
    <w:basedOn w:val="Normal"/>
    <w:link w:val="BalloonTextChar"/>
    <w:uiPriority w:val="99"/>
    <w:semiHidden/>
    <w:unhideWhenUsed/>
    <w:rsid w:val="00AD1219"/>
    <w:rPr>
      <w:rFonts w:ascii="Tahoma" w:hAnsi="Tahoma" w:cs="Tahoma"/>
      <w:sz w:val="16"/>
      <w:szCs w:val="16"/>
    </w:rPr>
  </w:style>
  <w:style w:type="character" w:customStyle="1" w:styleId="BalloonTextChar">
    <w:name w:val="Balloon Text Char"/>
    <w:basedOn w:val="DefaultParagraphFont"/>
    <w:link w:val="BalloonText"/>
    <w:uiPriority w:val="99"/>
    <w:semiHidden/>
    <w:rsid w:val="00AD1219"/>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9983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aper\template\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Template>
  <TotalTime>428</TotalTime>
  <Pages>9</Pages>
  <Words>3486</Words>
  <Characters>19871</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23311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hp</dc:creator>
  <cp:lastModifiedBy>hp</cp:lastModifiedBy>
  <cp:revision>12</cp:revision>
  <cp:lastPrinted>2018-04-04T17:53:00Z</cp:lastPrinted>
  <dcterms:created xsi:type="dcterms:W3CDTF">2018-04-04T17:16:00Z</dcterms:created>
  <dcterms:modified xsi:type="dcterms:W3CDTF">2018-04-08T08:04:00Z</dcterms:modified>
</cp:coreProperties>
</file>