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0D8A4" w14:textId="77777777" w:rsidR="00B05D6E" w:rsidRDefault="006D6240">
      <w:pPr>
        <w:pStyle w:val="Titolo"/>
      </w:pPr>
      <w:bookmarkStart w:id="0" w:name="_Hlk47517927"/>
      <w:bookmarkEnd w:id="0"/>
      <w:r>
        <w:t>Second Generation Intact Stability Criteria fallout on naval ships limiting KG curve</w:t>
      </w:r>
      <w:r w:rsidR="002B1384">
        <w:t>s</w:t>
      </w:r>
    </w:p>
    <w:p w14:paraId="7063F23A" w14:textId="77777777" w:rsidR="00B05D6E" w:rsidRPr="00416832" w:rsidRDefault="00416832">
      <w:pPr>
        <w:pStyle w:val="Author"/>
        <w:rPr>
          <w:lang w:val="it-IT"/>
        </w:rPr>
      </w:pPr>
      <w:r>
        <w:rPr>
          <w:lang w:val="it-IT"/>
        </w:rPr>
        <w:t>Gennaro</w:t>
      </w:r>
      <w:r w:rsidR="00B05D6E" w:rsidRPr="00416832">
        <w:rPr>
          <w:lang w:val="it-IT"/>
        </w:rPr>
        <w:t xml:space="preserve"> </w:t>
      </w:r>
      <w:r>
        <w:rPr>
          <w:lang w:val="it-IT"/>
        </w:rPr>
        <w:t>ROSANO</w:t>
      </w:r>
      <w:r w:rsidR="00B05D6E" w:rsidRPr="00416832">
        <w:rPr>
          <w:vertAlign w:val="superscript"/>
          <w:lang w:val="it-IT"/>
        </w:rPr>
        <w:t>a,</w:t>
      </w:r>
      <w:r w:rsidR="00B05D6E">
        <w:rPr>
          <w:rStyle w:val="Rimandonotaapidipagina"/>
        </w:rPr>
        <w:footnoteReference w:id="1"/>
      </w:r>
      <w:r w:rsidRPr="00416832">
        <w:rPr>
          <w:lang w:val="it-IT"/>
        </w:rPr>
        <w:t xml:space="preserve">, </w:t>
      </w:r>
      <w:r>
        <w:rPr>
          <w:lang w:val="it-IT"/>
        </w:rPr>
        <w:t>Ermina</w:t>
      </w:r>
      <w:r w:rsidRPr="00416832">
        <w:rPr>
          <w:lang w:val="it-IT"/>
        </w:rPr>
        <w:t xml:space="preserve"> </w:t>
      </w:r>
      <w:r>
        <w:rPr>
          <w:lang w:val="it-IT"/>
        </w:rPr>
        <w:t>BEGOVI</w:t>
      </w:r>
      <w:r w:rsidR="001D615F">
        <w:rPr>
          <w:lang w:val="it-IT"/>
        </w:rPr>
        <w:t>Ć</w:t>
      </w:r>
      <w:r w:rsidRPr="00416832">
        <w:rPr>
          <w:vertAlign w:val="superscript"/>
          <w:lang w:val="it-IT"/>
        </w:rPr>
        <w:t xml:space="preserve"> </w:t>
      </w:r>
      <w:r>
        <w:rPr>
          <w:vertAlign w:val="superscript"/>
          <w:lang w:val="it-IT"/>
        </w:rPr>
        <w:t>a</w:t>
      </w:r>
      <w:r>
        <w:rPr>
          <w:lang w:val="it-IT"/>
        </w:rPr>
        <w:t xml:space="preserve">, </w:t>
      </w:r>
      <w:r w:rsidRPr="00416832">
        <w:rPr>
          <w:lang w:val="it-IT"/>
        </w:rPr>
        <w:t>Guido</w:t>
      </w:r>
      <w:r w:rsidR="00B05D6E" w:rsidRPr="00416832">
        <w:rPr>
          <w:lang w:val="it-IT"/>
        </w:rPr>
        <w:t xml:space="preserve"> </w:t>
      </w:r>
      <w:r w:rsidRPr="00416832">
        <w:rPr>
          <w:lang w:val="it-IT"/>
        </w:rPr>
        <w:t>BOCCADAMO</w:t>
      </w:r>
      <w:r w:rsidR="00B05D6E" w:rsidRPr="00416832">
        <w:rPr>
          <w:sz w:val="8"/>
          <w:szCs w:val="8"/>
          <w:lang w:val="it-IT"/>
        </w:rPr>
        <w:t xml:space="preserve"> </w:t>
      </w:r>
      <w:r>
        <w:rPr>
          <w:vertAlign w:val="superscript"/>
          <w:lang w:val="it-IT"/>
        </w:rPr>
        <w:t>a</w:t>
      </w:r>
      <w:r>
        <w:rPr>
          <w:lang w:val="it-IT"/>
        </w:rPr>
        <w:t>, Barbara RINAURO</w:t>
      </w:r>
      <w:r w:rsidRPr="00416832">
        <w:rPr>
          <w:vertAlign w:val="superscript"/>
          <w:lang w:val="it-IT"/>
        </w:rPr>
        <w:t xml:space="preserve"> </w:t>
      </w:r>
      <w:r>
        <w:rPr>
          <w:vertAlign w:val="superscript"/>
          <w:lang w:val="it-IT"/>
        </w:rPr>
        <w:t>a</w:t>
      </w:r>
    </w:p>
    <w:p w14:paraId="45509594" w14:textId="77777777" w:rsidR="00EF4056" w:rsidRDefault="00B05D6E">
      <w:pPr>
        <w:pStyle w:val="Affiliation"/>
      </w:pPr>
      <w:r w:rsidRPr="00416832">
        <w:rPr>
          <w:i w:val="0"/>
          <w:vertAlign w:val="superscript"/>
        </w:rPr>
        <w:t>a</w:t>
      </w:r>
      <w:r w:rsidRPr="00416832">
        <w:rPr>
          <w:sz w:val="8"/>
          <w:szCs w:val="8"/>
        </w:rPr>
        <w:t xml:space="preserve"> </w:t>
      </w:r>
      <w:r w:rsidR="00EF4056">
        <w:t>U</w:t>
      </w:r>
      <w:r w:rsidR="00416832" w:rsidRPr="00416832">
        <w:t xml:space="preserve">niversity of </w:t>
      </w:r>
      <w:r w:rsidR="00416832">
        <w:t>Naples Federico II</w:t>
      </w:r>
      <w:r w:rsidR="00EF4056">
        <w:t>,</w:t>
      </w:r>
      <w:r w:rsidR="00EF4056" w:rsidRPr="00EF4056">
        <w:t xml:space="preserve"> </w:t>
      </w:r>
      <w:r w:rsidR="00EF4056">
        <w:t xml:space="preserve">Department of Industrial Engineering, </w:t>
      </w:r>
    </w:p>
    <w:p w14:paraId="3F872801" w14:textId="77777777" w:rsidR="00B05D6E" w:rsidRPr="00EF4056" w:rsidRDefault="00EF4056">
      <w:pPr>
        <w:pStyle w:val="Affiliation"/>
        <w:rPr>
          <w:lang w:val="it-IT"/>
        </w:rPr>
      </w:pPr>
      <w:r w:rsidRPr="00EF4056">
        <w:rPr>
          <w:lang w:val="it-IT"/>
        </w:rPr>
        <w:t>Via Claudio 21, 80125, Naples, I</w:t>
      </w:r>
      <w:r>
        <w:rPr>
          <w:lang w:val="it-IT"/>
        </w:rPr>
        <w:t>taly</w:t>
      </w:r>
    </w:p>
    <w:p w14:paraId="3F169504" w14:textId="77777777" w:rsidR="00B05D6E" w:rsidRPr="00EF4056" w:rsidRDefault="00B05D6E">
      <w:pPr>
        <w:pStyle w:val="Affiliation"/>
        <w:rPr>
          <w:lang w:val="it-IT"/>
        </w:rPr>
      </w:pPr>
    </w:p>
    <w:p w14:paraId="605F8E72" w14:textId="77777777" w:rsidR="007626CA" w:rsidRDefault="007626CA" w:rsidP="00DB6E1B">
      <w:pPr>
        <w:pStyle w:val="Keywords"/>
      </w:pPr>
      <w:r w:rsidRPr="00E70484">
        <w:rPr>
          <w:b/>
          <w:lang w:val="it-IT"/>
        </w:rPr>
        <w:t>Abstract</w:t>
      </w:r>
      <w:r w:rsidR="00B05D6E" w:rsidRPr="00E70484">
        <w:rPr>
          <w:b/>
          <w:lang w:val="it-IT"/>
        </w:rPr>
        <w:t>.</w:t>
      </w:r>
      <w:r w:rsidR="00B05D6E" w:rsidRPr="00E70484">
        <w:rPr>
          <w:lang w:val="it-IT"/>
        </w:rPr>
        <w:t xml:space="preserve"> </w:t>
      </w:r>
      <w:r w:rsidRPr="007626CA">
        <w:t>The International Maritime Organization (IMO) finalized the Second Generation Intact Stability Criteria (SGISC), in February 2020. They are intended to be included in Part A of the 2008 International Code on Intact Stability in the following years. The SGISC consider five modes of dynamic stability failure in waves: parametric roll, pure loss of stability, surf</w:t>
      </w:r>
      <w:r w:rsidR="000D2592">
        <w:t>-</w:t>
      </w:r>
      <w:r w:rsidRPr="007626CA">
        <w:t xml:space="preserve">riding/broaching to, dead ship condition and excessive acceleration. In this paper, </w:t>
      </w:r>
      <w:r>
        <w:t>two</w:t>
      </w:r>
      <w:r w:rsidRPr="007626CA">
        <w:t xml:space="preserve"> semi-displacement, round bilge and transom stern hull forms</w:t>
      </w:r>
      <w:r>
        <w:t>, the parent hull of the Systematic Series D and the ONR Tumblehome</w:t>
      </w:r>
      <w:r w:rsidRPr="007626CA">
        <w:t xml:space="preserve">, i.e. typical naval hull forms, </w:t>
      </w:r>
      <w:r>
        <w:t>are</w:t>
      </w:r>
      <w:r w:rsidRPr="007626CA">
        <w:t xml:space="preserve"> examined. Although naval ships are not directly impacted by SGISC, they are sensitive to dynamic stability failure phenomena due to their geometry and range of service speeds. The procedures to assess the ship vulnerability to the</w:t>
      </w:r>
      <w:r>
        <w:t xml:space="preserve"> dead ship condition and excessive acceleration</w:t>
      </w:r>
      <w:r w:rsidRPr="007626CA">
        <w:t xml:space="preserve"> criteria</w:t>
      </w:r>
      <w:r>
        <w:t>,</w:t>
      </w:r>
      <w:r w:rsidRPr="007626CA">
        <w:t xml:space="preserve"> referring to the latest drafts of the criteria (SDC 7/5, 2019)</w:t>
      </w:r>
      <w:r>
        <w:t>,</w:t>
      </w:r>
      <w:r w:rsidRPr="007626CA">
        <w:t xml:space="preserve"> were implemented in Matlab</w:t>
      </w:r>
      <w:r w:rsidR="00593E7F" w:rsidRPr="00593E7F">
        <w:t>®</w:t>
      </w:r>
      <w:r w:rsidRPr="007626CA">
        <w:t>,. The limiting KG curves associated with this set of criteria were obtained for each vessel. The minimum allowable KG curve associated with the excessive acceleration criterion was compared with the maximum allowable KG curve associated with dead ship condition, to investigate the existence of a safe operational area.</w:t>
      </w:r>
    </w:p>
    <w:p w14:paraId="4CE89D01" w14:textId="057EDDBD" w:rsidR="00B05D6E" w:rsidRDefault="007626CA" w:rsidP="000F4729">
      <w:pPr>
        <w:pStyle w:val="Keywords"/>
      </w:pPr>
      <w:r>
        <w:rPr>
          <w:b/>
        </w:rPr>
        <w:t>Keywords.</w:t>
      </w:r>
      <w:r>
        <w:t xml:space="preserve"> Second Generation Intact Stability Criteria, Dead Ship Condition, Excessive Acceleration, Systematic Series D, ONR</w:t>
      </w:r>
      <w:r w:rsidR="00B71565">
        <w:t>T</w:t>
      </w:r>
    </w:p>
    <w:p w14:paraId="12DC174B" w14:textId="77777777" w:rsidR="0048506D" w:rsidRDefault="0048506D" w:rsidP="0048506D">
      <w:pPr>
        <w:pStyle w:val="Titolo1"/>
        <w:numPr>
          <w:ilvl w:val="0"/>
          <w:numId w:val="0"/>
        </w:numPr>
        <w:ind w:left="454"/>
      </w:pPr>
      <w:r>
        <w:t>Nomenclature</w:t>
      </w:r>
    </w:p>
    <w:tbl>
      <w:tblPr>
        <w:tblW w:w="5874" w:type="dxa"/>
        <w:jc w:val="center"/>
        <w:tblLook w:val="00A0" w:firstRow="1" w:lastRow="0" w:firstColumn="1" w:lastColumn="0" w:noHBand="0" w:noVBand="0"/>
      </w:tblPr>
      <w:tblGrid>
        <w:gridCol w:w="1243"/>
        <w:gridCol w:w="1229"/>
        <w:gridCol w:w="3402"/>
      </w:tblGrid>
      <w:tr w:rsidR="00404D93" w14:paraId="0C49E787" w14:textId="77777777" w:rsidTr="007626CA">
        <w:trPr>
          <w:jc w:val="center"/>
        </w:trPr>
        <w:tc>
          <w:tcPr>
            <w:tcW w:w="1243" w:type="dxa"/>
            <w:tcBorders>
              <w:top w:val="single" w:sz="4" w:space="0" w:color="auto"/>
              <w:bottom w:val="single" w:sz="4" w:space="0" w:color="auto"/>
            </w:tcBorders>
          </w:tcPr>
          <w:p w14:paraId="20764940" w14:textId="77777777" w:rsidR="0048506D" w:rsidRPr="00D82BC9" w:rsidRDefault="0048506D" w:rsidP="007626CA">
            <w:pPr>
              <w:ind w:firstLine="0"/>
              <w:jc w:val="right"/>
              <w:rPr>
                <w:b/>
                <w:sz w:val="16"/>
                <w:szCs w:val="16"/>
              </w:rPr>
            </w:pPr>
            <w:r>
              <w:rPr>
                <w:b/>
                <w:sz w:val="16"/>
                <w:szCs w:val="16"/>
              </w:rPr>
              <w:t>Symbol</w:t>
            </w:r>
          </w:p>
        </w:tc>
        <w:tc>
          <w:tcPr>
            <w:tcW w:w="1229" w:type="dxa"/>
            <w:tcBorders>
              <w:top w:val="single" w:sz="4" w:space="0" w:color="auto"/>
              <w:bottom w:val="single" w:sz="4" w:space="0" w:color="auto"/>
            </w:tcBorders>
          </w:tcPr>
          <w:p w14:paraId="74E4EE25" w14:textId="77777777" w:rsidR="0048506D" w:rsidRPr="00D82BC9" w:rsidRDefault="0048506D" w:rsidP="007626CA">
            <w:pPr>
              <w:ind w:firstLine="0"/>
              <w:jc w:val="right"/>
              <w:rPr>
                <w:b/>
                <w:sz w:val="16"/>
                <w:szCs w:val="16"/>
              </w:rPr>
            </w:pPr>
            <w:r>
              <w:rPr>
                <w:b/>
                <w:sz w:val="16"/>
                <w:szCs w:val="16"/>
              </w:rPr>
              <w:t>Unit</w:t>
            </w:r>
          </w:p>
        </w:tc>
        <w:tc>
          <w:tcPr>
            <w:tcW w:w="3402" w:type="dxa"/>
            <w:tcBorders>
              <w:top w:val="single" w:sz="4" w:space="0" w:color="auto"/>
              <w:bottom w:val="single" w:sz="4" w:space="0" w:color="auto"/>
            </w:tcBorders>
          </w:tcPr>
          <w:p w14:paraId="0D90EFBD" w14:textId="77777777" w:rsidR="0048506D" w:rsidRPr="00D82BC9" w:rsidRDefault="007626CA" w:rsidP="006A3363">
            <w:pPr>
              <w:ind w:firstLine="0"/>
              <w:jc w:val="right"/>
              <w:rPr>
                <w:b/>
                <w:sz w:val="16"/>
                <w:szCs w:val="16"/>
              </w:rPr>
            </w:pPr>
            <w:r>
              <w:rPr>
                <w:b/>
                <w:sz w:val="16"/>
                <w:szCs w:val="16"/>
              </w:rPr>
              <w:t>Definition</w:t>
            </w:r>
          </w:p>
        </w:tc>
      </w:tr>
      <w:tr w:rsidR="00404D93" w14:paraId="557D301E" w14:textId="77777777" w:rsidTr="007626CA">
        <w:trPr>
          <w:jc w:val="center"/>
        </w:trPr>
        <w:tc>
          <w:tcPr>
            <w:tcW w:w="1243" w:type="dxa"/>
            <w:tcBorders>
              <w:top w:val="single" w:sz="4" w:space="0" w:color="auto"/>
            </w:tcBorders>
          </w:tcPr>
          <w:p w14:paraId="0A43CC8F" w14:textId="77777777" w:rsidR="0048506D" w:rsidRDefault="0048506D" w:rsidP="0048506D">
            <w:pPr>
              <w:tabs>
                <w:tab w:val="decimal" w:pos="1026"/>
              </w:tabs>
              <w:ind w:firstLine="0"/>
              <w:rPr>
                <w:sz w:val="16"/>
                <w:szCs w:val="16"/>
              </w:rPr>
            </w:pPr>
            <w:r>
              <w:rPr>
                <w:rFonts w:ascii="Constantia" w:hAnsi="Constantia"/>
                <w:sz w:val="16"/>
                <w:szCs w:val="16"/>
              </w:rPr>
              <w:t>Δ</w:t>
            </w:r>
          </w:p>
        </w:tc>
        <w:tc>
          <w:tcPr>
            <w:tcW w:w="1229" w:type="dxa"/>
            <w:tcBorders>
              <w:top w:val="single" w:sz="4" w:space="0" w:color="auto"/>
            </w:tcBorders>
          </w:tcPr>
          <w:p w14:paraId="660B4B5C" w14:textId="77777777" w:rsidR="0048506D" w:rsidRDefault="0048506D" w:rsidP="0048506D">
            <w:pPr>
              <w:tabs>
                <w:tab w:val="decimal" w:pos="1013"/>
              </w:tabs>
              <w:ind w:firstLine="0"/>
              <w:jc w:val="left"/>
              <w:rPr>
                <w:sz w:val="16"/>
                <w:szCs w:val="16"/>
              </w:rPr>
            </w:pPr>
            <w:r>
              <w:rPr>
                <w:sz w:val="16"/>
                <w:szCs w:val="16"/>
              </w:rPr>
              <w:t>t</w:t>
            </w:r>
          </w:p>
        </w:tc>
        <w:tc>
          <w:tcPr>
            <w:tcW w:w="3402" w:type="dxa"/>
            <w:tcBorders>
              <w:top w:val="single" w:sz="4" w:space="0" w:color="auto"/>
            </w:tcBorders>
          </w:tcPr>
          <w:p w14:paraId="5A56F837" w14:textId="77777777" w:rsidR="0048506D" w:rsidRDefault="0048506D" w:rsidP="006A3363">
            <w:pPr>
              <w:tabs>
                <w:tab w:val="decimal" w:pos="1101"/>
              </w:tabs>
              <w:ind w:firstLine="0"/>
              <w:jc w:val="right"/>
              <w:rPr>
                <w:sz w:val="16"/>
                <w:szCs w:val="16"/>
              </w:rPr>
            </w:pPr>
            <w:r>
              <w:rPr>
                <w:sz w:val="16"/>
                <w:szCs w:val="16"/>
              </w:rPr>
              <w:t>Displacement</w:t>
            </w:r>
          </w:p>
        </w:tc>
      </w:tr>
      <w:tr w:rsidR="0048506D" w14:paraId="7789349E" w14:textId="77777777" w:rsidTr="007626CA">
        <w:trPr>
          <w:jc w:val="center"/>
        </w:trPr>
        <w:tc>
          <w:tcPr>
            <w:tcW w:w="1243" w:type="dxa"/>
          </w:tcPr>
          <w:p w14:paraId="3EABDC72" w14:textId="77777777" w:rsidR="0048506D" w:rsidRDefault="0048506D" w:rsidP="0048506D">
            <w:pPr>
              <w:tabs>
                <w:tab w:val="decimal" w:pos="1026"/>
              </w:tabs>
              <w:ind w:firstLine="0"/>
              <w:rPr>
                <w:sz w:val="16"/>
                <w:szCs w:val="16"/>
              </w:rPr>
            </w:pPr>
            <w:r>
              <w:rPr>
                <w:sz w:val="16"/>
                <w:szCs w:val="16"/>
              </w:rPr>
              <w:t>A</w:t>
            </w:r>
            <w:r>
              <w:rPr>
                <w:sz w:val="16"/>
                <w:szCs w:val="16"/>
                <w:vertAlign w:val="subscript"/>
              </w:rPr>
              <w:t>L</w:t>
            </w:r>
          </w:p>
        </w:tc>
        <w:tc>
          <w:tcPr>
            <w:tcW w:w="1229" w:type="dxa"/>
          </w:tcPr>
          <w:p w14:paraId="6234CA51" w14:textId="77777777" w:rsidR="0048506D" w:rsidRPr="0048506D" w:rsidRDefault="0048506D" w:rsidP="0048506D">
            <w:pPr>
              <w:tabs>
                <w:tab w:val="decimal" w:pos="1013"/>
              </w:tabs>
              <w:ind w:firstLine="0"/>
              <w:jc w:val="left"/>
              <w:rPr>
                <w:sz w:val="16"/>
                <w:szCs w:val="16"/>
                <w:vertAlign w:val="superscript"/>
              </w:rPr>
            </w:pPr>
            <w:r>
              <w:rPr>
                <w:sz w:val="16"/>
                <w:szCs w:val="16"/>
              </w:rPr>
              <w:t>m</w:t>
            </w:r>
            <w:r>
              <w:rPr>
                <w:sz w:val="16"/>
                <w:szCs w:val="16"/>
                <w:vertAlign w:val="superscript"/>
              </w:rPr>
              <w:t>2</w:t>
            </w:r>
          </w:p>
        </w:tc>
        <w:tc>
          <w:tcPr>
            <w:tcW w:w="3402" w:type="dxa"/>
          </w:tcPr>
          <w:p w14:paraId="1E427B84" w14:textId="77777777" w:rsidR="0048506D" w:rsidRDefault="0048506D" w:rsidP="006A3363">
            <w:pPr>
              <w:tabs>
                <w:tab w:val="decimal" w:pos="1101"/>
              </w:tabs>
              <w:ind w:firstLine="0"/>
              <w:jc w:val="right"/>
              <w:rPr>
                <w:sz w:val="16"/>
                <w:szCs w:val="16"/>
              </w:rPr>
            </w:pPr>
            <w:r>
              <w:rPr>
                <w:sz w:val="16"/>
                <w:szCs w:val="16"/>
              </w:rPr>
              <w:t>Lateral exposed area</w:t>
            </w:r>
          </w:p>
        </w:tc>
      </w:tr>
      <w:tr w:rsidR="00404D93" w14:paraId="1E217278" w14:textId="77777777" w:rsidTr="007626CA">
        <w:trPr>
          <w:jc w:val="center"/>
        </w:trPr>
        <w:tc>
          <w:tcPr>
            <w:tcW w:w="1243" w:type="dxa"/>
          </w:tcPr>
          <w:p w14:paraId="65B47E0B" w14:textId="77777777" w:rsidR="0048506D" w:rsidRDefault="0048506D" w:rsidP="0048506D">
            <w:pPr>
              <w:tabs>
                <w:tab w:val="decimal" w:pos="1026"/>
              </w:tabs>
              <w:ind w:firstLine="0"/>
              <w:rPr>
                <w:sz w:val="16"/>
                <w:szCs w:val="16"/>
              </w:rPr>
            </w:pPr>
            <w:r>
              <w:rPr>
                <w:sz w:val="16"/>
                <w:szCs w:val="16"/>
              </w:rPr>
              <w:t>B</w:t>
            </w:r>
          </w:p>
        </w:tc>
        <w:tc>
          <w:tcPr>
            <w:tcW w:w="1229" w:type="dxa"/>
          </w:tcPr>
          <w:p w14:paraId="58545485" w14:textId="77777777" w:rsidR="0048506D" w:rsidRDefault="0048506D" w:rsidP="0048506D">
            <w:pPr>
              <w:tabs>
                <w:tab w:val="decimal" w:pos="1013"/>
              </w:tabs>
              <w:ind w:firstLine="0"/>
              <w:jc w:val="left"/>
              <w:rPr>
                <w:sz w:val="16"/>
                <w:szCs w:val="16"/>
              </w:rPr>
            </w:pPr>
            <w:r>
              <w:rPr>
                <w:sz w:val="16"/>
                <w:szCs w:val="16"/>
              </w:rPr>
              <w:t>m</w:t>
            </w:r>
          </w:p>
        </w:tc>
        <w:tc>
          <w:tcPr>
            <w:tcW w:w="3402" w:type="dxa"/>
          </w:tcPr>
          <w:p w14:paraId="363B5B11" w14:textId="77777777" w:rsidR="0048506D" w:rsidRDefault="0048506D" w:rsidP="006A3363">
            <w:pPr>
              <w:tabs>
                <w:tab w:val="decimal" w:pos="1101"/>
              </w:tabs>
              <w:ind w:firstLine="0"/>
              <w:jc w:val="right"/>
              <w:rPr>
                <w:sz w:val="16"/>
                <w:szCs w:val="16"/>
              </w:rPr>
            </w:pPr>
            <w:r>
              <w:rPr>
                <w:sz w:val="16"/>
                <w:szCs w:val="16"/>
              </w:rPr>
              <w:t>Ship breadth</w:t>
            </w:r>
          </w:p>
        </w:tc>
      </w:tr>
      <w:tr w:rsidR="0048506D" w14:paraId="50DCD891" w14:textId="77777777" w:rsidTr="007626CA">
        <w:trPr>
          <w:jc w:val="center"/>
        </w:trPr>
        <w:tc>
          <w:tcPr>
            <w:tcW w:w="1243" w:type="dxa"/>
          </w:tcPr>
          <w:p w14:paraId="04313087" w14:textId="77777777" w:rsidR="0048506D" w:rsidRDefault="0048506D" w:rsidP="0048506D">
            <w:pPr>
              <w:tabs>
                <w:tab w:val="decimal" w:pos="1026"/>
              </w:tabs>
              <w:ind w:firstLine="0"/>
              <w:rPr>
                <w:sz w:val="16"/>
                <w:szCs w:val="16"/>
              </w:rPr>
            </w:pPr>
            <w:r>
              <w:rPr>
                <w:sz w:val="16"/>
                <w:szCs w:val="16"/>
              </w:rPr>
              <w:t>b</w:t>
            </w:r>
            <w:r>
              <w:rPr>
                <w:sz w:val="16"/>
                <w:szCs w:val="16"/>
                <w:vertAlign w:val="subscript"/>
              </w:rPr>
              <w:t>BK</w:t>
            </w:r>
          </w:p>
        </w:tc>
        <w:tc>
          <w:tcPr>
            <w:tcW w:w="1229" w:type="dxa"/>
          </w:tcPr>
          <w:p w14:paraId="6E1F50BB" w14:textId="77777777" w:rsidR="0048506D" w:rsidRDefault="0048506D" w:rsidP="0048506D">
            <w:pPr>
              <w:tabs>
                <w:tab w:val="decimal" w:pos="1013"/>
              </w:tabs>
              <w:ind w:firstLine="0"/>
              <w:jc w:val="left"/>
              <w:rPr>
                <w:sz w:val="16"/>
                <w:szCs w:val="16"/>
              </w:rPr>
            </w:pPr>
            <w:r>
              <w:rPr>
                <w:sz w:val="16"/>
                <w:szCs w:val="16"/>
              </w:rPr>
              <w:t>m</w:t>
            </w:r>
          </w:p>
        </w:tc>
        <w:tc>
          <w:tcPr>
            <w:tcW w:w="3402" w:type="dxa"/>
          </w:tcPr>
          <w:p w14:paraId="4268FDC9" w14:textId="77777777" w:rsidR="0048506D" w:rsidRDefault="0048506D" w:rsidP="006A3363">
            <w:pPr>
              <w:tabs>
                <w:tab w:val="decimal" w:pos="1101"/>
              </w:tabs>
              <w:ind w:firstLine="0"/>
              <w:jc w:val="right"/>
              <w:rPr>
                <w:sz w:val="16"/>
                <w:szCs w:val="16"/>
              </w:rPr>
            </w:pPr>
            <w:r>
              <w:rPr>
                <w:sz w:val="16"/>
                <w:szCs w:val="16"/>
              </w:rPr>
              <w:t>Bilge keel span</w:t>
            </w:r>
          </w:p>
        </w:tc>
      </w:tr>
      <w:tr w:rsidR="0076412A" w14:paraId="171FE58E" w14:textId="77777777" w:rsidTr="007626CA">
        <w:trPr>
          <w:jc w:val="center"/>
        </w:trPr>
        <w:tc>
          <w:tcPr>
            <w:tcW w:w="1243" w:type="dxa"/>
          </w:tcPr>
          <w:p w14:paraId="436D16A1" w14:textId="77777777" w:rsidR="0076412A" w:rsidRDefault="0076412A" w:rsidP="0048506D">
            <w:pPr>
              <w:tabs>
                <w:tab w:val="decimal" w:pos="1026"/>
              </w:tabs>
              <w:ind w:firstLine="0"/>
              <w:rPr>
                <w:sz w:val="16"/>
                <w:szCs w:val="16"/>
              </w:rPr>
            </w:pPr>
            <w:r>
              <w:rPr>
                <w:sz w:val="16"/>
                <w:szCs w:val="16"/>
              </w:rPr>
              <w:t>C</w:t>
            </w:r>
          </w:p>
        </w:tc>
        <w:tc>
          <w:tcPr>
            <w:tcW w:w="1229" w:type="dxa"/>
          </w:tcPr>
          <w:p w14:paraId="4B0A042A" w14:textId="77777777" w:rsidR="0076412A" w:rsidRDefault="0076412A" w:rsidP="0048506D">
            <w:pPr>
              <w:tabs>
                <w:tab w:val="decimal" w:pos="1013"/>
              </w:tabs>
              <w:ind w:firstLine="0"/>
              <w:jc w:val="left"/>
              <w:rPr>
                <w:sz w:val="16"/>
                <w:szCs w:val="16"/>
              </w:rPr>
            </w:pPr>
            <w:r>
              <w:rPr>
                <w:sz w:val="16"/>
                <w:szCs w:val="16"/>
              </w:rPr>
              <w:t>-</w:t>
            </w:r>
          </w:p>
        </w:tc>
        <w:tc>
          <w:tcPr>
            <w:tcW w:w="3402" w:type="dxa"/>
          </w:tcPr>
          <w:p w14:paraId="5A4EABC1" w14:textId="77777777" w:rsidR="0076412A" w:rsidRDefault="0076412A" w:rsidP="006A3363">
            <w:pPr>
              <w:tabs>
                <w:tab w:val="decimal" w:pos="1101"/>
              </w:tabs>
              <w:ind w:firstLine="0"/>
              <w:jc w:val="right"/>
              <w:rPr>
                <w:sz w:val="16"/>
                <w:szCs w:val="16"/>
              </w:rPr>
            </w:pPr>
            <w:r>
              <w:rPr>
                <w:sz w:val="16"/>
                <w:szCs w:val="16"/>
              </w:rPr>
              <w:t>Long-term stability failure index</w:t>
            </w:r>
          </w:p>
        </w:tc>
      </w:tr>
      <w:tr w:rsidR="0048506D" w14:paraId="040320DB" w14:textId="77777777" w:rsidTr="007626CA">
        <w:trPr>
          <w:jc w:val="center"/>
        </w:trPr>
        <w:tc>
          <w:tcPr>
            <w:tcW w:w="1243" w:type="dxa"/>
          </w:tcPr>
          <w:p w14:paraId="3DB63547" w14:textId="77777777" w:rsidR="0048506D" w:rsidRDefault="0048506D" w:rsidP="0048506D">
            <w:pPr>
              <w:tabs>
                <w:tab w:val="decimal" w:pos="1026"/>
              </w:tabs>
              <w:ind w:firstLine="0"/>
              <w:rPr>
                <w:rFonts w:ascii="Constantia" w:hAnsi="Constantia"/>
                <w:sz w:val="16"/>
                <w:szCs w:val="16"/>
              </w:rPr>
            </w:pPr>
            <w:r>
              <w:rPr>
                <w:sz w:val="16"/>
                <w:szCs w:val="16"/>
              </w:rPr>
              <w:t>C</w:t>
            </w:r>
            <w:r>
              <w:rPr>
                <w:sz w:val="16"/>
                <w:szCs w:val="16"/>
                <w:vertAlign w:val="subscript"/>
              </w:rPr>
              <w:t>B</w:t>
            </w:r>
          </w:p>
        </w:tc>
        <w:tc>
          <w:tcPr>
            <w:tcW w:w="1229" w:type="dxa"/>
          </w:tcPr>
          <w:p w14:paraId="1226C395" w14:textId="77777777" w:rsidR="0048506D" w:rsidRDefault="0048506D" w:rsidP="0048506D">
            <w:pPr>
              <w:tabs>
                <w:tab w:val="decimal" w:pos="1013"/>
              </w:tabs>
              <w:ind w:firstLine="0"/>
              <w:jc w:val="left"/>
              <w:rPr>
                <w:sz w:val="16"/>
                <w:szCs w:val="16"/>
              </w:rPr>
            </w:pPr>
            <w:r>
              <w:rPr>
                <w:sz w:val="16"/>
                <w:szCs w:val="16"/>
              </w:rPr>
              <w:t>-</w:t>
            </w:r>
          </w:p>
        </w:tc>
        <w:tc>
          <w:tcPr>
            <w:tcW w:w="3402" w:type="dxa"/>
          </w:tcPr>
          <w:p w14:paraId="7429D5FC" w14:textId="77777777" w:rsidR="0048506D" w:rsidRDefault="0048506D" w:rsidP="006A3363">
            <w:pPr>
              <w:tabs>
                <w:tab w:val="decimal" w:pos="1101"/>
              </w:tabs>
              <w:ind w:firstLine="0"/>
              <w:jc w:val="right"/>
              <w:rPr>
                <w:sz w:val="16"/>
                <w:szCs w:val="16"/>
              </w:rPr>
            </w:pPr>
            <w:r>
              <w:rPr>
                <w:sz w:val="16"/>
                <w:szCs w:val="16"/>
              </w:rPr>
              <w:t>Block coefficient</w:t>
            </w:r>
          </w:p>
        </w:tc>
      </w:tr>
      <w:tr w:rsidR="0048506D" w14:paraId="4D4F2076" w14:textId="77777777" w:rsidTr="007626CA">
        <w:trPr>
          <w:jc w:val="center"/>
        </w:trPr>
        <w:tc>
          <w:tcPr>
            <w:tcW w:w="1243" w:type="dxa"/>
          </w:tcPr>
          <w:p w14:paraId="0710323A" w14:textId="77777777" w:rsidR="0048506D" w:rsidRPr="00FA77CC" w:rsidRDefault="0048506D" w:rsidP="0048506D">
            <w:pPr>
              <w:tabs>
                <w:tab w:val="decimal" w:pos="1026"/>
              </w:tabs>
              <w:ind w:firstLine="0"/>
              <w:rPr>
                <w:sz w:val="16"/>
                <w:szCs w:val="16"/>
                <w:vertAlign w:val="subscript"/>
              </w:rPr>
            </w:pPr>
            <w:r>
              <w:rPr>
                <w:sz w:val="16"/>
                <w:szCs w:val="16"/>
              </w:rPr>
              <w:t>C</w:t>
            </w:r>
            <w:r>
              <w:rPr>
                <w:sz w:val="16"/>
                <w:szCs w:val="16"/>
                <w:vertAlign w:val="subscript"/>
              </w:rPr>
              <w:t>m</w:t>
            </w:r>
          </w:p>
        </w:tc>
        <w:tc>
          <w:tcPr>
            <w:tcW w:w="1229" w:type="dxa"/>
          </w:tcPr>
          <w:p w14:paraId="1363852F" w14:textId="77777777" w:rsidR="0048506D" w:rsidRDefault="0048506D" w:rsidP="0048506D">
            <w:pPr>
              <w:tabs>
                <w:tab w:val="decimal" w:pos="1013"/>
              </w:tabs>
              <w:ind w:firstLine="0"/>
              <w:jc w:val="left"/>
              <w:rPr>
                <w:sz w:val="16"/>
                <w:szCs w:val="16"/>
              </w:rPr>
            </w:pPr>
            <w:r>
              <w:rPr>
                <w:sz w:val="16"/>
                <w:szCs w:val="16"/>
              </w:rPr>
              <w:t>-</w:t>
            </w:r>
          </w:p>
        </w:tc>
        <w:tc>
          <w:tcPr>
            <w:tcW w:w="3402" w:type="dxa"/>
          </w:tcPr>
          <w:p w14:paraId="6BF912B2" w14:textId="77777777" w:rsidR="0048506D" w:rsidRDefault="0048506D" w:rsidP="006A3363">
            <w:pPr>
              <w:tabs>
                <w:tab w:val="decimal" w:pos="1101"/>
              </w:tabs>
              <w:ind w:firstLine="0"/>
              <w:jc w:val="right"/>
              <w:rPr>
                <w:sz w:val="16"/>
                <w:szCs w:val="16"/>
              </w:rPr>
            </w:pPr>
            <w:r>
              <w:rPr>
                <w:sz w:val="16"/>
                <w:szCs w:val="16"/>
              </w:rPr>
              <w:t>Midship section coefficient</w:t>
            </w:r>
          </w:p>
        </w:tc>
      </w:tr>
      <w:tr w:rsidR="0076412A" w14:paraId="79FDA06C" w14:textId="77777777" w:rsidTr="007626CA">
        <w:trPr>
          <w:jc w:val="center"/>
        </w:trPr>
        <w:tc>
          <w:tcPr>
            <w:tcW w:w="1243" w:type="dxa"/>
          </w:tcPr>
          <w:p w14:paraId="6F9D3AFC" w14:textId="77777777" w:rsidR="0076412A" w:rsidRPr="0076412A" w:rsidRDefault="0076412A" w:rsidP="0048506D">
            <w:pPr>
              <w:tabs>
                <w:tab w:val="decimal" w:pos="1026"/>
              </w:tabs>
              <w:ind w:firstLine="0"/>
              <w:rPr>
                <w:sz w:val="16"/>
                <w:szCs w:val="16"/>
                <w:vertAlign w:val="subscript"/>
              </w:rPr>
            </w:pPr>
            <w:r>
              <w:rPr>
                <w:sz w:val="16"/>
                <w:szCs w:val="16"/>
              </w:rPr>
              <w:t>C</w:t>
            </w:r>
            <w:r>
              <w:rPr>
                <w:sz w:val="16"/>
                <w:szCs w:val="16"/>
                <w:vertAlign w:val="subscript"/>
              </w:rPr>
              <w:t>s,i</w:t>
            </w:r>
          </w:p>
        </w:tc>
        <w:tc>
          <w:tcPr>
            <w:tcW w:w="1229" w:type="dxa"/>
          </w:tcPr>
          <w:p w14:paraId="7DECD9DE" w14:textId="77777777" w:rsidR="0076412A" w:rsidRDefault="0076412A" w:rsidP="0048506D">
            <w:pPr>
              <w:tabs>
                <w:tab w:val="decimal" w:pos="1013"/>
              </w:tabs>
              <w:ind w:firstLine="0"/>
              <w:jc w:val="left"/>
              <w:rPr>
                <w:sz w:val="16"/>
                <w:szCs w:val="16"/>
              </w:rPr>
            </w:pPr>
            <w:r>
              <w:rPr>
                <w:sz w:val="16"/>
                <w:szCs w:val="16"/>
              </w:rPr>
              <w:t>-</w:t>
            </w:r>
          </w:p>
        </w:tc>
        <w:tc>
          <w:tcPr>
            <w:tcW w:w="3402" w:type="dxa"/>
          </w:tcPr>
          <w:p w14:paraId="026F1176" w14:textId="77777777" w:rsidR="0076412A" w:rsidRDefault="0076412A" w:rsidP="006A3363">
            <w:pPr>
              <w:tabs>
                <w:tab w:val="decimal" w:pos="1101"/>
              </w:tabs>
              <w:ind w:firstLine="0"/>
              <w:jc w:val="right"/>
              <w:rPr>
                <w:sz w:val="16"/>
                <w:szCs w:val="16"/>
              </w:rPr>
            </w:pPr>
            <w:r>
              <w:rPr>
                <w:sz w:val="16"/>
                <w:szCs w:val="16"/>
              </w:rPr>
              <w:t>Shor</w:t>
            </w:r>
            <w:r w:rsidR="00D93066">
              <w:rPr>
                <w:sz w:val="16"/>
                <w:szCs w:val="16"/>
              </w:rPr>
              <w:t>t</w:t>
            </w:r>
            <w:r>
              <w:rPr>
                <w:sz w:val="16"/>
                <w:szCs w:val="16"/>
              </w:rPr>
              <w:t>-term stability failure index</w:t>
            </w:r>
          </w:p>
        </w:tc>
      </w:tr>
      <w:tr w:rsidR="00404D93" w14:paraId="27F9F400" w14:textId="77777777" w:rsidTr="007626CA">
        <w:trPr>
          <w:trHeight w:val="103"/>
          <w:jc w:val="center"/>
        </w:trPr>
        <w:tc>
          <w:tcPr>
            <w:tcW w:w="1243" w:type="dxa"/>
          </w:tcPr>
          <w:p w14:paraId="12005729" w14:textId="77777777" w:rsidR="0048506D" w:rsidRDefault="007626CA" w:rsidP="0048506D">
            <w:pPr>
              <w:tabs>
                <w:tab w:val="decimal" w:pos="1026"/>
              </w:tabs>
              <w:ind w:firstLine="0"/>
              <w:rPr>
                <w:sz w:val="16"/>
                <w:szCs w:val="16"/>
              </w:rPr>
            </w:pPr>
            <w:r>
              <w:rPr>
                <w:sz w:val="16"/>
                <w:szCs w:val="16"/>
              </w:rPr>
              <w:t>d</w:t>
            </w:r>
          </w:p>
        </w:tc>
        <w:tc>
          <w:tcPr>
            <w:tcW w:w="1229" w:type="dxa"/>
          </w:tcPr>
          <w:p w14:paraId="321C771E" w14:textId="77777777" w:rsidR="0048506D" w:rsidRDefault="0048506D" w:rsidP="0048506D">
            <w:pPr>
              <w:tabs>
                <w:tab w:val="decimal" w:pos="1013"/>
              </w:tabs>
              <w:ind w:firstLine="0"/>
              <w:jc w:val="left"/>
              <w:rPr>
                <w:sz w:val="16"/>
                <w:szCs w:val="16"/>
              </w:rPr>
            </w:pPr>
            <w:r>
              <w:rPr>
                <w:sz w:val="16"/>
                <w:szCs w:val="16"/>
              </w:rPr>
              <w:t>m</w:t>
            </w:r>
          </w:p>
        </w:tc>
        <w:tc>
          <w:tcPr>
            <w:tcW w:w="3402" w:type="dxa"/>
          </w:tcPr>
          <w:p w14:paraId="09128EB9" w14:textId="77777777" w:rsidR="0048506D" w:rsidRDefault="0048506D" w:rsidP="006A3363">
            <w:pPr>
              <w:tabs>
                <w:tab w:val="decimal" w:pos="1101"/>
              </w:tabs>
              <w:ind w:firstLine="0"/>
              <w:jc w:val="right"/>
              <w:rPr>
                <w:sz w:val="16"/>
                <w:szCs w:val="16"/>
              </w:rPr>
            </w:pPr>
            <w:r>
              <w:rPr>
                <w:sz w:val="16"/>
                <w:szCs w:val="16"/>
              </w:rPr>
              <w:t>Draught</w:t>
            </w:r>
          </w:p>
        </w:tc>
      </w:tr>
      <w:tr w:rsidR="008E38EB" w14:paraId="5CC0043F" w14:textId="77777777" w:rsidTr="007626CA">
        <w:trPr>
          <w:trHeight w:val="103"/>
          <w:jc w:val="center"/>
        </w:trPr>
        <w:tc>
          <w:tcPr>
            <w:tcW w:w="1243" w:type="dxa"/>
          </w:tcPr>
          <w:p w14:paraId="3B125E98" w14:textId="77777777" w:rsidR="008E38EB" w:rsidRDefault="008E38EB" w:rsidP="0048506D">
            <w:pPr>
              <w:tabs>
                <w:tab w:val="decimal" w:pos="1026"/>
              </w:tabs>
              <w:ind w:firstLine="0"/>
              <w:rPr>
                <w:sz w:val="16"/>
                <w:szCs w:val="16"/>
              </w:rPr>
            </w:pPr>
            <w:r>
              <w:rPr>
                <w:sz w:val="16"/>
                <w:szCs w:val="16"/>
              </w:rPr>
              <w:t>g</w:t>
            </w:r>
          </w:p>
        </w:tc>
        <w:tc>
          <w:tcPr>
            <w:tcW w:w="1229" w:type="dxa"/>
          </w:tcPr>
          <w:p w14:paraId="4AC3C8B5" w14:textId="77777777" w:rsidR="008E38EB" w:rsidRPr="008E38EB" w:rsidRDefault="008E38EB" w:rsidP="0048506D">
            <w:pPr>
              <w:tabs>
                <w:tab w:val="decimal" w:pos="1013"/>
              </w:tabs>
              <w:ind w:firstLine="0"/>
              <w:jc w:val="left"/>
              <w:rPr>
                <w:sz w:val="16"/>
                <w:szCs w:val="16"/>
                <w:vertAlign w:val="superscript"/>
              </w:rPr>
            </w:pPr>
            <w:r>
              <w:rPr>
                <w:sz w:val="16"/>
                <w:szCs w:val="16"/>
              </w:rPr>
              <w:t>m/s</w:t>
            </w:r>
            <w:r>
              <w:rPr>
                <w:sz w:val="16"/>
                <w:szCs w:val="16"/>
                <w:vertAlign w:val="superscript"/>
              </w:rPr>
              <w:t>2</w:t>
            </w:r>
          </w:p>
        </w:tc>
        <w:tc>
          <w:tcPr>
            <w:tcW w:w="3402" w:type="dxa"/>
          </w:tcPr>
          <w:p w14:paraId="53F79946" w14:textId="77777777" w:rsidR="008E38EB" w:rsidRDefault="008E38EB" w:rsidP="006A3363">
            <w:pPr>
              <w:tabs>
                <w:tab w:val="decimal" w:pos="1101"/>
              </w:tabs>
              <w:ind w:firstLine="0"/>
              <w:jc w:val="right"/>
              <w:rPr>
                <w:sz w:val="16"/>
                <w:szCs w:val="16"/>
              </w:rPr>
            </w:pPr>
            <w:r>
              <w:rPr>
                <w:sz w:val="16"/>
                <w:szCs w:val="16"/>
              </w:rPr>
              <w:t>Gravity acceleration</w:t>
            </w:r>
          </w:p>
        </w:tc>
      </w:tr>
      <w:tr w:rsidR="008E38EB" w14:paraId="7D412C1B" w14:textId="77777777" w:rsidTr="007626CA">
        <w:trPr>
          <w:trHeight w:val="103"/>
          <w:jc w:val="center"/>
        </w:trPr>
        <w:tc>
          <w:tcPr>
            <w:tcW w:w="1243" w:type="dxa"/>
          </w:tcPr>
          <w:p w14:paraId="4D6FBB5A" w14:textId="77777777" w:rsidR="008E38EB" w:rsidRDefault="008E38EB" w:rsidP="0048506D">
            <w:pPr>
              <w:tabs>
                <w:tab w:val="decimal" w:pos="1026"/>
              </w:tabs>
              <w:ind w:firstLine="0"/>
              <w:rPr>
                <w:sz w:val="16"/>
                <w:szCs w:val="16"/>
              </w:rPr>
            </w:pPr>
            <w:r>
              <w:rPr>
                <w:sz w:val="16"/>
                <w:szCs w:val="16"/>
              </w:rPr>
              <w:t>GM</w:t>
            </w:r>
          </w:p>
        </w:tc>
        <w:tc>
          <w:tcPr>
            <w:tcW w:w="1229" w:type="dxa"/>
          </w:tcPr>
          <w:p w14:paraId="52735D10" w14:textId="77777777" w:rsidR="008E38EB" w:rsidRDefault="008E38EB" w:rsidP="0048506D">
            <w:pPr>
              <w:tabs>
                <w:tab w:val="decimal" w:pos="1013"/>
              </w:tabs>
              <w:ind w:firstLine="0"/>
              <w:jc w:val="left"/>
              <w:rPr>
                <w:sz w:val="16"/>
                <w:szCs w:val="16"/>
              </w:rPr>
            </w:pPr>
            <w:r>
              <w:rPr>
                <w:sz w:val="16"/>
                <w:szCs w:val="16"/>
              </w:rPr>
              <w:t>m</w:t>
            </w:r>
          </w:p>
        </w:tc>
        <w:tc>
          <w:tcPr>
            <w:tcW w:w="3402" w:type="dxa"/>
          </w:tcPr>
          <w:p w14:paraId="2EC601D6" w14:textId="77777777" w:rsidR="008E38EB" w:rsidRDefault="008E38EB" w:rsidP="006A3363">
            <w:pPr>
              <w:tabs>
                <w:tab w:val="decimal" w:pos="1101"/>
              </w:tabs>
              <w:ind w:firstLine="0"/>
              <w:jc w:val="right"/>
              <w:rPr>
                <w:sz w:val="16"/>
                <w:szCs w:val="16"/>
              </w:rPr>
            </w:pPr>
            <w:r>
              <w:rPr>
                <w:sz w:val="16"/>
                <w:szCs w:val="16"/>
              </w:rPr>
              <w:t>Transversal metacentric height</w:t>
            </w:r>
          </w:p>
        </w:tc>
      </w:tr>
      <w:tr w:rsidR="00404D93" w14:paraId="01C1A6E9" w14:textId="77777777" w:rsidTr="007626CA">
        <w:trPr>
          <w:jc w:val="center"/>
        </w:trPr>
        <w:tc>
          <w:tcPr>
            <w:tcW w:w="1243" w:type="dxa"/>
          </w:tcPr>
          <w:p w14:paraId="4845FEF2" w14:textId="77777777" w:rsidR="00404D93" w:rsidRDefault="00404D93" w:rsidP="0048506D">
            <w:pPr>
              <w:tabs>
                <w:tab w:val="decimal" w:pos="1026"/>
              </w:tabs>
              <w:ind w:firstLine="0"/>
              <w:rPr>
                <w:sz w:val="16"/>
                <w:szCs w:val="16"/>
              </w:rPr>
            </w:pPr>
            <w:r>
              <w:rPr>
                <w:sz w:val="16"/>
                <w:szCs w:val="16"/>
              </w:rPr>
              <w:t>KG</w:t>
            </w:r>
          </w:p>
        </w:tc>
        <w:tc>
          <w:tcPr>
            <w:tcW w:w="1229" w:type="dxa"/>
          </w:tcPr>
          <w:p w14:paraId="40525C8F" w14:textId="77777777" w:rsidR="00404D93" w:rsidRDefault="00404D93" w:rsidP="0048506D">
            <w:pPr>
              <w:tabs>
                <w:tab w:val="decimal" w:pos="1013"/>
              </w:tabs>
              <w:ind w:firstLine="0"/>
              <w:jc w:val="left"/>
              <w:rPr>
                <w:sz w:val="16"/>
                <w:szCs w:val="16"/>
              </w:rPr>
            </w:pPr>
            <w:r>
              <w:rPr>
                <w:sz w:val="16"/>
                <w:szCs w:val="16"/>
              </w:rPr>
              <w:t>m</w:t>
            </w:r>
          </w:p>
        </w:tc>
        <w:tc>
          <w:tcPr>
            <w:tcW w:w="3402" w:type="dxa"/>
          </w:tcPr>
          <w:p w14:paraId="32B5C134" w14:textId="77777777" w:rsidR="00404D93" w:rsidRDefault="00404D93" w:rsidP="006A3363">
            <w:pPr>
              <w:tabs>
                <w:tab w:val="decimal" w:pos="1101"/>
              </w:tabs>
              <w:ind w:firstLine="0"/>
              <w:jc w:val="right"/>
              <w:rPr>
                <w:sz w:val="16"/>
                <w:szCs w:val="16"/>
              </w:rPr>
            </w:pPr>
            <w:r>
              <w:rPr>
                <w:sz w:val="16"/>
                <w:szCs w:val="16"/>
              </w:rPr>
              <w:t>Height of the cent</w:t>
            </w:r>
            <w:r w:rsidR="007626CA">
              <w:rPr>
                <w:sz w:val="16"/>
                <w:szCs w:val="16"/>
              </w:rPr>
              <w:t>er</w:t>
            </w:r>
            <w:r>
              <w:rPr>
                <w:sz w:val="16"/>
                <w:szCs w:val="16"/>
              </w:rPr>
              <w:t xml:space="preserve"> of gravity above the keel line</w:t>
            </w:r>
          </w:p>
        </w:tc>
      </w:tr>
      <w:tr w:rsidR="00404D93" w14:paraId="5FDAFF90" w14:textId="77777777" w:rsidTr="007626CA">
        <w:trPr>
          <w:jc w:val="center"/>
        </w:trPr>
        <w:tc>
          <w:tcPr>
            <w:tcW w:w="1243" w:type="dxa"/>
          </w:tcPr>
          <w:p w14:paraId="7D2CE2E7" w14:textId="77777777" w:rsidR="0048506D" w:rsidRDefault="002305B6" w:rsidP="0048506D">
            <w:pPr>
              <w:tabs>
                <w:tab w:val="decimal" w:pos="1026"/>
              </w:tabs>
              <w:ind w:firstLine="0"/>
              <w:rPr>
                <w:sz w:val="16"/>
                <w:szCs w:val="16"/>
              </w:rPr>
            </w:pPr>
            <w:r>
              <w:rPr>
                <w:sz w:val="16"/>
                <w:szCs w:val="16"/>
              </w:rPr>
              <w:t>l</w:t>
            </w:r>
            <w:r>
              <w:rPr>
                <w:sz w:val="16"/>
                <w:szCs w:val="16"/>
                <w:vertAlign w:val="subscript"/>
              </w:rPr>
              <w:t>BK</w:t>
            </w:r>
          </w:p>
        </w:tc>
        <w:tc>
          <w:tcPr>
            <w:tcW w:w="1229" w:type="dxa"/>
          </w:tcPr>
          <w:p w14:paraId="3E09A2D8" w14:textId="77777777" w:rsidR="0048506D" w:rsidRDefault="002305B6" w:rsidP="0048506D">
            <w:pPr>
              <w:tabs>
                <w:tab w:val="decimal" w:pos="1013"/>
              </w:tabs>
              <w:ind w:firstLine="0"/>
              <w:jc w:val="left"/>
              <w:rPr>
                <w:sz w:val="16"/>
                <w:szCs w:val="16"/>
              </w:rPr>
            </w:pPr>
            <w:r>
              <w:rPr>
                <w:sz w:val="16"/>
                <w:szCs w:val="16"/>
              </w:rPr>
              <w:t>m</w:t>
            </w:r>
          </w:p>
        </w:tc>
        <w:tc>
          <w:tcPr>
            <w:tcW w:w="3402" w:type="dxa"/>
          </w:tcPr>
          <w:p w14:paraId="12B90AAB" w14:textId="77777777" w:rsidR="0048506D" w:rsidRDefault="002305B6" w:rsidP="006A3363">
            <w:pPr>
              <w:tabs>
                <w:tab w:val="decimal" w:pos="1101"/>
              </w:tabs>
              <w:ind w:firstLine="0"/>
              <w:jc w:val="right"/>
              <w:rPr>
                <w:sz w:val="16"/>
                <w:szCs w:val="16"/>
              </w:rPr>
            </w:pPr>
            <w:r>
              <w:rPr>
                <w:sz w:val="16"/>
                <w:szCs w:val="16"/>
              </w:rPr>
              <w:t>Bilge keel length</w:t>
            </w:r>
          </w:p>
        </w:tc>
      </w:tr>
      <w:tr w:rsidR="00404D93" w14:paraId="441D036D" w14:textId="77777777" w:rsidTr="007626CA">
        <w:trPr>
          <w:trHeight w:val="64"/>
          <w:jc w:val="center"/>
        </w:trPr>
        <w:tc>
          <w:tcPr>
            <w:tcW w:w="1243" w:type="dxa"/>
          </w:tcPr>
          <w:p w14:paraId="6F8B0F0D" w14:textId="77777777" w:rsidR="002305B6" w:rsidRPr="00FA77CC" w:rsidRDefault="002305B6" w:rsidP="008E38EB">
            <w:pPr>
              <w:tabs>
                <w:tab w:val="decimal" w:pos="1026"/>
              </w:tabs>
              <w:ind w:firstLine="0"/>
              <w:rPr>
                <w:sz w:val="16"/>
                <w:szCs w:val="16"/>
                <w:vertAlign w:val="subscript"/>
              </w:rPr>
            </w:pPr>
            <w:r>
              <w:rPr>
                <w:sz w:val="16"/>
                <w:szCs w:val="16"/>
              </w:rPr>
              <w:t>L</w:t>
            </w:r>
          </w:p>
        </w:tc>
        <w:tc>
          <w:tcPr>
            <w:tcW w:w="1229" w:type="dxa"/>
          </w:tcPr>
          <w:p w14:paraId="44CD5A76" w14:textId="77777777" w:rsidR="002305B6" w:rsidRDefault="002305B6" w:rsidP="008E38EB">
            <w:pPr>
              <w:tabs>
                <w:tab w:val="decimal" w:pos="1013"/>
              </w:tabs>
              <w:ind w:firstLine="0"/>
              <w:jc w:val="left"/>
              <w:rPr>
                <w:sz w:val="16"/>
                <w:szCs w:val="16"/>
              </w:rPr>
            </w:pPr>
            <w:r>
              <w:rPr>
                <w:sz w:val="16"/>
                <w:szCs w:val="16"/>
              </w:rPr>
              <w:t>m</w:t>
            </w:r>
          </w:p>
        </w:tc>
        <w:tc>
          <w:tcPr>
            <w:tcW w:w="3402" w:type="dxa"/>
          </w:tcPr>
          <w:p w14:paraId="15143AB6" w14:textId="77777777" w:rsidR="002305B6" w:rsidRDefault="002B1384" w:rsidP="006A3363">
            <w:pPr>
              <w:tabs>
                <w:tab w:val="decimal" w:pos="1101"/>
              </w:tabs>
              <w:ind w:firstLine="0"/>
              <w:jc w:val="right"/>
              <w:rPr>
                <w:sz w:val="16"/>
                <w:szCs w:val="16"/>
              </w:rPr>
            </w:pPr>
            <w:r>
              <w:rPr>
                <w:sz w:val="16"/>
                <w:szCs w:val="16"/>
              </w:rPr>
              <w:t>Ship length</w:t>
            </w:r>
          </w:p>
        </w:tc>
      </w:tr>
      <w:tr w:rsidR="00404D93" w14:paraId="18393AA6" w14:textId="77777777" w:rsidTr="007626CA">
        <w:trPr>
          <w:jc w:val="center"/>
        </w:trPr>
        <w:tc>
          <w:tcPr>
            <w:tcW w:w="1243" w:type="dxa"/>
          </w:tcPr>
          <w:p w14:paraId="281945FD" w14:textId="77777777" w:rsidR="0048506D" w:rsidRPr="0076412A" w:rsidRDefault="0076412A" w:rsidP="0048506D">
            <w:pPr>
              <w:tabs>
                <w:tab w:val="decimal" w:pos="1026"/>
              </w:tabs>
              <w:ind w:firstLine="0"/>
              <w:rPr>
                <w:sz w:val="16"/>
                <w:szCs w:val="16"/>
              </w:rPr>
            </w:pPr>
            <w:r>
              <w:rPr>
                <w:sz w:val="16"/>
                <w:szCs w:val="16"/>
              </w:rPr>
              <w:t>N</w:t>
            </w:r>
          </w:p>
        </w:tc>
        <w:tc>
          <w:tcPr>
            <w:tcW w:w="1229" w:type="dxa"/>
          </w:tcPr>
          <w:p w14:paraId="6C9EC922" w14:textId="77777777" w:rsidR="0048506D" w:rsidRDefault="0076412A" w:rsidP="0048506D">
            <w:pPr>
              <w:tabs>
                <w:tab w:val="decimal" w:pos="1013"/>
              </w:tabs>
              <w:ind w:firstLine="0"/>
              <w:jc w:val="left"/>
              <w:rPr>
                <w:sz w:val="16"/>
                <w:szCs w:val="16"/>
              </w:rPr>
            </w:pPr>
            <w:r>
              <w:rPr>
                <w:sz w:val="16"/>
                <w:szCs w:val="16"/>
              </w:rPr>
              <w:t>-</w:t>
            </w:r>
          </w:p>
        </w:tc>
        <w:tc>
          <w:tcPr>
            <w:tcW w:w="3402" w:type="dxa"/>
          </w:tcPr>
          <w:p w14:paraId="22970F78" w14:textId="77777777" w:rsidR="0048506D" w:rsidRDefault="0076412A" w:rsidP="006A3363">
            <w:pPr>
              <w:tabs>
                <w:tab w:val="decimal" w:pos="1101"/>
              </w:tabs>
              <w:ind w:firstLine="0"/>
              <w:jc w:val="right"/>
              <w:rPr>
                <w:sz w:val="16"/>
                <w:szCs w:val="16"/>
              </w:rPr>
            </w:pPr>
            <w:r>
              <w:rPr>
                <w:sz w:val="16"/>
                <w:szCs w:val="16"/>
              </w:rPr>
              <w:t>Total number of sea states</w:t>
            </w:r>
          </w:p>
        </w:tc>
      </w:tr>
      <w:tr w:rsidR="00404D93" w14:paraId="5D024E6C" w14:textId="77777777" w:rsidTr="007626CA">
        <w:trPr>
          <w:jc w:val="center"/>
        </w:trPr>
        <w:tc>
          <w:tcPr>
            <w:tcW w:w="1243" w:type="dxa"/>
          </w:tcPr>
          <w:p w14:paraId="668BB3CA" w14:textId="77777777" w:rsidR="0048506D" w:rsidRPr="0076412A" w:rsidRDefault="0076412A" w:rsidP="0048506D">
            <w:pPr>
              <w:tabs>
                <w:tab w:val="decimal" w:pos="1026"/>
              </w:tabs>
              <w:ind w:firstLine="0"/>
              <w:rPr>
                <w:sz w:val="16"/>
                <w:szCs w:val="16"/>
                <w:vertAlign w:val="subscript"/>
              </w:rPr>
            </w:pPr>
            <w:r>
              <w:rPr>
                <w:sz w:val="16"/>
                <w:szCs w:val="16"/>
              </w:rPr>
              <w:lastRenderedPageBreak/>
              <w:t>R</w:t>
            </w:r>
            <w:r>
              <w:rPr>
                <w:sz w:val="16"/>
                <w:szCs w:val="16"/>
                <w:vertAlign w:val="subscript"/>
              </w:rPr>
              <w:t>DS0</w:t>
            </w:r>
          </w:p>
        </w:tc>
        <w:tc>
          <w:tcPr>
            <w:tcW w:w="1229" w:type="dxa"/>
          </w:tcPr>
          <w:p w14:paraId="187D4326" w14:textId="77777777" w:rsidR="0048506D" w:rsidRDefault="0076412A" w:rsidP="0048506D">
            <w:pPr>
              <w:tabs>
                <w:tab w:val="decimal" w:pos="1013"/>
              </w:tabs>
              <w:ind w:firstLine="0"/>
              <w:jc w:val="left"/>
              <w:rPr>
                <w:sz w:val="16"/>
                <w:szCs w:val="16"/>
              </w:rPr>
            </w:pPr>
            <w:r>
              <w:rPr>
                <w:sz w:val="16"/>
                <w:szCs w:val="16"/>
              </w:rPr>
              <w:t>-</w:t>
            </w:r>
          </w:p>
        </w:tc>
        <w:tc>
          <w:tcPr>
            <w:tcW w:w="3402" w:type="dxa"/>
          </w:tcPr>
          <w:p w14:paraId="1885B876" w14:textId="77777777" w:rsidR="0048506D" w:rsidRDefault="0076412A" w:rsidP="006A3363">
            <w:pPr>
              <w:tabs>
                <w:tab w:val="decimal" w:pos="1101"/>
              </w:tabs>
              <w:ind w:firstLine="0"/>
              <w:jc w:val="right"/>
              <w:rPr>
                <w:sz w:val="16"/>
                <w:szCs w:val="16"/>
              </w:rPr>
            </w:pPr>
            <w:r>
              <w:rPr>
                <w:sz w:val="16"/>
                <w:szCs w:val="16"/>
              </w:rPr>
              <w:t>Dead ship condition limit value</w:t>
            </w:r>
          </w:p>
        </w:tc>
      </w:tr>
      <w:tr w:rsidR="0076412A" w14:paraId="1C00CF6F" w14:textId="77777777" w:rsidTr="007626CA">
        <w:trPr>
          <w:jc w:val="center"/>
        </w:trPr>
        <w:tc>
          <w:tcPr>
            <w:tcW w:w="1243" w:type="dxa"/>
          </w:tcPr>
          <w:p w14:paraId="3C8770FB" w14:textId="77777777" w:rsidR="0076412A" w:rsidRPr="0076412A" w:rsidRDefault="0076412A" w:rsidP="0076412A">
            <w:pPr>
              <w:tabs>
                <w:tab w:val="decimal" w:pos="1026"/>
              </w:tabs>
              <w:ind w:firstLine="0"/>
              <w:rPr>
                <w:sz w:val="16"/>
                <w:szCs w:val="16"/>
                <w:vertAlign w:val="subscript"/>
              </w:rPr>
            </w:pPr>
            <w:r>
              <w:rPr>
                <w:sz w:val="16"/>
                <w:szCs w:val="16"/>
              </w:rPr>
              <w:t>R</w:t>
            </w:r>
            <w:r>
              <w:rPr>
                <w:sz w:val="16"/>
                <w:szCs w:val="16"/>
                <w:vertAlign w:val="subscript"/>
              </w:rPr>
              <w:t>EA</w:t>
            </w:r>
          </w:p>
        </w:tc>
        <w:tc>
          <w:tcPr>
            <w:tcW w:w="1229" w:type="dxa"/>
          </w:tcPr>
          <w:p w14:paraId="33062EAB" w14:textId="77777777" w:rsidR="0076412A" w:rsidRDefault="0076412A" w:rsidP="0076412A">
            <w:pPr>
              <w:tabs>
                <w:tab w:val="decimal" w:pos="1013"/>
              </w:tabs>
              <w:ind w:firstLine="0"/>
              <w:jc w:val="left"/>
              <w:rPr>
                <w:sz w:val="16"/>
                <w:szCs w:val="16"/>
              </w:rPr>
            </w:pPr>
            <w:r>
              <w:rPr>
                <w:sz w:val="16"/>
                <w:szCs w:val="16"/>
              </w:rPr>
              <w:t>-</w:t>
            </w:r>
          </w:p>
        </w:tc>
        <w:tc>
          <w:tcPr>
            <w:tcW w:w="3402" w:type="dxa"/>
          </w:tcPr>
          <w:p w14:paraId="0F3915AA" w14:textId="77777777" w:rsidR="0076412A" w:rsidRDefault="0076412A" w:rsidP="006A3363">
            <w:pPr>
              <w:tabs>
                <w:tab w:val="decimal" w:pos="1101"/>
              </w:tabs>
              <w:ind w:firstLine="0"/>
              <w:jc w:val="right"/>
              <w:rPr>
                <w:sz w:val="16"/>
                <w:szCs w:val="16"/>
              </w:rPr>
            </w:pPr>
            <w:r>
              <w:rPr>
                <w:sz w:val="16"/>
                <w:szCs w:val="16"/>
              </w:rPr>
              <w:t>Excessive acceleration limit value</w:t>
            </w:r>
          </w:p>
        </w:tc>
      </w:tr>
      <w:tr w:rsidR="0076412A" w14:paraId="3F844796" w14:textId="77777777" w:rsidTr="007626CA">
        <w:trPr>
          <w:jc w:val="center"/>
        </w:trPr>
        <w:tc>
          <w:tcPr>
            <w:tcW w:w="1243" w:type="dxa"/>
            <w:tcBorders>
              <w:bottom w:val="single" w:sz="4" w:space="0" w:color="auto"/>
            </w:tcBorders>
          </w:tcPr>
          <w:p w14:paraId="6622A366" w14:textId="77777777" w:rsidR="0076412A" w:rsidRPr="0076412A" w:rsidRDefault="0076412A" w:rsidP="0076412A">
            <w:pPr>
              <w:tabs>
                <w:tab w:val="decimal" w:pos="1026"/>
              </w:tabs>
              <w:ind w:firstLine="0"/>
              <w:rPr>
                <w:sz w:val="16"/>
                <w:szCs w:val="16"/>
                <w:vertAlign w:val="subscript"/>
              </w:rPr>
            </w:pPr>
            <w:r>
              <w:rPr>
                <w:sz w:val="16"/>
                <w:szCs w:val="16"/>
              </w:rPr>
              <w:t>W</w:t>
            </w:r>
            <w:r>
              <w:rPr>
                <w:sz w:val="16"/>
                <w:szCs w:val="16"/>
                <w:vertAlign w:val="subscript"/>
              </w:rPr>
              <w:t>i</w:t>
            </w:r>
          </w:p>
        </w:tc>
        <w:tc>
          <w:tcPr>
            <w:tcW w:w="1229" w:type="dxa"/>
            <w:tcBorders>
              <w:bottom w:val="single" w:sz="4" w:space="0" w:color="auto"/>
            </w:tcBorders>
          </w:tcPr>
          <w:p w14:paraId="59E3643C" w14:textId="77777777" w:rsidR="0076412A" w:rsidRDefault="0076412A" w:rsidP="0076412A">
            <w:pPr>
              <w:tabs>
                <w:tab w:val="decimal" w:pos="1013"/>
              </w:tabs>
              <w:ind w:firstLine="0"/>
              <w:jc w:val="left"/>
              <w:rPr>
                <w:sz w:val="16"/>
                <w:szCs w:val="16"/>
              </w:rPr>
            </w:pPr>
            <w:r>
              <w:rPr>
                <w:sz w:val="16"/>
                <w:szCs w:val="16"/>
              </w:rPr>
              <w:t>-</w:t>
            </w:r>
          </w:p>
        </w:tc>
        <w:tc>
          <w:tcPr>
            <w:tcW w:w="3402" w:type="dxa"/>
            <w:tcBorders>
              <w:bottom w:val="single" w:sz="4" w:space="0" w:color="auto"/>
            </w:tcBorders>
          </w:tcPr>
          <w:p w14:paraId="03892605" w14:textId="77777777" w:rsidR="0076412A" w:rsidRDefault="0076412A" w:rsidP="006A3363">
            <w:pPr>
              <w:tabs>
                <w:tab w:val="decimal" w:pos="1101"/>
              </w:tabs>
              <w:ind w:firstLine="0"/>
              <w:jc w:val="right"/>
              <w:rPr>
                <w:sz w:val="16"/>
                <w:szCs w:val="16"/>
              </w:rPr>
            </w:pPr>
            <w:r>
              <w:rPr>
                <w:sz w:val="16"/>
                <w:szCs w:val="16"/>
              </w:rPr>
              <w:t>Weighting factor</w:t>
            </w:r>
          </w:p>
        </w:tc>
      </w:tr>
    </w:tbl>
    <w:p w14:paraId="50BB210E" w14:textId="77777777" w:rsidR="002305B6" w:rsidRDefault="002305B6" w:rsidP="002305B6">
      <w:pPr>
        <w:pStyle w:val="Titolo1"/>
        <w:numPr>
          <w:ilvl w:val="0"/>
          <w:numId w:val="0"/>
        </w:numPr>
        <w:ind w:left="454"/>
      </w:pPr>
      <w:r>
        <w:t>Abbreviations</w:t>
      </w:r>
    </w:p>
    <w:tbl>
      <w:tblPr>
        <w:tblW w:w="4819" w:type="dxa"/>
        <w:jc w:val="center"/>
        <w:tblLook w:val="00A0" w:firstRow="1" w:lastRow="0" w:firstColumn="1" w:lastColumn="0" w:noHBand="0" w:noVBand="0"/>
      </w:tblPr>
      <w:tblGrid>
        <w:gridCol w:w="1417"/>
        <w:gridCol w:w="3402"/>
      </w:tblGrid>
      <w:tr w:rsidR="002305B6" w14:paraId="353974ED" w14:textId="77777777" w:rsidTr="00BA4DC2">
        <w:trPr>
          <w:jc w:val="center"/>
        </w:trPr>
        <w:tc>
          <w:tcPr>
            <w:tcW w:w="1417" w:type="dxa"/>
            <w:tcBorders>
              <w:top w:val="single" w:sz="4" w:space="0" w:color="auto"/>
            </w:tcBorders>
          </w:tcPr>
          <w:p w14:paraId="35EFEE94" w14:textId="77777777" w:rsidR="002305B6" w:rsidRDefault="002305B6" w:rsidP="008E38EB">
            <w:pPr>
              <w:tabs>
                <w:tab w:val="decimal" w:pos="1026"/>
              </w:tabs>
              <w:ind w:firstLine="0"/>
              <w:rPr>
                <w:sz w:val="16"/>
                <w:szCs w:val="16"/>
              </w:rPr>
            </w:pPr>
            <w:r>
              <w:rPr>
                <w:rFonts w:ascii="Constantia" w:hAnsi="Constantia"/>
                <w:sz w:val="16"/>
                <w:szCs w:val="16"/>
              </w:rPr>
              <w:t>DSC</w:t>
            </w:r>
          </w:p>
        </w:tc>
        <w:tc>
          <w:tcPr>
            <w:tcW w:w="3402" w:type="dxa"/>
            <w:tcBorders>
              <w:top w:val="single" w:sz="4" w:space="0" w:color="auto"/>
            </w:tcBorders>
          </w:tcPr>
          <w:p w14:paraId="50A06B19" w14:textId="77777777" w:rsidR="002305B6" w:rsidRDefault="002305B6" w:rsidP="00C45567">
            <w:pPr>
              <w:tabs>
                <w:tab w:val="decimal" w:pos="1013"/>
              </w:tabs>
              <w:ind w:firstLine="0"/>
              <w:jc w:val="right"/>
              <w:rPr>
                <w:sz w:val="16"/>
                <w:szCs w:val="16"/>
              </w:rPr>
            </w:pPr>
            <w:r>
              <w:rPr>
                <w:sz w:val="16"/>
                <w:szCs w:val="16"/>
              </w:rPr>
              <w:t>Dead Ship Condition</w:t>
            </w:r>
          </w:p>
        </w:tc>
      </w:tr>
      <w:tr w:rsidR="002305B6" w14:paraId="29946B2D" w14:textId="77777777" w:rsidTr="00BA4DC2">
        <w:trPr>
          <w:jc w:val="center"/>
        </w:trPr>
        <w:tc>
          <w:tcPr>
            <w:tcW w:w="1417" w:type="dxa"/>
          </w:tcPr>
          <w:p w14:paraId="78476F93" w14:textId="77777777" w:rsidR="002305B6" w:rsidRDefault="002305B6" w:rsidP="008E38EB">
            <w:pPr>
              <w:tabs>
                <w:tab w:val="decimal" w:pos="1026"/>
              </w:tabs>
              <w:ind w:firstLine="0"/>
              <w:rPr>
                <w:sz w:val="16"/>
                <w:szCs w:val="16"/>
              </w:rPr>
            </w:pPr>
            <w:r>
              <w:rPr>
                <w:sz w:val="16"/>
                <w:szCs w:val="16"/>
              </w:rPr>
              <w:t>DSA</w:t>
            </w:r>
          </w:p>
        </w:tc>
        <w:tc>
          <w:tcPr>
            <w:tcW w:w="3402" w:type="dxa"/>
          </w:tcPr>
          <w:p w14:paraId="6790658B" w14:textId="77777777" w:rsidR="002305B6" w:rsidRPr="002305B6" w:rsidRDefault="002305B6" w:rsidP="00C45567">
            <w:pPr>
              <w:tabs>
                <w:tab w:val="decimal" w:pos="1013"/>
              </w:tabs>
              <w:ind w:firstLine="0"/>
              <w:jc w:val="right"/>
              <w:rPr>
                <w:sz w:val="16"/>
                <w:szCs w:val="16"/>
              </w:rPr>
            </w:pPr>
            <w:r>
              <w:rPr>
                <w:sz w:val="16"/>
                <w:szCs w:val="16"/>
              </w:rPr>
              <w:t>Direct Stability Assessment</w:t>
            </w:r>
          </w:p>
        </w:tc>
      </w:tr>
      <w:tr w:rsidR="002305B6" w14:paraId="3589C851" w14:textId="77777777" w:rsidTr="00BA4DC2">
        <w:trPr>
          <w:jc w:val="center"/>
        </w:trPr>
        <w:tc>
          <w:tcPr>
            <w:tcW w:w="1417" w:type="dxa"/>
          </w:tcPr>
          <w:p w14:paraId="3DE0637B" w14:textId="77777777" w:rsidR="002305B6" w:rsidRDefault="002305B6" w:rsidP="008E38EB">
            <w:pPr>
              <w:tabs>
                <w:tab w:val="decimal" w:pos="1026"/>
              </w:tabs>
              <w:ind w:firstLine="0"/>
              <w:rPr>
                <w:sz w:val="16"/>
                <w:szCs w:val="16"/>
              </w:rPr>
            </w:pPr>
            <w:r>
              <w:rPr>
                <w:sz w:val="16"/>
                <w:szCs w:val="16"/>
              </w:rPr>
              <w:t>EA</w:t>
            </w:r>
          </w:p>
        </w:tc>
        <w:tc>
          <w:tcPr>
            <w:tcW w:w="3402" w:type="dxa"/>
          </w:tcPr>
          <w:p w14:paraId="6455401F" w14:textId="77777777" w:rsidR="002305B6" w:rsidRDefault="002305B6" w:rsidP="00C45567">
            <w:pPr>
              <w:tabs>
                <w:tab w:val="decimal" w:pos="1013"/>
              </w:tabs>
              <w:ind w:firstLine="0"/>
              <w:jc w:val="right"/>
              <w:rPr>
                <w:sz w:val="16"/>
                <w:szCs w:val="16"/>
              </w:rPr>
            </w:pPr>
            <w:r>
              <w:rPr>
                <w:sz w:val="16"/>
                <w:szCs w:val="16"/>
              </w:rPr>
              <w:t>Excessive Acceleration</w:t>
            </w:r>
          </w:p>
        </w:tc>
      </w:tr>
      <w:tr w:rsidR="002305B6" w14:paraId="4F42D00D" w14:textId="77777777" w:rsidTr="00BA4DC2">
        <w:trPr>
          <w:jc w:val="center"/>
        </w:trPr>
        <w:tc>
          <w:tcPr>
            <w:tcW w:w="1417" w:type="dxa"/>
          </w:tcPr>
          <w:p w14:paraId="01D6AA37" w14:textId="77777777" w:rsidR="002305B6" w:rsidRDefault="002305B6" w:rsidP="008E38EB">
            <w:pPr>
              <w:tabs>
                <w:tab w:val="decimal" w:pos="1026"/>
              </w:tabs>
              <w:ind w:firstLine="0"/>
              <w:rPr>
                <w:sz w:val="16"/>
                <w:szCs w:val="16"/>
              </w:rPr>
            </w:pPr>
            <w:r>
              <w:rPr>
                <w:sz w:val="16"/>
                <w:szCs w:val="16"/>
              </w:rPr>
              <w:t>IMO</w:t>
            </w:r>
          </w:p>
        </w:tc>
        <w:tc>
          <w:tcPr>
            <w:tcW w:w="3402" w:type="dxa"/>
          </w:tcPr>
          <w:p w14:paraId="234CAAD7" w14:textId="77777777" w:rsidR="002305B6" w:rsidRDefault="002305B6" w:rsidP="00C45567">
            <w:pPr>
              <w:tabs>
                <w:tab w:val="decimal" w:pos="1013"/>
              </w:tabs>
              <w:ind w:firstLine="0"/>
              <w:jc w:val="right"/>
              <w:rPr>
                <w:sz w:val="16"/>
                <w:szCs w:val="16"/>
              </w:rPr>
            </w:pPr>
            <w:r>
              <w:rPr>
                <w:sz w:val="16"/>
                <w:szCs w:val="16"/>
              </w:rPr>
              <w:t>International Maritime Organization</w:t>
            </w:r>
          </w:p>
        </w:tc>
      </w:tr>
      <w:tr w:rsidR="002305B6" w14:paraId="33772138" w14:textId="77777777" w:rsidTr="00BA4DC2">
        <w:trPr>
          <w:jc w:val="center"/>
        </w:trPr>
        <w:tc>
          <w:tcPr>
            <w:tcW w:w="1417" w:type="dxa"/>
          </w:tcPr>
          <w:p w14:paraId="51345A50" w14:textId="77777777" w:rsidR="002305B6" w:rsidRDefault="002305B6" w:rsidP="008E38EB">
            <w:pPr>
              <w:tabs>
                <w:tab w:val="decimal" w:pos="1026"/>
              </w:tabs>
              <w:ind w:firstLine="0"/>
              <w:rPr>
                <w:rFonts w:ascii="Constantia" w:hAnsi="Constantia"/>
                <w:sz w:val="16"/>
                <w:szCs w:val="16"/>
              </w:rPr>
            </w:pPr>
            <w:r>
              <w:rPr>
                <w:sz w:val="16"/>
                <w:szCs w:val="16"/>
              </w:rPr>
              <w:t>OG</w:t>
            </w:r>
          </w:p>
        </w:tc>
        <w:tc>
          <w:tcPr>
            <w:tcW w:w="3402" w:type="dxa"/>
          </w:tcPr>
          <w:p w14:paraId="607995DD" w14:textId="77777777" w:rsidR="002305B6" w:rsidRDefault="002305B6" w:rsidP="00C45567">
            <w:pPr>
              <w:tabs>
                <w:tab w:val="decimal" w:pos="1013"/>
              </w:tabs>
              <w:ind w:firstLine="0"/>
              <w:jc w:val="right"/>
              <w:rPr>
                <w:sz w:val="16"/>
                <w:szCs w:val="16"/>
              </w:rPr>
            </w:pPr>
            <w:r>
              <w:rPr>
                <w:sz w:val="16"/>
                <w:szCs w:val="16"/>
              </w:rPr>
              <w:t>Operational Guidance</w:t>
            </w:r>
          </w:p>
        </w:tc>
      </w:tr>
      <w:tr w:rsidR="002305B6" w14:paraId="7CB38F32" w14:textId="77777777" w:rsidTr="00BA4DC2">
        <w:trPr>
          <w:jc w:val="center"/>
        </w:trPr>
        <w:tc>
          <w:tcPr>
            <w:tcW w:w="1417" w:type="dxa"/>
          </w:tcPr>
          <w:p w14:paraId="7C422454" w14:textId="77777777" w:rsidR="002305B6" w:rsidRPr="002305B6" w:rsidRDefault="002305B6" w:rsidP="008E38EB">
            <w:pPr>
              <w:tabs>
                <w:tab w:val="decimal" w:pos="1026"/>
              </w:tabs>
              <w:ind w:firstLine="0"/>
              <w:rPr>
                <w:sz w:val="16"/>
                <w:szCs w:val="16"/>
              </w:rPr>
            </w:pPr>
            <w:r>
              <w:rPr>
                <w:sz w:val="16"/>
                <w:szCs w:val="16"/>
              </w:rPr>
              <w:t>OL</w:t>
            </w:r>
          </w:p>
        </w:tc>
        <w:tc>
          <w:tcPr>
            <w:tcW w:w="3402" w:type="dxa"/>
          </w:tcPr>
          <w:p w14:paraId="10789332" w14:textId="77777777" w:rsidR="002305B6" w:rsidRDefault="002305B6" w:rsidP="00C45567">
            <w:pPr>
              <w:tabs>
                <w:tab w:val="decimal" w:pos="1013"/>
              </w:tabs>
              <w:ind w:firstLine="0"/>
              <w:jc w:val="right"/>
              <w:rPr>
                <w:sz w:val="16"/>
                <w:szCs w:val="16"/>
              </w:rPr>
            </w:pPr>
            <w:r>
              <w:rPr>
                <w:sz w:val="16"/>
                <w:szCs w:val="16"/>
              </w:rPr>
              <w:t>Operational Limitations</w:t>
            </w:r>
          </w:p>
        </w:tc>
      </w:tr>
      <w:tr w:rsidR="002305B6" w14:paraId="748BDD40" w14:textId="77777777" w:rsidTr="00BA4DC2">
        <w:trPr>
          <w:jc w:val="center"/>
        </w:trPr>
        <w:tc>
          <w:tcPr>
            <w:tcW w:w="1417" w:type="dxa"/>
          </w:tcPr>
          <w:p w14:paraId="0F896D8C" w14:textId="77777777" w:rsidR="002305B6" w:rsidRDefault="002305B6" w:rsidP="008E38EB">
            <w:pPr>
              <w:tabs>
                <w:tab w:val="decimal" w:pos="1026"/>
              </w:tabs>
              <w:ind w:firstLine="0"/>
              <w:rPr>
                <w:sz w:val="16"/>
                <w:szCs w:val="16"/>
              </w:rPr>
            </w:pPr>
            <w:r>
              <w:rPr>
                <w:sz w:val="16"/>
                <w:szCs w:val="16"/>
              </w:rPr>
              <w:t>OM</w:t>
            </w:r>
          </w:p>
        </w:tc>
        <w:tc>
          <w:tcPr>
            <w:tcW w:w="3402" w:type="dxa"/>
          </w:tcPr>
          <w:p w14:paraId="263C5B6B" w14:textId="77777777" w:rsidR="002305B6" w:rsidRDefault="002305B6" w:rsidP="00C45567">
            <w:pPr>
              <w:tabs>
                <w:tab w:val="decimal" w:pos="1013"/>
              </w:tabs>
              <w:ind w:firstLine="0"/>
              <w:jc w:val="right"/>
              <w:rPr>
                <w:sz w:val="16"/>
                <w:szCs w:val="16"/>
              </w:rPr>
            </w:pPr>
            <w:r>
              <w:rPr>
                <w:sz w:val="16"/>
                <w:szCs w:val="16"/>
              </w:rPr>
              <w:t>Operational Measures</w:t>
            </w:r>
          </w:p>
        </w:tc>
      </w:tr>
      <w:tr w:rsidR="002305B6" w14:paraId="2E627CAC" w14:textId="77777777" w:rsidTr="00BA4DC2">
        <w:trPr>
          <w:jc w:val="center"/>
        </w:trPr>
        <w:tc>
          <w:tcPr>
            <w:tcW w:w="1417" w:type="dxa"/>
          </w:tcPr>
          <w:p w14:paraId="34B3E819" w14:textId="77777777" w:rsidR="002305B6" w:rsidRDefault="002305B6" w:rsidP="008E38EB">
            <w:pPr>
              <w:tabs>
                <w:tab w:val="decimal" w:pos="1026"/>
              </w:tabs>
              <w:ind w:firstLine="0"/>
              <w:rPr>
                <w:sz w:val="16"/>
                <w:szCs w:val="16"/>
              </w:rPr>
            </w:pPr>
            <w:r>
              <w:rPr>
                <w:sz w:val="16"/>
                <w:szCs w:val="16"/>
              </w:rPr>
              <w:t>SDC</w:t>
            </w:r>
          </w:p>
        </w:tc>
        <w:tc>
          <w:tcPr>
            <w:tcW w:w="3402" w:type="dxa"/>
          </w:tcPr>
          <w:p w14:paraId="74DBC6B1" w14:textId="77777777" w:rsidR="002305B6" w:rsidRDefault="002305B6" w:rsidP="00C45567">
            <w:pPr>
              <w:tabs>
                <w:tab w:val="decimal" w:pos="1013"/>
              </w:tabs>
              <w:ind w:firstLine="0"/>
              <w:jc w:val="right"/>
              <w:rPr>
                <w:sz w:val="16"/>
                <w:szCs w:val="16"/>
              </w:rPr>
            </w:pPr>
            <w:r>
              <w:rPr>
                <w:sz w:val="16"/>
                <w:szCs w:val="16"/>
              </w:rPr>
              <w:t>Sub-Committee on Ship Design and Construction</w:t>
            </w:r>
          </w:p>
        </w:tc>
      </w:tr>
      <w:tr w:rsidR="002B1384" w14:paraId="22EF7039" w14:textId="77777777" w:rsidTr="00BA4DC2">
        <w:trPr>
          <w:trHeight w:val="115"/>
          <w:jc w:val="center"/>
        </w:trPr>
        <w:tc>
          <w:tcPr>
            <w:tcW w:w="1417" w:type="dxa"/>
            <w:tcBorders>
              <w:bottom w:val="single" w:sz="4" w:space="0" w:color="auto"/>
            </w:tcBorders>
          </w:tcPr>
          <w:p w14:paraId="13559C71" w14:textId="77777777" w:rsidR="002B1384" w:rsidRPr="00FA77CC" w:rsidRDefault="002B1384" w:rsidP="002B1384">
            <w:pPr>
              <w:tabs>
                <w:tab w:val="decimal" w:pos="1026"/>
              </w:tabs>
              <w:ind w:firstLine="0"/>
              <w:rPr>
                <w:sz w:val="16"/>
                <w:szCs w:val="16"/>
                <w:vertAlign w:val="subscript"/>
              </w:rPr>
            </w:pPr>
            <w:r>
              <w:rPr>
                <w:sz w:val="16"/>
                <w:szCs w:val="16"/>
              </w:rPr>
              <w:t>SGISC</w:t>
            </w:r>
          </w:p>
        </w:tc>
        <w:tc>
          <w:tcPr>
            <w:tcW w:w="3402" w:type="dxa"/>
            <w:tcBorders>
              <w:bottom w:val="single" w:sz="4" w:space="0" w:color="auto"/>
            </w:tcBorders>
          </w:tcPr>
          <w:p w14:paraId="565F593D" w14:textId="77777777" w:rsidR="002B1384" w:rsidRDefault="002B1384" w:rsidP="00C45567">
            <w:pPr>
              <w:tabs>
                <w:tab w:val="decimal" w:pos="1013"/>
              </w:tabs>
              <w:ind w:firstLine="0"/>
              <w:jc w:val="right"/>
              <w:rPr>
                <w:sz w:val="16"/>
                <w:szCs w:val="16"/>
              </w:rPr>
            </w:pPr>
            <w:r>
              <w:rPr>
                <w:sz w:val="16"/>
                <w:szCs w:val="16"/>
              </w:rPr>
              <w:t>Second Generation Intact Stability Criteria</w:t>
            </w:r>
          </w:p>
        </w:tc>
      </w:tr>
    </w:tbl>
    <w:p w14:paraId="56B1063C" w14:textId="77777777" w:rsidR="00B05D6E" w:rsidRDefault="00B05D6E" w:rsidP="00F07FC3">
      <w:pPr>
        <w:pStyle w:val="Titolo1"/>
      </w:pPr>
      <w:r>
        <w:t>Introduction</w:t>
      </w:r>
    </w:p>
    <w:p w14:paraId="6049093B" w14:textId="77777777" w:rsidR="00B05D6E" w:rsidRDefault="00B96537">
      <w:pPr>
        <w:pStyle w:val="NoindentNormal"/>
      </w:pPr>
      <w:r>
        <w:t>The Second Generation Intact Stability Criteria (SGISC) assess five modes of intact stability failure in waves: pure loss of stability, parametric roll, surf riding/broaching</w:t>
      </w:r>
      <w:r w:rsidR="00474799">
        <w:t xml:space="preserve"> to</w:t>
      </w:r>
      <w:r>
        <w:t>, dead ship condition and excessive acceleration.</w:t>
      </w:r>
      <w:r w:rsidRPr="00B96537">
        <w:t xml:space="preserve"> </w:t>
      </w:r>
      <w:r>
        <w:t xml:space="preserve">They </w:t>
      </w:r>
      <w:r w:rsidR="002B1384">
        <w:t>were</w:t>
      </w:r>
      <w:r>
        <w:t xml:space="preserve"> developed by the </w:t>
      </w:r>
      <w:r w:rsidR="0023489E">
        <w:t>IMO Correspondence Group on Intact Stability after</w:t>
      </w:r>
      <w:r>
        <w:t xml:space="preserve"> the revision of the Intact Stability Code, which entered into for</w:t>
      </w:r>
      <w:r w:rsidR="0023489E">
        <w:t xml:space="preserve">ce </w:t>
      </w:r>
      <w:r>
        <w:t>in 2008</w:t>
      </w:r>
      <w:r w:rsidR="00D93066">
        <w:t xml:space="preserve"> and</w:t>
      </w:r>
      <w:r>
        <w:t xml:space="preserve"> finalized at the 7-th session of the IMO Sub-Committee on Ship Design and Construction (SDC)</w:t>
      </w:r>
      <w:r w:rsidR="00474799" w:rsidRPr="00474799">
        <w:t xml:space="preserve"> </w:t>
      </w:r>
      <w:r w:rsidR="00474799">
        <w:t>in February 2020; they are intended</w:t>
      </w:r>
      <w:r>
        <w:t xml:space="preserve"> to be included in Part A of the 2008 IS Code in </w:t>
      </w:r>
      <w:r w:rsidR="007626CA">
        <w:t xml:space="preserve">the </w:t>
      </w:r>
      <w:r>
        <w:t>following</w:t>
      </w:r>
      <w:r w:rsidR="00474799">
        <w:t xml:space="preserve"> years</w:t>
      </w:r>
      <w:r>
        <w:t xml:space="preserve">. </w:t>
      </w:r>
    </w:p>
    <w:p w14:paraId="6CF409AD" w14:textId="77777777" w:rsidR="005312F6" w:rsidRDefault="005171EC">
      <w:r>
        <w:t xml:space="preserve">While the first generation of intact stability criteria is mainly based on a statistic approach, the second generation criteria </w:t>
      </w:r>
      <w:r w:rsidR="007626CA">
        <w:t>are</w:t>
      </w:r>
      <w:r>
        <w:t xml:space="preserve"> based on the physics of the phenomena which could lead to </w:t>
      </w:r>
      <w:r w:rsidR="00800A07">
        <w:t xml:space="preserve">the </w:t>
      </w:r>
      <w:r>
        <w:t xml:space="preserve">stability failure. </w:t>
      </w:r>
      <w:r w:rsidR="00CB0CF4">
        <w:t>They are organized according to three different levels of assessment to avoid unnecessary, complex and time-consuming calculations to verify if a ship is vulnerable to a certain phenomenon in a given loading condition. Level 1 and Level 2 are known as Vulnerability Criteria, while Level 3 is called Direct Stability Assessment (DSA).</w:t>
      </w:r>
      <w:r w:rsidR="00775384">
        <w:t xml:space="preserve"> </w:t>
      </w:r>
      <w:r w:rsidR="00E90B03">
        <w:t>T</w:t>
      </w:r>
      <w:r w:rsidR="00775384" w:rsidRPr="00775384">
        <w:t xml:space="preserve">here </w:t>
      </w:r>
      <w:r w:rsidR="00E90B03">
        <w:t>are</w:t>
      </w:r>
      <w:r w:rsidR="00775384">
        <w:t xml:space="preserve"> refinement</w:t>
      </w:r>
      <w:r w:rsidR="00CF5DDF">
        <w:t>s</w:t>
      </w:r>
      <w:r w:rsidR="00775384">
        <w:t xml:space="preserve"> of the physical model and a reduction in</w:t>
      </w:r>
      <w:r w:rsidR="0023489E">
        <w:t xml:space="preserve"> </w:t>
      </w:r>
      <w:r w:rsidR="00775384">
        <w:t>severity</w:t>
      </w:r>
      <w:r w:rsidR="00E90B03" w:rsidRPr="00E90B03">
        <w:t xml:space="preserve"> </w:t>
      </w:r>
      <w:r w:rsidR="00E90B03">
        <w:t>f</w:t>
      </w:r>
      <w:r w:rsidR="00E90B03" w:rsidRPr="00775384">
        <w:t>rom first to third level</w:t>
      </w:r>
      <w:r w:rsidR="00775384">
        <w:t xml:space="preserve">. Indeed, </w:t>
      </w:r>
      <w:r w:rsidR="00E90B03">
        <w:t>some</w:t>
      </w:r>
      <w:r w:rsidR="00775384">
        <w:t xml:space="preserve"> assumptions are made in order to </w:t>
      </w:r>
      <w:r w:rsidR="002301A0">
        <w:t>simplify the procedure of assessment</w:t>
      </w:r>
      <w:r w:rsidR="00E90B03" w:rsidRPr="00E90B03">
        <w:t xml:space="preserve"> </w:t>
      </w:r>
      <w:r w:rsidR="00E90B03">
        <w:t>in the Vulnerability Criteria</w:t>
      </w:r>
      <w:r w:rsidR="002301A0">
        <w:t>. Level 1 assessment is straightforward as its aim is to distinguish between non-vulnerable and vulnerable ships</w:t>
      </w:r>
      <w:r w:rsidR="00CF5DDF">
        <w:t>,</w:t>
      </w:r>
      <w:r w:rsidR="002301A0">
        <w:t xml:space="preserve"> which are defined as “unconventional ships”; Level 2 assessment requires additional information about the ship</w:t>
      </w:r>
      <w:r w:rsidR="005312F6">
        <w:t xml:space="preserve"> and it</w:t>
      </w:r>
      <w:r w:rsidR="002301A0">
        <w:t xml:space="preserve"> can be performed</w:t>
      </w:r>
      <w:r w:rsidR="005312F6">
        <w:t xml:space="preserve"> once a numerical code has been written; the DSA requires numerical or experimental simulations of the ship behavior in waves, requiring sophisticate tools and expert designers.</w:t>
      </w:r>
      <w:r w:rsidR="00E64087">
        <w:t xml:space="preserve"> T</w:t>
      </w:r>
      <w:r w:rsidR="005312F6">
        <w:t>he hierarchy between levels was abolished</w:t>
      </w:r>
      <w:r w:rsidR="00E64087" w:rsidRPr="00E64087">
        <w:t xml:space="preserve"> </w:t>
      </w:r>
      <w:r w:rsidR="00E64087">
        <w:t>since the 7-th session of Working Group on Intact Stability of the SDC Sub-Committee</w:t>
      </w:r>
      <w:r w:rsidR="005312F6">
        <w:t>, hence the assessment could start at any level</w:t>
      </w:r>
      <w:r w:rsidR="009E3481">
        <w:t>.</w:t>
      </w:r>
    </w:p>
    <w:p w14:paraId="69242B9B" w14:textId="77777777" w:rsidR="00137DF6" w:rsidRDefault="00137DF6" w:rsidP="00137DF6">
      <w:r>
        <w:t>Operational Measures (OM) could be developed if one or more loading condition</w:t>
      </w:r>
      <w:r w:rsidR="00E64087">
        <w:t>s</w:t>
      </w:r>
      <w:r>
        <w:t xml:space="preserve"> fail Level 2 or DSA. They can be distinguished in Operational Limitations (OL)</w:t>
      </w:r>
      <w:r w:rsidR="00E64087">
        <w:t>,</w:t>
      </w:r>
      <w:r>
        <w:t xml:space="preserve"> which </w:t>
      </w:r>
      <w:r w:rsidR="00381ED8">
        <w:t>define</w:t>
      </w:r>
      <w:r>
        <w:t xml:space="preserve"> limits on ship’s operation in a given loading condition</w:t>
      </w:r>
      <w:r w:rsidR="00E64087">
        <w:t>,</w:t>
      </w:r>
      <w:r>
        <w:t xml:space="preserve"> and Operational Guidance (OG)</w:t>
      </w:r>
      <w:r w:rsidR="00E64087">
        <w:t>,</w:t>
      </w:r>
      <w:r>
        <w:t xml:space="preserve"> which are recommendation</w:t>
      </w:r>
      <w:r w:rsidR="00E64087">
        <w:t>s</w:t>
      </w:r>
      <w:r>
        <w:t xml:space="preserve"> about combinations of ship speed and wave directions to be avoided in relevant sea states</w:t>
      </w:r>
      <w:r w:rsidR="001F1E30">
        <w:t xml:space="preserve"> </w:t>
      </w:r>
      <w:r>
        <w:t>[</w:t>
      </w:r>
      <w:r w:rsidR="002B1384">
        <w:t>1</w:t>
      </w:r>
      <w:r>
        <w:t>].</w:t>
      </w:r>
    </w:p>
    <w:p w14:paraId="2BA9B998" w14:textId="77777777" w:rsidR="001F1E30" w:rsidRDefault="00E64087" w:rsidP="00137DF6">
      <w:r>
        <w:t>T</w:t>
      </w:r>
      <w:r w:rsidR="001F1E30">
        <w:t>he assessment is performed in probabilistic terms through the evaluation of</w:t>
      </w:r>
      <w:r w:rsidR="00800A07">
        <w:t xml:space="preserve"> long-term</w:t>
      </w:r>
      <w:r w:rsidR="001F1E30">
        <w:t xml:space="preserve"> probabilities of failure</w:t>
      </w:r>
      <w:r>
        <w:t>,</w:t>
      </w:r>
      <w:r w:rsidRPr="00E64087">
        <w:t xml:space="preserve"> </w:t>
      </w:r>
      <w:r w:rsidR="00381ED8">
        <w:t>since</w:t>
      </w:r>
      <w:r>
        <w:t xml:space="preserve"> the environment</w:t>
      </w:r>
      <w:r w:rsidR="00381ED8">
        <w:t xml:space="preserve"> is</w:t>
      </w:r>
      <w:r>
        <w:t xml:space="preserve"> intrinsically non-deterministic</w:t>
      </w:r>
      <w:r w:rsidR="001F1E30">
        <w:t>.</w:t>
      </w:r>
    </w:p>
    <w:p w14:paraId="2941BF5B" w14:textId="34B54681" w:rsidR="00DF55BC" w:rsidRDefault="00381ED8" w:rsidP="00A64470">
      <w:r w:rsidRPr="00381ED8">
        <w:rPr>
          <w:lang w:val="en-GB"/>
        </w:rPr>
        <w:lastRenderedPageBreak/>
        <w:t>In the present work, the vulnerability to dead ship condition (DSC) and excessive acceleration (EA) criteria were applied on two naval hull forms: the parent hull model D1 of the Systematic Series D [2] and the notional US Office of Naval Research Tumblehome (ONRT) surface combatant. Both vessels are semi-displacement, round bilge and transom stern hull forms.</w:t>
      </w:r>
      <w:r w:rsidR="00934AED">
        <w:t xml:space="preserve"> </w:t>
      </w:r>
      <w:r w:rsidR="000C6B58">
        <w:t>This</w:t>
      </w:r>
      <w:r w:rsidR="00934AED">
        <w:t xml:space="preserve"> kind of </w:t>
      </w:r>
      <w:r>
        <w:t>ship</w:t>
      </w:r>
      <w:r w:rsidR="00934AED">
        <w:t>s appear</w:t>
      </w:r>
      <w:r w:rsidR="00E7788C">
        <w:t>s</w:t>
      </w:r>
      <w:r w:rsidR="00934AED">
        <w:t xml:space="preserve"> sensitive to the stability failure modes </w:t>
      </w:r>
      <w:r w:rsidR="00293BAC">
        <w:t>assessed</w:t>
      </w:r>
      <w:r w:rsidR="00934AED">
        <w:t xml:space="preserve"> by this</w:t>
      </w:r>
      <w:r w:rsidR="00E7788C">
        <w:t xml:space="preserve"> new generation of intact stability criteria</w:t>
      </w:r>
      <w:r w:rsidR="00934AED">
        <w:t>, due to their geometr</w:t>
      </w:r>
      <w:r w:rsidR="00E7788C">
        <w:t>ies</w:t>
      </w:r>
      <w:r w:rsidR="00934AED">
        <w:t xml:space="preserve"> and range of speeds</w:t>
      </w:r>
      <w:r w:rsidR="00455068">
        <w:t>,</w:t>
      </w:r>
      <w:r w:rsidR="00455068" w:rsidRPr="00455068">
        <w:t xml:space="preserve"> </w:t>
      </w:r>
      <w:r w:rsidR="00455068">
        <w:t>although</w:t>
      </w:r>
      <w:r w:rsidR="00D93066">
        <w:t xml:space="preserve"> the </w:t>
      </w:r>
      <w:r w:rsidR="00455068">
        <w:t>SGISC do not apply to naval vessels.</w:t>
      </w:r>
      <w:r w:rsidR="00993700">
        <w:t xml:space="preserve"> F</w:t>
      </w:r>
      <w:r w:rsidR="00A64470">
        <w:t>ive</w:t>
      </w:r>
      <w:r w:rsidR="00993700">
        <w:t xml:space="preserve"> displacements were considered for each ship, with the aim to derive the limiting </w:t>
      </w:r>
      <w:r w:rsidR="00993700" w:rsidRPr="00993700">
        <w:rPr>
          <w:i/>
          <w:iCs/>
        </w:rPr>
        <w:t>KG</w:t>
      </w:r>
      <w:r w:rsidR="00993700">
        <w:t xml:space="preserve"> curves associated with Level 2 of </w:t>
      </w:r>
      <w:r w:rsidR="001F71AE">
        <w:t>DSC and EA</w:t>
      </w:r>
      <w:r w:rsidR="00993700">
        <w:t xml:space="preserve"> criteri</w:t>
      </w:r>
      <w:r w:rsidR="001F71AE">
        <w:t>a</w:t>
      </w:r>
      <w:r w:rsidR="00993700">
        <w:t xml:space="preserve">, </w:t>
      </w:r>
      <w:r>
        <w:t>where</w:t>
      </w:r>
      <w:r w:rsidR="00993700">
        <w:t xml:space="preserve"> </w:t>
      </w:r>
      <w:r w:rsidR="00993700" w:rsidRPr="00993700">
        <w:rPr>
          <w:i/>
          <w:iCs/>
        </w:rPr>
        <w:t>KG</w:t>
      </w:r>
      <w:r w:rsidR="00993700">
        <w:t xml:space="preserve"> </w:t>
      </w:r>
      <w:r>
        <w:t xml:space="preserve">is </w:t>
      </w:r>
      <w:r w:rsidR="00993700">
        <w:t>the height of the cent</w:t>
      </w:r>
      <w:r w:rsidR="00293BAC">
        <w:t>er</w:t>
      </w:r>
      <w:r w:rsidR="00993700">
        <w:t xml:space="preserve"> of gravity above the baseline. </w:t>
      </w:r>
      <w:r w:rsidR="001F71AE">
        <w:t>It is worth noting that a</w:t>
      </w:r>
      <w:r w:rsidR="00993700">
        <w:t xml:space="preserve">ll stability criteria define a maximum </w:t>
      </w:r>
      <w:r w:rsidR="00993700">
        <w:rPr>
          <w:i/>
          <w:iCs/>
        </w:rPr>
        <w:t>KG</w:t>
      </w:r>
      <w:r w:rsidR="00993700">
        <w:t xml:space="preserve"> value</w:t>
      </w:r>
      <w:r w:rsidR="00020BAC">
        <w:t>; the only exception is the excessive acceleration criterion which define</w:t>
      </w:r>
      <w:r w:rsidR="00CA4E37">
        <w:t>s</w:t>
      </w:r>
      <w:r w:rsidR="00020BAC">
        <w:t xml:space="preserve"> a minimum </w:t>
      </w:r>
      <w:r w:rsidR="00020BAC">
        <w:rPr>
          <w:i/>
          <w:iCs/>
        </w:rPr>
        <w:t>KG</w:t>
      </w:r>
      <w:r w:rsidR="00020BAC">
        <w:t xml:space="preserve"> value below which the safety of crew and passengers against lateral accelerations is not</w:t>
      </w:r>
      <w:r w:rsidR="00993700">
        <w:t xml:space="preserve"> </w:t>
      </w:r>
      <w:r w:rsidR="009F4E6C">
        <w:t xml:space="preserve">guaranteed. Hence, the simultaneous application of </w:t>
      </w:r>
      <w:r w:rsidR="001F71AE">
        <w:t xml:space="preserve">the </w:t>
      </w:r>
      <w:r w:rsidR="009F4E6C">
        <w:t xml:space="preserve">stability criteria should define a sufficiently large range of operational </w:t>
      </w:r>
      <w:r w:rsidR="009F4E6C" w:rsidRPr="009F4E6C">
        <w:rPr>
          <w:i/>
          <w:iCs/>
        </w:rPr>
        <w:t>KG</w:t>
      </w:r>
      <w:r w:rsidR="009F4E6C">
        <w:t xml:space="preserve"> between the minimum and maximum allowable values for each displacement. </w:t>
      </w:r>
    </w:p>
    <w:p w14:paraId="5A56D64E" w14:textId="77777777" w:rsidR="005312F6" w:rsidRDefault="008123E8" w:rsidP="00E62088">
      <w:r>
        <w:t>T</w:t>
      </w:r>
      <w:r w:rsidR="00A901EA">
        <w:t xml:space="preserve">he application of the SGISC to naval vessels </w:t>
      </w:r>
      <w:r w:rsidR="00381ED8">
        <w:t>has been reported</w:t>
      </w:r>
      <w:r w:rsidR="00A901EA">
        <w:t xml:space="preserve"> in several works</w:t>
      </w:r>
      <w:r w:rsidRPr="008123E8">
        <w:t xml:space="preserve"> </w:t>
      </w:r>
      <w:r>
        <w:t>in recent years</w:t>
      </w:r>
      <w:r w:rsidR="00A901EA">
        <w:t xml:space="preserve">. </w:t>
      </w:r>
      <w:r>
        <w:t>E</w:t>
      </w:r>
      <w:r w:rsidR="00765408">
        <w:t>ight naval ships were tested against Level 1 and 2 of parametric roll and surf-riding/broaching</w:t>
      </w:r>
      <w:r w:rsidR="000D2592">
        <w:t xml:space="preserve"> </w:t>
      </w:r>
      <w:r w:rsidR="00765408">
        <w:t>to</w:t>
      </w:r>
      <w:r w:rsidRPr="008123E8">
        <w:t xml:space="preserve"> </w:t>
      </w:r>
      <w:r>
        <w:t>in Tomaszek &amp; Bassler, 2015 [3]</w:t>
      </w:r>
      <w:r w:rsidR="00765408">
        <w:t xml:space="preserve">. </w:t>
      </w:r>
      <w:r w:rsidR="002435D2">
        <w:t>A</w:t>
      </w:r>
      <w:r w:rsidR="002435D2" w:rsidRPr="00FA4B4E">
        <w:t xml:space="preserve"> helicopter carrier, a destroyer derived from model DTMB 5415 and an o</w:t>
      </w:r>
      <w:r w:rsidR="002435D2">
        <w:t>ffshore patrol vessel were widely studied by</w:t>
      </w:r>
      <w:r w:rsidR="0048630F" w:rsidRPr="0048630F">
        <w:t xml:space="preserve"> Grinnaert, 2017 [</w:t>
      </w:r>
      <w:r w:rsidR="001F71AE">
        <w:t>4</w:t>
      </w:r>
      <w:r w:rsidR="0048630F" w:rsidRPr="0048630F">
        <w:t>]</w:t>
      </w:r>
      <w:r w:rsidR="00A901EA">
        <w:t>,</w:t>
      </w:r>
      <w:r w:rsidR="0048630F" w:rsidRPr="0048630F">
        <w:t xml:space="preserve"> </w:t>
      </w:r>
      <w:r w:rsidR="00FA4B4E" w:rsidRPr="00FA4B4E">
        <w:t>Grinnaert et al., 2016 [</w:t>
      </w:r>
      <w:r w:rsidR="001F71AE">
        <w:t>5</w:t>
      </w:r>
      <w:r w:rsidR="00FA4B4E" w:rsidRPr="00FA4B4E">
        <w:t>], Petacco et al. 2017 [</w:t>
      </w:r>
      <w:r w:rsidR="001F71AE">
        <w:t>6</w:t>
      </w:r>
      <w:r w:rsidR="00FA4B4E" w:rsidRPr="00FA4B4E">
        <w:t>], Petacco 2019 [</w:t>
      </w:r>
      <w:r w:rsidR="001F71AE">
        <w:t>7</w:t>
      </w:r>
      <w:r w:rsidR="00FA4B4E" w:rsidRPr="00FA4B4E">
        <w:t>]</w:t>
      </w:r>
      <w:r w:rsidR="002435D2">
        <w:t>:</w:t>
      </w:r>
      <w:r w:rsidR="00FA4B4E">
        <w:t xml:space="preserve"> the allowable </w:t>
      </w:r>
      <w:r w:rsidR="00FA4B4E" w:rsidRPr="00CA549F">
        <w:rPr>
          <w:i/>
          <w:iCs/>
        </w:rPr>
        <w:t>KG</w:t>
      </w:r>
      <w:r w:rsidR="00FA4B4E">
        <w:t xml:space="preserve"> curves associated to</w:t>
      </w:r>
      <w:r w:rsidR="002435D2">
        <w:t xml:space="preserve"> Level 1 and 2 of</w:t>
      </w:r>
      <w:r w:rsidR="00FA4B4E">
        <w:t xml:space="preserve"> parametric roll, pure loss of stability, dead ship condition and excessive acceleration were obtained</w:t>
      </w:r>
      <w:r w:rsidR="002435D2">
        <w:t xml:space="preserve"> and compared with those associated with the Naval Ship Code</w:t>
      </w:r>
      <w:r w:rsidR="00831AF4">
        <w:t xml:space="preserve">. They showed that a safe range of operational </w:t>
      </w:r>
      <w:r w:rsidR="00831AF4" w:rsidRPr="00CA549F">
        <w:rPr>
          <w:i/>
          <w:iCs/>
        </w:rPr>
        <w:t>KG</w:t>
      </w:r>
      <w:r w:rsidR="00831AF4">
        <w:t xml:space="preserve"> between the minimum and maximum value could not exist for all operational draughts or, if it exists, it could be not sufficiently large to be considered acceptable.</w:t>
      </w:r>
    </w:p>
    <w:p w14:paraId="50685CC8" w14:textId="77777777" w:rsidR="00381B53" w:rsidRDefault="00831AF4" w:rsidP="00E62088">
      <w:r>
        <w:t>As regard the vessels taken into account in the present work,  Begović et al.</w:t>
      </w:r>
      <w:r w:rsidR="00873087">
        <w:t>, 2018 [</w:t>
      </w:r>
      <w:r w:rsidR="001F71AE">
        <w:t>8</w:t>
      </w:r>
      <w:r w:rsidR="00873087">
        <w:t xml:space="preserve">], examined the vulnerability to surf-riding/broaching </w:t>
      </w:r>
      <w:r w:rsidR="00381ED8">
        <w:t>of</w:t>
      </w:r>
      <w:r w:rsidR="00873087">
        <w:t xml:space="preserve"> all models of the Systematic Series D</w:t>
      </w:r>
      <w:r w:rsidR="00A032BA">
        <w:t xml:space="preserve"> identifying the critical ship speeds</w:t>
      </w:r>
      <w:r w:rsidR="00873087">
        <w:t>;</w:t>
      </w:r>
      <w:r w:rsidR="00C0074A">
        <w:t xml:space="preserve"> </w:t>
      </w:r>
      <w:r w:rsidR="00D56DE5">
        <w:t>surf-riding/broaching to and pure loss of stability criteria were applied to the parent hull of the Series D</w:t>
      </w:r>
      <w:r w:rsidR="00C0074A" w:rsidRPr="00C0074A">
        <w:t xml:space="preserve"> </w:t>
      </w:r>
      <w:r w:rsidR="00C0074A">
        <w:t>in Rinauro &amp;</w:t>
      </w:r>
      <w:r w:rsidR="00C0074A" w:rsidRPr="00F37120">
        <w:t xml:space="preserve"> </w:t>
      </w:r>
      <w:r w:rsidR="00C0074A">
        <w:t>Begović, 2019 [9]</w:t>
      </w:r>
      <w:r w:rsidR="00A032BA">
        <w:t xml:space="preserve"> showing that the ship was not vulnerable to</w:t>
      </w:r>
      <w:r w:rsidR="007D43F8">
        <w:t xml:space="preserve"> Level 2 of</w:t>
      </w:r>
      <w:r w:rsidR="00A032BA">
        <w:t xml:space="preserve"> </w:t>
      </w:r>
      <w:r w:rsidR="007D43F8">
        <w:t xml:space="preserve">surf-riding/broaching up to 19.35 knots and to Level 2 of pure loss of stability up to </w:t>
      </w:r>
      <w:r w:rsidR="00F619AB">
        <w:t>15.6 knots</w:t>
      </w:r>
      <w:r w:rsidR="00D56DE5">
        <w:t>; Begović et al., 2019 [</w:t>
      </w:r>
      <w:r w:rsidR="0004383B">
        <w:t>10</w:t>
      </w:r>
      <w:r w:rsidR="00D56DE5">
        <w:t xml:space="preserve">], </w:t>
      </w:r>
      <w:r w:rsidR="00C0074A">
        <w:t xml:space="preserve">examined the vulnerability to </w:t>
      </w:r>
      <w:r w:rsidR="00D56DE5">
        <w:t xml:space="preserve">surf-riding/broaching to, pure loss of stability and parametric roll </w:t>
      </w:r>
      <w:r w:rsidR="00C0074A">
        <w:t>of</w:t>
      </w:r>
      <w:r w:rsidR="00381ED8">
        <w:t xml:space="preserve"> the</w:t>
      </w:r>
      <w:r w:rsidR="00D56DE5">
        <w:t xml:space="preserve"> model</w:t>
      </w:r>
      <w:r w:rsidR="00381ED8">
        <w:t>s</w:t>
      </w:r>
      <w:r w:rsidR="00D56DE5">
        <w:t xml:space="preserve"> D1 and D5 of the Series D, t</w:t>
      </w:r>
      <w:r w:rsidR="00381ED8">
        <w:t>he</w:t>
      </w:r>
      <w:r w:rsidR="00D56DE5">
        <w:t xml:space="preserve"> ONRT </w:t>
      </w:r>
      <w:r w:rsidR="00381ED8">
        <w:t xml:space="preserve">model </w:t>
      </w:r>
      <w:r w:rsidR="00D56DE5">
        <w:t>and a frigate</w:t>
      </w:r>
      <w:r w:rsidR="00381ED8">
        <w:t xml:space="preserve"> ship</w:t>
      </w:r>
      <w:r w:rsidR="00305CBB">
        <w:t>, analyzing the ship vulnerability as a function of the speed for each criterion</w:t>
      </w:r>
      <w:r w:rsidR="00D56DE5">
        <w:t xml:space="preserve">. These last vessels were considered by Boccadamo </w:t>
      </w:r>
      <w:r w:rsidR="00CA4E37">
        <w:t>&amp; Rosano</w:t>
      </w:r>
      <w:r w:rsidR="00D56DE5">
        <w:t xml:space="preserve"> (2019),</w:t>
      </w:r>
      <w:r w:rsidR="0004383B">
        <w:t xml:space="preserve"> [11],</w:t>
      </w:r>
      <w:r w:rsidR="00D56DE5">
        <w:t xml:space="preserve"> in order to find the allowable </w:t>
      </w:r>
      <w:r w:rsidR="00D56DE5" w:rsidRPr="00CA549F">
        <w:rPr>
          <w:i/>
          <w:iCs/>
        </w:rPr>
        <w:t>KG</w:t>
      </w:r>
      <w:r w:rsidR="00D56DE5">
        <w:t xml:space="preserve"> curves associated with Level 1 and 2 of the excessive acceleration criterion</w:t>
      </w:r>
      <w:r w:rsidR="00305CBB">
        <w:t xml:space="preserve">, showing that there were not ranges of allowable </w:t>
      </w:r>
      <w:r w:rsidR="00305CBB">
        <w:rPr>
          <w:i/>
          <w:iCs/>
        </w:rPr>
        <w:t>KG</w:t>
      </w:r>
      <w:r w:rsidR="00305CBB">
        <w:t xml:space="preserve"> when the hulls have not bilge keels</w:t>
      </w:r>
      <w:r w:rsidR="00D56DE5">
        <w:t>.</w:t>
      </w:r>
      <w:r w:rsidR="00381B53">
        <w:t xml:space="preserve"> Rinauro </w:t>
      </w:r>
      <w:r w:rsidR="00CA4E37">
        <w:t>&amp; Rosano</w:t>
      </w:r>
      <w:r w:rsidR="00381B53">
        <w:t>, 2020</w:t>
      </w:r>
      <w:r w:rsidR="0004383B">
        <w:t>,</w:t>
      </w:r>
      <w:r w:rsidR="00381B53">
        <w:t xml:space="preserve"> [</w:t>
      </w:r>
      <w:r w:rsidR="0004383B">
        <w:t>12</w:t>
      </w:r>
      <w:r w:rsidR="00381B53">
        <w:t xml:space="preserve">], compared the minimum and maximum allowable </w:t>
      </w:r>
      <w:r w:rsidR="00381B53" w:rsidRPr="00CA549F">
        <w:rPr>
          <w:i/>
          <w:iCs/>
        </w:rPr>
        <w:t>KG</w:t>
      </w:r>
      <w:r w:rsidR="00381B53">
        <w:t xml:space="preserve"> curves associated with Level 1 and 2 of the excessive acceleration and dead ship condition respectively</w:t>
      </w:r>
      <w:r w:rsidR="00293BAC">
        <w:t>, for model D1 and D5 of the Series D</w:t>
      </w:r>
      <w:r w:rsidR="00305CBB">
        <w:t xml:space="preserve">. In their work, it was shown that the curves associated with Level 1 conflicted at some draughts, while those associated with Level 2 defined a range of allowable </w:t>
      </w:r>
      <w:r w:rsidR="00305CBB">
        <w:rPr>
          <w:i/>
          <w:iCs/>
        </w:rPr>
        <w:t>KG</w:t>
      </w:r>
      <w:r w:rsidR="00305CBB">
        <w:t xml:space="preserve"> at each draught, for both vessels. It was seen that there were some inconsistencies between Level 1 and 2 of DSC.</w:t>
      </w:r>
    </w:p>
    <w:p w14:paraId="4EBC3474" w14:textId="77777777" w:rsidR="00E70484" w:rsidRDefault="00E70484" w:rsidP="00E70484">
      <w:pPr>
        <w:pStyle w:val="Titolo1"/>
        <w:rPr>
          <w:szCs w:val="20"/>
          <w:lang w:eastAsia="en-US"/>
        </w:rPr>
      </w:pPr>
      <w:r>
        <w:rPr>
          <w:szCs w:val="20"/>
          <w:lang w:eastAsia="en-US"/>
        </w:rPr>
        <w:lastRenderedPageBreak/>
        <w:t>Presentation of criteria</w:t>
      </w:r>
    </w:p>
    <w:p w14:paraId="25353124" w14:textId="77777777" w:rsidR="0078219E" w:rsidRPr="0078219E" w:rsidRDefault="00AE4BE4" w:rsidP="0078219E">
      <w:pPr>
        <w:pStyle w:val="NoindentNormal"/>
      </w:pPr>
      <w:r>
        <w:t xml:space="preserve">A brief presentation of the </w:t>
      </w:r>
      <w:r w:rsidR="00381ED8">
        <w:t>phenomen</w:t>
      </w:r>
      <w:r>
        <w:t>a examined will be given in the following sub-sections</w:t>
      </w:r>
      <w:r w:rsidR="00C0074A">
        <w:t>, jointly with the corresponding vulnerability criteria</w:t>
      </w:r>
      <w:r w:rsidR="00DE16B7">
        <w:t>.</w:t>
      </w:r>
      <w:r>
        <w:t xml:space="preserve"> Further information can be found in the most recent draft of the criteria [</w:t>
      </w:r>
      <w:r w:rsidR="0004383B">
        <w:t>1</w:t>
      </w:r>
      <w:r>
        <w:t>]</w:t>
      </w:r>
      <w:r w:rsidR="004751B0">
        <w:t xml:space="preserve"> and in the explanatory notes</w:t>
      </w:r>
      <w:r w:rsidR="0004383B">
        <w:t xml:space="preserve"> [1</w:t>
      </w:r>
      <w:r w:rsidR="00444E6E">
        <w:t>3</w:t>
      </w:r>
      <w:r w:rsidR="0004383B">
        <w:t>], [1</w:t>
      </w:r>
      <w:r w:rsidR="00444E6E">
        <w:t>4</w:t>
      </w:r>
      <w:r w:rsidR="0004383B">
        <w:t>]</w:t>
      </w:r>
      <w:r>
        <w:t>.</w:t>
      </w:r>
      <w:r w:rsidR="00DE16B7">
        <w:t xml:space="preserve"> </w:t>
      </w:r>
    </w:p>
    <w:p w14:paraId="04AAF43E" w14:textId="77777777" w:rsidR="00CE6137" w:rsidRDefault="00CE6137" w:rsidP="00CE6137">
      <w:pPr>
        <w:pStyle w:val="Titolo2"/>
        <w:rPr>
          <w:lang w:eastAsia="en-US"/>
        </w:rPr>
      </w:pPr>
      <w:r>
        <w:rPr>
          <w:lang w:eastAsia="en-US"/>
        </w:rPr>
        <w:t>Dead Ship Condition</w:t>
      </w:r>
    </w:p>
    <w:p w14:paraId="2D68B0E9" w14:textId="77777777" w:rsidR="0078219E" w:rsidRDefault="00DD3F06" w:rsidP="0078219E">
      <w:pPr>
        <w:pStyle w:val="NoindentNormal"/>
      </w:pPr>
      <w:r>
        <w:t>I</w:t>
      </w:r>
      <w:r w:rsidR="00F82ACF">
        <w:t>n dead ship condition, i</w:t>
      </w:r>
      <w:r>
        <w:t>t is assumed that the ship los</w:t>
      </w:r>
      <w:r w:rsidR="00C26775">
        <w:t>es</w:t>
      </w:r>
      <w:r>
        <w:t xml:space="preserve"> her power, </w:t>
      </w:r>
      <w:r w:rsidR="00381ED8">
        <w:t>and turns</w:t>
      </w:r>
      <w:r>
        <w:t xml:space="preserve"> into beam seas. In this condition</w:t>
      </w:r>
      <w:r w:rsidR="00C26775">
        <w:t>,</w:t>
      </w:r>
      <w:r>
        <w:t xml:space="preserve"> the ship heels to a stable heel angle</w:t>
      </w:r>
      <w:r w:rsidR="00C26775">
        <w:t>, due to the action of a steady wind</w:t>
      </w:r>
      <w:r>
        <w:t xml:space="preserve">; she rolls </w:t>
      </w:r>
      <w:r w:rsidR="000C5F52">
        <w:t xml:space="preserve">around this angle </w:t>
      </w:r>
      <w:r>
        <w:t xml:space="preserve">under the action of beam waves. </w:t>
      </w:r>
      <w:r w:rsidR="000C5F52">
        <w:t>A</w:t>
      </w:r>
      <w:r>
        <w:t xml:space="preserve"> sudden and long gust occurs</w:t>
      </w:r>
      <w:r w:rsidR="000C5F52" w:rsidRPr="000C5F52">
        <w:t xml:space="preserve"> </w:t>
      </w:r>
      <w:r w:rsidR="000C5F52">
        <w:t>when the ship is at the maximum windward angle of roll;</w:t>
      </w:r>
      <w:r>
        <w:t xml:space="preserve"> </w:t>
      </w:r>
      <w:r w:rsidR="000C5F52">
        <w:t>this leads to</w:t>
      </w:r>
      <w:r>
        <w:t xml:space="preserve"> an increasing of the maximum leeward angle to which the survivability of the ship</w:t>
      </w:r>
      <w:r w:rsidR="00F82ACF">
        <w:t xml:space="preserve"> is related</w:t>
      </w:r>
      <w:r>
        <w:t>.</w:t>
      </w:r>
    </w:p>
    <w:p w14:paraId="2457B1F0" w14:textId="77777777" w:rsidR="00DD3F06" w:rsidRDefault="00DD3F06" w:rsidP="00DD3F06">
      <w:r>
        <w:t>The first level of assessment is the well</w:t>
      </w:r>
      <w:r w:rsidR="0004383B">
        <w:t>-</w:t>
      </w:r>
      <w:r>
        <w:t>known Weather Criterion, currently into force in Part A of the 2008 IS Code.</w:t>
      </w:r>
    </w:p>
    <w:p w14:paraId="53520F1D" w14:textId="77777777" w:rsidR="00DD3F06" w:rsidRPr="00DD3F06" w:rsidRDefault="00DD3F06" w:rsidP="00DD3F06">
      <w:r>
        <w:t xml:space="preserve">The second level of assessment requires the computation of short-term indexes </w:t>
      </w:r>
      <m:oMath>
        <m:sSub>
          <m:sSubPr>
            <m:ctrlPr>
              <w:rPr>
                <w:rFonts w:ascii="Cambria Math" w:hAnsi="Cambria Math"/>
                <w:i/>
              </w:rPr>
            </m:ctrlPr>
          </m:sSubPr>
          <m:e>
            <m:r>
              <w:rPr>
                <w:rFonts w:ascii="Cambria Math" w:hAnsi="Cambria Math"/>
              </w:rPr>
              <m:t>C</m:t>
            </m:r>
          </m:e>
          <m:sub>
            <m:r>
              <w:rPr>
                <w:rFonts w:ascii="Cambria Math" w:hAnsi="Cambria Math"/>
              </w:rPr>
              <m:t>s,i</m:t>
            </m:r>
          </m:sub>
        </m:sSub>
        <m:r>
          <w:rPr>
            <w:rFonts w:ascii="Cambria Math" w:hAnsi="Cambria Math"/>
          </w:rPr>
          <m:t xml:space="preserve"> </m:t>
        </m:r>
      </m:oMath>
      <w:r w:rsidR="0004383B">
        <w:t>that</w:t>
      </w:r>
      <w:r>
        <w:t xml:space="preserve"> represent the probability of caps</w:t>
      </w:r>
      <w:r w:rsidR="00DA515C">
        <w:t>izing in the</w:t>
      </w:r>
      <w:r w:rsidR="000C5F52">
        <w:t xml:space="preserve"> considered</w:t>
      </w:r>
      <w:r w:rsidR="00DA515C">
        <w:t xml:space="preserve"> sea state</w:t>
      </w:r>
      <w:r w:rsidR="003C37F2">
        <w:t xml:space="preserve"> [</w:t>
      </w:r>
      <w:r w:rsidR="0004383B">
        <w:t>1</w:t>
      </w:r>
      <w:r w:rsidR="00444E6E">
        <w:t>5</w:t>
      </w:r>
      <w:r w:rsidR="003C37F2">
        <w:t>]</w:t>
      </w:r>
      <w:r w:rsidR="00DA515C">
        <w:t xml:space="preserve">. Each sea state is defined by a significant wave height and an average zero up-crossing period as reported in the North Atlantic wave scatter diagram. A weighting factor </w:t>
      </w:r>
      <w:r w:rsidR="00DA515C">
        <w:rPr>
          <w:i/>
          <w:iCs/>
        </w:rPr>
        <w:t>W</w:t>
      </w:r>
      <w:r w:rsidR="00DA515C">
        <w:rPr>
          <w:i/>
          <w:iCs/>
          <w:vertAlign w:val="subscript"/>
        </w:rPr>
        <w:t>i</w:t>
      </w:r>
      <w:r w:rsidR="00DA515C">
        <w:t xml:space="preserve"> is defined as the ratio between the number of observations for the given sea state and the total number of observations. </w:t>
      </w:r>
      <w:r w:rsidR="008A59FA">
        <w:t xml:space="preserve">The evaluation of the short-term indexes requires the estimation of the roll motion spectrum relative to the stable heel angle. </w:t>
      </w:r>
      <w:r w:rsidR="000C5F52">
        <w:t xml:space="preserve">A </w:t>
      </w:r>
      <w:r w:rsidR="008A59FA">
        <w:t xml:space="preserve">simplified one degree of freedom model is adopted to describe the roll motion of the ship; the model has non-linearities in the damping and restoring terms. </w:t>
      </w:r>
    </w:p>
    <w:p w14:paraId="0E1ABDF4" w14:textId="77777777" w:rsidR="00417F17" w:rsidRDefault="00417F17" w:rsidP="00417F17">
      <w:r>
        <w:t>The short-term indexes allow the computation of a long-term probability index</w:t>
      </w:r>
      <m:oMath>
        <m:r>
          <w:rPr>
            <w:rFonts w:ascii="Cambria Math" w:hAnsi="Cambria Math"/>
          </w:rPr>
          <m:t xml:space="preserve"> C</m:t>
        </m:r>
      </m:oMath>
      <w:r>
        <w:t xml:space="preserve"> which represents the vulnerability of the vessel to the dead ship condition failure mode</w:t>
      </w:r>
      <w:r w:rsidR="000C5F52">
        <w:t>,</w:t>
      </w:r>
      <w:r>
        <w:t xml:space="preserve"> in the given loading condition. It is calculated as the weighted sum of the short</w:t>
      </w:r>
      <w:r w:rsidR="00293BAC">
        <w:t>-</w:t>
      </w:r>
      <w:r>
        <w:t>term failure indexes</w:t>
      </w:r>
      <w:r w:rsidR="008A59FA">
        <w:t xml:space="preserve"> </w:t>
      </w:r>
      <m:oMath>
        <m:sSub>
          <m:sSubPr>
            <m:ctrlPr>
              <w:rPr>
                <w:rFonts w:ascii="Cambria Math" w:hAnsi="Cambria Math"/>
                <w:i/>
              </w:rPr>
            </m:ctrlPr>
          </m:sSubPr>
          <m:e>
            <m:r>
              <w:rPr>
                <w:rFonts w:ascii="Cambria Math" w:hAnsi="Cambria Math"/>
              </w:rPr>
              <m:t>C</m:t>
            </m:r>
          </m:e>
          <m:sub>
            <m:r>
              <w:rPr>
                <w:rFonts w:ascii="Cambria Math" w:hAnsi="Cambria Math"/>
              </w:rPr>
              <m:t>s,i</m:t>
            </m:r>
          </m:sub>
        </m:sSub>
      </m:oMath>
      <w:r>
        <w:t>:</w:t>
      </w:r>
    </w:p>
    <w:p w14:paraId="32F5FB21" w14:textId="77777777" w:rsidR="00417F17" w:rsidRDefault="00417F17" w:rsidP="00417F17">
      <w:pPr>
        <w:pStyle w:val="Equation"/>
      </w:pPr>
      <m:oMath>
        <m:r>
          <w:rPr>
            <w:rFonts w:ascii="Cambria Math" w:hAnsi="Cambria Math"/>
          </w:rPr>
          <m:t xml:space="preserve">C=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C</m:t>
                </m:r>
              </m:e>
              <m:sub>
                <m:r>
                  <w:rPr>
                    <w:rFonts w:ascii="Cambria Math" w:hAnsi="Cambria Math"/>
                  </w:rPr>
                  <m:t>s,i</m:t>
                </m:r>
              </m:sub>
            </m:sSub>
          </m:e>
        </m:nary>
      </m:oMath>
      <w:r>
        <w:tab/>
        <w:t>(1)</w:t>
      </w:r>
    </w:p>
    <w:p w14:paraId="21AFF163" w14:textId="77777777" w:rsidR="0078219E" w:rsidRPr="0078219E" w:rsidRDefault="008A59FA" w:rsidP="00DB6E1B">
      <w:r>
        <w:t xml:space="preserve">The ship is not vulnerable to dead ship condition in the loading condition examined if the long-term index is lower than the limit value </w:t>
      </w:r>
      <m:oMath>
        <m:sSub>
          <m:sSubPr>
            <m:ctrlPr>
              <w:rPr>
                <w:rFonts w:ascii="Cambria Math" w:hAnsi="Cambria Math"/>
                <w:i/>
              </w:rPr>
            </m:ctrlPr>
          </m:sSubPr>
          <m:e>
            <m:r>
              <w:rPr>
                <w:rFonts w:ascii="Cambria Math" w:hAnsi="Cambria Math"/>
              </w:rPr>
              <m:t>R</m:t>
            </m:r>
          </m:e>
          <m:sub>
            <m:r>
              <w:rPr>
                <w:rFonts w:ascii="Cambria Math" w:hAnsi="Cambria Math"/>
              </w:rPr>
              <m:t>DS0</m:t>
            </m:r>
          </m:sub>
        </m:sSub>
        <m:r>
          <w:rPr>
            <w:rFonts w:ascii="Cambria Math" w:hAnsi="Cambria Math"/>
          </w:rPr>
          <m:t>=0.06</m:t>
        </m:r>
      </m:oMath>
      <w:r>
        <w:t>.</w:t>
      </w:r>
    </w:p>
    <w:p w14:paraId="75CC38FB" w14:textId="77777777" w:rsidR="00CE6137" w:rsidRDefault="00CE6137" w:rsidP="00CE6137">
      <w:pPr>
        <w:pStyle w:val="Titolo2"/>
        <w:rPr>
          <w:lang w:eastAsia="en-US"/>
        </w:rPr>
      </w:pPr>
      <w:r>
        <w:rPr>
          <w:lang w:eastAsia="en-US"/>
        </w:rPr>
        <w:t>Excessive Acceleration</w:t>
      </w:r>
    </w:p>
    <w:p w14:paraId="36B2E31B" w14:textId="77777777" w:rsidR="00A84604" w:rsidRPr="00A84604" w:rsidRDefault="0078219E" w:rsidP="00A84604">
      <w:pPr>
        <w:pStyle w:val="NoindentNormal"/>
      </w:pPr>
      <w:r>
        <w:t>The</w:t>
      </w:r>
      <w:r w:rsidR="00BA195E">
        <w:t xml:space="preserve"> excessive acceleration</w:t>
      </w:r>
      <w:r>
        <w:t xml:space="preserve"> </w:t>
      </w:r>
      <w:r w:rsidR="0076412A">
        <w:t xml:space="preserve">criterion was introduced after accidents </w:t>
      </w:r>
      <w:r w:rsidR="00BA195E">
        <w:t xml:space="preserve">occurred </w:t>
      </w:r>
      <w:r w:rsidR="0076412A">
        <w:t>on board of Chicago Express, in 2008, and CCNI Guayas, in 2009, where lateral acceleration</w:t>
      </w:r>
      <w:r w:rsidR="000C5F52">
        <w:t>s</w:t>
      </w:r>
      <w:r w:rsidR="0076412A">
        <w:t xml:space="preserve"> greater than </w:t>
      </w:r>
      <w:r w:rsidR="0076412A" w:rsidRPr="0076412A">
        <w:rPr>
          <w:i/>
          <w:iCs/>
        </w:rPr>
        <w:t>1.0·g</w:t>
      </w:r>
      <w:r w:rsidR="0076412A">
        <w:t xml:space="preserve"> were experienced at the bridge deck</w:t>
      </w:r>
      <w:r w:rsidR="008E38EB">
        <w:t>,</w:t>
      </w:r>
      <w:r w:rsidR="008E38EB" w:rsidRPr="008E38EB">
        <w:t xml:space="preserve"> </w:t>
      </w:r>
      <w:r w:rsidR="008E38EB">
        <w:t>due to synchronous resonance</w:t>
      </w:r>
      <w:r w:rsidR="0076412A">
        <w:t xml:space="preserve">. As a result, crew members lost their lives or suffered serious injuries in both </w:t>
      </w:r>
      <w:r w:rsidR="008E38EB">
        <w:t>casualtie</w:t>
      </w:r>
      <w:r w:rsidR="0076412A">
        <w:t xml:space="preserve">s. </w:t>
      </w:r>
      <w:r w:rsidR="008E38EB">
        <w:t xml:space="preserve">The main causes of the accidents were the low roll period due to high values of the metacentric height </w:t>
      </w:r>
      <w:r w:rsidR="008E38EB">
        <w:rPr>
          <w:i/>
          <w:iCs/>
        </w:rPr>
        <w:t>GM</w:t>
      </w:r>
      <w:r w:rsidR="008E38EB">
        <w:t xml:space="preserve"> and t</w:t>
      </w:r>
      <w:r w:rsidR="000C5F52">
        <w:t>he</w:t>
      </w:r>
      <w:r w:rsidR="008E38EB">
        <w:t xml:space="preserve"> low roll damping due to the low advancing speeds. </w:t>
      </w:r>
    </w:p>
    <w:p w14:paraId="07BF4845" w14:textId="77777777" w:rsidR="008E38EB" w:rsidRDefault="008E38EB" w:rsidP="004A06E6">
      <w:r>
        <w:t xml:space="preserve">The first level of assessment requires the computation of the lateral acceleration acting at the calculation point which has to be compared with the limit value. </w:t>
      </w:r>
      <w:r w:rsidR="004A06E6">
        <w:t>S</w:t>
      </w:r>
      <w:r>
        <w:t xml:space="preserve">everal simplifying assumptions </w:t>
      </w:r>
      <w:r w:rsidR="00D93066">
        <w:t>make</w:t>
      </w:r>
      <w:r w:rsidR="004A06E6">
        <w:t xml:space="preserve"> Level 1 results</w:t>
      </w:r>
      <w:r>
        <w:t xml:space="preserve"> </w:t>
      </w:r>
      <w:r w:rsidR="004A06E6">
        <w:t xml:space="preserve">straightforward and </w:t>
      </w:r>
      <w:r>
        <w:t>very conservative.</w:t>
      </w:r>
    </w:p>
    <w:p w14:paraId="50444127" w14:textId="77777777" w:rsidR="003303F7" w:rsidRPr="00DD3F06" w:rsidRDefault="008E38EB" w:rsidP="003303F7">
      <w:r>
        <w:t xml:space="preserve">The second level of assessment adopts a simplified </w:t>
      </w:r>
      <w:r w:rsidR="003303F7">
        <w:t>one degree of freedom model, which is non-linear in the damping term. The ship is assumed to be in beam waves</w:t>
      </w:r>
      <w:r w:rsidR="003303F7" w:rsidRPr="003303F7">
        <w:t xml:space="preserve"> </w:t>
      </w:r>
      <w:r w:rsidR="003303F7">
        <w:t>at zero speed</w:t>
      </w:r>
      <w:r w:rsidR="004A06E6">
        <w:t xml:space="preserve">. </w:t>
      </w:r>
      <w:r w:rsidR="003303F7">
        <w:t xml:space="preserve">A short-term probability index </w:t>
      </w:r>
      <m:oMath>
        <m:sSub>
          <m:sSubPr>
            <m:ctrlPr>
              <w:rPr>
                <w:rFonts w:ascii="Cambria Math" w:hAnsi="Cambria Math"/>
                <w:i/>
              </w:rPr>
            </m:ctrlPr>
          </m:sSubPr>
          <m:e>
            <m:r>
              <w:rPr>
                <w:rFonts w:ascii="Cambria Math" w:hAnsi="Cambria Math"/>
              </w:rPr>
              <m:t>C</m:t>
            </m:r>
          </m:e>
          <m:sub>
            <m:r>
              <w:rPr>
                <w:rFonts w:ascii="Cambria Math" w:hAnsi="Cambria Math"/>
              </w:rPr>
              <m:t>s,i</m:t>
            </m:r>
          </m:sub>
        </m:sSub>
      </m:oMath>
      <w:r w:rsidR="003303F7">
        <w:t xml:space="preserve"> has to be evaluated for all </w:t>
      </w:r>
      <w:r w:rsidR="004A06E6">
        <w:t xml:space="preserve">reported </w:t>
      </w:r>
      <w:r w:rsidR="003303F7">
        <w:t xml:space="preserve">sea </w:t>
      </w:r>
      <w:r w:rsidR="003303F7">
        <w:lastRenderedPageBreak/>
        <w:t>states in the North-Atlantic scatter diagram; the index represents the probability of exceeding the lateral acceleration of 9.81 m/s</w:t>
      </w:r>
      <w:r w:rsidR="003303F7">
        <w:rPr>
          <w:vertAlign w:val="superscript"/>
        </w:rPr>
        <w:t>2</w:t>
      </w:r>
      <w:r w:rsidR="003303F7">
        <w:t xml:space="preserve"> </w:t>
      </w:r>
      <w:r w:rsidR="004A06E6">
        <w:t xml:space="preserve">at the calculation point, </w:t>
      </w:r>
      <w:r w:rsidR="003303F7">
        <w:t xml:space="preserve">in the given sea state. </w:t>
      </w:r>
    </w:p>
    <w:p w14:paraId="658456F3" w14:textId="77777777" w:rsidR="002C6FB1" w:rsidRDefault="002C6FB1" w:rsidP="002C6FB1">
      <w:r>
        <w:t xml:space="preserve">The </w:t>
      </w:r>
      <w:r w:rsidR="00293BAC">
        <w:t>long-</w:t>
      </w:r>
      <w:r>
        <w:t>term index is the weighted sum of the short</w:t>
      </w:r>
      <w:r w:rsidR="00293BAC">
        <w:t>-</w:t>
      </w:r>
      <w:r>
        <w:t xml:space="preserve">term failure indexes </w:t>
      </w:r>
      <m:oMath>
        <m:sSub>
          <m:sSubPr>
            <m:ctrlPr>
              <w:rPr>
                <w:rFonts w:ascii="Cambria Math" w:hAnsi="Cambria Math"/>
                <w:i/>
              </w:rPr>
            </m:ctrlPr>
          </m:sSubPr>
          <m:e>
            <m:r>
              <w:rPr>
                <w:rFonts w:ascii="Cambria Math" w:hAnsi="Cambria Math"/>
              </w:rPr>
              <m:t>C</m:t>
            </m:r>
          </m:e>
          <m:sub>
            <m:r>
              <w:rPr>
                <w:rFonts w:ascii="Cambria Math" w:hAnsi="Cambria Math"/>
              </w:rPr>
              <m:t>s,i</m:t>
            </m:r>
          </m:sub>
        </m:sSub>
      </m:oMath>
      <w:r>
        <w:t>:</w:t>
      </w:r>
    </w:p>
    <w:p w14:paraId="210883B1" w14:textId="77777777" w:rsidR="002C6FB1" w:rsidRDefault="002C6FB1" w:rsidP="002C6FB1">
      <w:pPr>
        <w:pStyle w:val="Equation"/>
      </w:pPr>
      <m:oMath>
        <m:r>
          <w:rPr>
            <w:rFonts w:ascii="Cambria Math" w:hAnsi="Cambria Math"/>
          </w:rPr>
          <m:t xml:space="preserve">C=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C</m:t>
                </m:r>
              </m:e>
              <m:sub>
                <m:r>
                  <w:rPr>
                    <w:rFonts w:ascii="Cambria Math" w:hAnsi="Cambria Math"/>
                  </w:rPr>
                  <m:t>s,i</m:t>
                </m:r>
              </m:sub>
            </m:sSub>
          </m:e>
        </m:nary>
      </m:oMath>
      <w:r>
        <w:tab/>
        <w:t>(2)</w:t>
      </w:r>
    </w:p>
    <w:p w14:paraId="5EB0E7DA" w14:textId="77777777" w:rsidR="0078219E" w:rsidRPr="0078219E" w:rsidRDefault="002C6FB1" w:rsidP="00DB6E1B">
      <w:r>
        <w:t xml:space="preserve">The ship is not vulnerable to the excessive acceleration failure mode in the </w:t>
      </w:r>
      <w:r w:rsidR="004A06E6">
        <w:t xml:space="preserve">examined </w:t>
      </w:r>
      <w:r>
        <w:t xml:space="preserve">loading condition if the long-term index is lower than the limit value </w:t>
      </w:r>
      <m:oMath>
        <m:sSub>
          <m:sSubPr>
            <m:ctrlPr>
              <w:rPr>
                <w:rFonts w:ascii="Cambria Math" w:hAnsi="Cambria Math"/>
                <w:i/>
              </w:rPr>
            </m:ctrlPr>
          </m:sSubPr>
          <m:e>
            <m:r>
              <w:rPr>
                <w:rFonts w:ascii="Cambria Math" w:hAnsi="Cambria Math"/>
              </w:rPr>
              <m:t>R</m:t>
            </m:r>
          </m:e>
          <m:sub>
            <m:r>
              <w:rPr>
                <w:rFonts w:ascii="Cambria Math" w:hAnsi="Cambria Math"/>
              </w:rPr>
              <m:t>EA</m:t>
            </m:r>
          </m:sub>
        </m:sSub>
        <m:r>
          <w:rPr>
            <w:rFonts w:ascii="Cambria Math" w:hAnsi="Cambria Math"/>
          </w:rPr>
          <m:t>=3.9·</m:t>
        </m:r>
        <m:sSup>
          <m:sSupPr>
            <m:ctrlPr>
              <w:rPr>
                <w:rFonts w:ascii="Cambria Math" w:hAnsi="Cambria Math"/>
                <w:i/>
              </w:rPr>
            </m:ctrlPr>
          </m:sSupPr>
          <m:e>
            <m:r>
              <w:rPr>
                <w:rFonts w:ascii="Cambria Math" w:hAnsi="Cambria Math"/>
              </w:rPr>
              <m:t>10</m:t>
            </m:r>
          </m:e>
          <m:sup>
            <m:r>
              <w:rPr>
                <w:rFonts w:ascii="Cambria Math" w:hAnsi="Cambria Math"/>
              </w:rPr>
              <m:t>-4</m:t>
            </m:r>
          </m:sup>
        </m:sSup>
      </m:oMath>
      <w:r>
        <w:t>.</w:t>
      </w:r>
    </w:p>
    <w:p w14:paraId="43BB8C22" w14:textId="77777777" w:rsidR="00CE6137" w:rsidRDefault="00CE6137" w:rsidP="00CE6137">
      <w:pPr>
        <w:pStyle w:val="Titolo1"/>
        <w:rPr>
          <w:szCs w:val="20"/>
          <w:lang w:eastAsia="en-US"/>
        </w:rPr>
      </w:pPr>
      <w:r>
        <w:rPr>
          <w:szCs w:val="20"/>
          <w:lang w:eastAsia="en-US"/>
        </w:rPr>
        <w:t>Sample ships</w:t>
      </w:r>
    </w:p>
    <w:p w14:paraId="0CFBCA73" w14:textId="77777777" w:rsidR="0052484A" w:rsidRDefault="0008630E" w:rsidP="0052484A">
      <w:pPr>
        <w:pStyle w:val="NoindentNormal"/>
        <w:rPr>
          <w:lang w:eastAsia="en-US"/>
        </w:rPr>
      </w:pPr>
      <w:r>
        <w:rPr>
          <w:lang w:eastAsia="en-US"/>
        </w:rPr>
        <w:t>T</w:t>
      </w:r>
      <w:r w:rsidR="00F56CAB">
        <w:rPr>
          <w:lang w:eastAsia="en-US"/>
        </w:rPr>
        <w:t>he parent hull model D1 of the Systematic Series D</w:t>
      </w:r>
      <w:r w:rsidR="00232CA1">
        <w:rPr>
          <w:lang w:eastAsia="en-US"/>
        </w:rPr>
        <w:t xml:space="preserve"> and the ONRT model</w:t>
      </w:r>
      <w:r>
        <w:rPr>
          <w:lang w:eastAsia="en-US"/>
        </w:rPr>
        <w:t xml:space="preserve"> w</w:t>
      </w:r>
      <w:r w:rsidR="00232CA1">
        <w:rPr>
          <w:lang w:eastAsia="en-US"/>
        </w:rPr>
        <w:t>ere</w:t>
      </w:r>
      <w:r>
        <w:rPr>
          <w:lang w:eastAsia="en-US"/>
        </w:rPr>
        <w:t xml:space="preserve"> analyzed in this work</w:t>
      </w:r>
      <w:r w:rsidR="00CD0D5C">
        <w:rPr>
          <w:lang w:eastAsia="en-US"/>
        </w:rPr>
        <w:t>.</w:t>
      </w:r>
    </w:p>
    <w:p w14:paraId="329245F1" w14:textId="77777777" w:rsidR="00F56CAB" w:rsidRDefault="0052484A" w:rsidP="00F56CAB">
      <w:r>
        <w:t>The Systematic Series D was developed by Kracht and Jacobsen [</w:t>
      </w:r>
      <w:r w:rsidR="00F203D3">
        <w:t>2</w:t>
      </w:r>
      <w:r>
        <w:t>] in the 90’s.</w:t>
      </w:r>
      <w:r w:rsidR="00E37D1F">
        <w:t xml:space="preserve"> </w:t>
      </w:r>
      <w:r w:rsidR="00F73A5B">
        <w:t xml:space="preserve">It </w:t>
      </w:r>
      <w:r>
        <w:t xml:space="preserve">consists of seven models, from D1 to D7, divided in two groups; models D1 and D5 </w:t>
      </w:r>
      <w:r w:rsidR="00BA195E">
        <w:t>are</w:t>
      </w:r>
      <w:r>
        <w:t xml:space="preserve"> the corresponding parent hulls. Model D1 </w:t>
      </w:r>
      <w:r w:rsidRPr="00870152">
        <w:t>was based on</w:t>
      </w:r>
      <w:r>
        <w:t xml:space="preserve"> a twin-screw round bilge hull </w:t>
      </w:r>
      <w:r w:rsidRPr="00870152">
        <w:t xml:space="preserve">form; model D5 was obtained from model D1 </w:t>
      </w:r>
      <w:r w:rsidR="00293BAC">
        <w:t>modifying</w:t>
      </w:r>
      <w:r w:rsidRPr="00870152">
        <w:t xml:space="preserve"> </w:t>
      </w:r>
      <w:r w:rsidR="00293BAC">
        <w:t>its</w:t>
      </w:r>
      <w:r w:rsidRPr="00870152">
        <w:t xml:space="preserve"> sectional area curve.</w:t>
      </w:r>
      <w:r w:rsidR="00F56CAB" w:rsidRPr="00870152">
        <w:t xml:space="preserve"> The other models were obtained through a systematic variation of the beam to draft ratio, the longitudinal prismatic coefficient and the volumetric coefficient. The body</w:t>
      </w:r>
      <w:r w:rsidR="00F56CAB">
        <w:t xml:space="preserve"> plan of model D1 is reported in Figure </w:t>
      </w:r>
      <w:r w:rsidR="00E37D1F">
        <w:t>1</w:t>
      </w:r>
      <w:r w:rsidR="00F56CAB">
        <w:t>.</w:t>
      </w:r>
    </w:p>
    <w:p w14:paraId="3091EFD1" w14:textId="77777777" w:rsidR="00E37D1F" w:rsidRDefault="00E37D1F" w:rsidP="00E37D1F">
      <w:pPr>
        <w:pStyle w:val="NoindentNormal"/>
        <w:spacing w:before="240"/>
        <w:jc w:val="center"/>
      </w:pPr>
      <w:r w:rsidRPr="00E37D1F">
        <w:rPr>
          <w:noProof/>
        </w:rPr>
        <w:drawing>
          <wp:inline distT="0" distB="0" distL="0" distR="0" wp14:anchorId="58D29259" wp14:editId="21455153">
            <wp:extent cx="2520000" cy="1173445"/>
            <wp:effectExtent l="0" t="0" r="0"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1173445"/>
                    </a:xfrm>
                    <a:prstGeom prst="rect">
                      <a:avLst/>
                    </a:prstGeom>
                    <a:noFill/>
                    <a:ln>
                      <a:noFill/>
                    </a:ln>
                  </pic:spPr>
                </pic:pic>
              </a:graphicData>
            </a:graphic>
          </wp:inline>
        </w:drawing>
      </w:r>
    </w:p>
    <w:p w14:paraId="69A9E06B" w14:textId="77777777" w:rsidR="00E37D1F" w:rsidRDefault="00E37D1F" w:rsidP="00E37D1F">
      <w:pPr>
        <w:pStyle w:val="CaptionShort"/>
      </w:pPr>
      <w:r>
        <w:rPr>
          <w:b/>
        </w:rPr>
        <w:t>Figure 1.</w:t>
      </w:r>
      <w:r>
        <w:t xml:space="preserve"> D1 model body plan</w:t>
      </w:r>
    </w:p>
    <w:p w14:paraId="35134B41" w14:textId="77777777" w:rsidR="00F56CAB" w:rsidRDefault="00F56CAB" w:rsidP="00F56CAB"/>
    <w:p w14:paraId="403AC30C" w14:textId="77777777" w:rsidR="00AE0CA0" w:rsidRDefault="00593E7F" w:rsidP="00AE0CA0">
      <w:pPr>
        <w:rPr>
          <w:lang w:eastAsia="en-US"/>
        </w:rPr>
      </w:pPr>
      <w:r>
        <w:rPr>
          <w:lang w:eastAsia="en-US"/>
        </w:rPr>
        <w:t>In the present work, f</w:t>
      </w:r>
      <w:r w:rsidR="00232CA1">
        <w:rPr>
          <w:lang w:eastAsia="en-US"/>
        </w:rPr>
        <w:t>ive</w:t>
      </w:r>
      <w:r w:rsidR="0008630E">
        <w:rPr>
          <w:lang w:eastAsia="en-US"/>
        </w:rPr>
        <w:t xml:space="preserve"> </w:t>
      </w:r>
      <w:r w:rsidR="00527BA7">
        <w:rPr>
          <w:lang w:eastAsia="en-US"/>
        </w:rPr>
        <w:t>draughts were considered, from 3.</w:t>
      </w:r>
      <w:r w:rsidR="00232CA1">
        <w:rPr>
          <w:lang w:eastAsia="en-US"/>
        </w:rPr>
        <w:t>2</w:t>
      </w:r>
      <w:r w:rsidR="00527BA7">
        <w:rPr>
          <w:lang w:eastAsia="en-US"/>
        </w:rPr>
        <w:t xml:space="preserve"> m to 3.6 m</w:t>
      </w:r>
      <w:r>
        <w:rPr>
          <w:lang w:eastAsia="en-US"/>
        </w:rPr>
        <w:t>,</w:t>
      </w:r>
      <w:r w:rsidR="00527BA7">
        <w:rPr>
          <w:lang w:eastAsia="en-US"/>
        </w:rPr>
        <w:t xml:space="preserve"> with a step of 0.</w:t>
      </w:r>
      <w:r w:rsidR="00232CA1">
        <w:rPr>
          <w:lang w:eastAsia="en-US"/>
        </w:rPr>
        <w:t>1</w:t>
      </w:r>
      <w:r w:rsidR="00527BA7">
        <w:rPr>
          <w:lang w:eastAsia="en-US"/>
        </w:rPr>
        <w:t xml:space="preserve"> m</w:t>
      </w:r>
      <w:r>
        <w:rPr>
          <w:lang w:eastAsia="en-US"/>
        </w:rPr>
        <w:t xml:space="preserve">, </w:t>
      </w:r>
      <w:bookmarkStart w:id="1" w:name="_Hlk47779907"/>
      <w:r>
        <w:rPr>
          <w:lang w:eastAsia="en-US"/>
        </w:rPr>
        <w:t>to analyze the vulnerability of the model to DSC and EA criteria</w:t>
      </w:r>
      <w:bookmarkEnd w:id="1"/>
      <w:r w:rsidR="00375126">
        <w:rPr>
          <w:lang w:eastAsia="en-US"/>
        </w:rPr>
        <w:t>;</w:t>
      </w:r>
      <w:r w:rsidR="00527BA7">
        <w:rPr>
          <w:lang w:eastAsia="en-US"/>
        </w:rPr>
        <w:t xml:space="preserve"> </w:t>
      </w:r>
      <w:r w:rsidR="00375126">
        <w:rPr>
          <w:lang w:eastAsia="en-US"/>
        </w:rPr>
        <w:t>t</w:t>
      </w:r>
      <w:r w:rsidR="00527BA7">
        <w:rPr>
          <w:lang w:eastAsia="en-US"/>
        </w:rPr>
        <w:t>he highest one correspon</w:t>
      </w:r>
      <w:r w:rsidR="00375126">
        <w:rPr>
          <w:lang w:eastAsia="en-US"/>
        </w:rPr>
        <w:t>d</w:t>
      </w:r>
      <w:r w:rsidR="00F203D3">
        <w:rPr>
          <w:lang w:eastAsia="en-US"/>
        </w:rPr>
        <w:t>ed</w:t>
      </w:r>
      <w:r w:rsidR="00375126">
        <w:rPr>
          <w:lang w:eastAsia="en-US"/>
        </w:rPr>
        <w:t xml:space="preserve"> to the design draught. </w:t>
      </w:r>
      <w:r w:rsidR="00B43A1B">
        <w:rPr>
          <w:lang w:eastAsia="en-US"/>
        </w:rPr>
        <w:t>A</w:t>
      </w:r>
      <w:r w:rsidR="00375126">
        <w:rPr>
          <w:lang w:eastAsia="en-US"/>
        </w:rPr>
        <w:t xml:space="preserve"> volume of displacement</w:t>
      </w:r>
      <w:r w:rsidR="00B43A1B">
        <w:rPr>
          <w:lang w:eastAsia="en-US"/>
        </w:rPr>
        <w:t xml:space="preserve"> was associated</w:t>
      </w:r>
      <w:r w:rsidR="00B43A1B" w:rsidRPr="00B43A1B">
        <w:rPr>
          <w:lang w:eastAsia="en-US"/>
        </w:rPr>
        <w:t xml:space="preserve"> </w:t>
      </w:r>
      <w:r w:rsidR="00B43A1B">
        <w:rPr>
          <w:lang w:eastAsia="en-US"/>
        </w:rPr>
        <w:t xml:space="preserve">to each </w:t>
      </w:r>
      <w:r w:rsidR="00B43A1B" w:rsidRPr="00870152">
        <w:rPr>
          <w:lang w:eastAsia="en-US"/>
        </w:rPr>
        <w:t>draught</w:t>
      </w:r>
      <w:r w:rsidR="00375126" w:rsidRPr="00870152">
        <w:rPr>
          <w:lang w:eastAsia="en-US"/>
        </w:rPr>
        <w:t xml:space="preserve">; the lowest one was about </w:t>
      </w:r>
      <w:r w:rsidR="00232CA1" w:rsidRPr="00870152">
        <w:rPr>
          <w:lang w:eastAsia="en-US"/>
        </w:rPr>
        <w:t>80</w:t>
      </w:r>
      <w:r w:rsidR="00375126" w:rsidRPr="00870152">
        <w:rPr>
          <w:lang w:eastAsia="en-US"/>
        </w:rPr>
        <w:t>% of the highest one. The vessel was assumed in a zero trim condition; a superstructure was hypothesized based on that of the Braunschweig class</w:t>
      </w:r>
      <w:r w:rsidR="00B43A1B">
        <w:rPr>
          <w:lang w:eastAsia="en-US"/>
        </w:rPr>
        <w:t xml:space="preserve"> (K-130)</w:t>
      </w:r>
      <w:r w:rsidR="00375126">
        <w:rPr>
          <w:lang w:eastAsia="en-US"/>
        </w:rPr>
        <w:t xml:space="preserve"> corvettes of the German Navy; lateral accelerations were calculated at the command bridge; a hypothesis on the bilge keels length and span was made</w:t>
      </w:r>
      <w:r w:rsidR="00B43A1B">
        <w:rPr>
          <w:lang w:eastAsia="en-US"/>
        </w:rPr>
        <w:t>. The</w:t>
      </w:r>
      <w:r w:rsidR="00F73A5B">
        <w:rPr>
          <w:lang w:eastAsia="en-US"/>
        </w:rPr>
        <w:t xml:space="preserve"> vessel</w:t>
      </w:r>
      <w:r w:rsidR="00B43A1B">
        <w:rPr>
          <w:lang w:eastAsia="en-US"/>
        </w:rPr>
        <w:t xml:space="preserve"> main dimensions are </w:t>
      </w:r>
      <w:r w:rsidR="00B43A1B" w:rsidRPr="00AE0CA0">
        <w:rPr>
          <w:lang w:eastAsia="en-US"/>
        </w:rPr>
        <w:t>reported in</w:t>
      </w:r>
      <w:r w:rsidR="00375126" w:rsidRPr="00AE0CA0">
        <w:rPr>
          <w:lang w:eastAsia="en-US"/>
        </w:rPr>
        <w:t xml:space="preserve"> Table 1.</w:t>
      </w:r>
      <w:r w:rsidR="00375126">
        <w:rPr>
          <w:lang w:eastAsia="en-US"/>
        </w:rPr>
        <w:t xml:space="preserve"> </w:t>
      </w:r>
    </w:p>
    <w:p w14:paraId="2959734F" w14:textId="77777777" w:rsidR="00F0179B" w:rsidRDefault="00F0179B" w:rsidP="00F0179B">
      <w:pPr>
        <w:rPr>
          <w:lang w:eastAsia="en-US"/>
        </w:rPr>
      </w:pPr>
      <w:r>
        <w:rPr>
          <w:lang w:eastAsia="en-US"/>
        </w:rPr>
        <w:t xml:space="preserve">The ONRT model is a </w:t>
      </w:r>
      <w:r w:rsidRPr="00870152">
        <w:rPr>
          <w:lang w:eastAsia="en-US"/>
        </w:rPr>
        <w:t>notional surface combatant developed for research’s purpose and publicly accessible. The model represent</w:t>
      </w:r>
      <w:r w:rsidR="00774856" w:rsidRPr="00870152">
        <w:rPr>
          <w:lang w:eastAsia="en-US"/>
        </w:rPr>
        <w:t>s</w:t>
      </w:r>
      <w:r>
        <w:rPr>
          <w:lang w:eastAsia="en-US"/>
        </w:rPr>
        <w:t xml:space="preserve"> typical high-speed ship, having </w:t>
      </w:r>
      <w:r w:rsidR="00F73A5B">
        <w:rPr>
          <w:lang w:eastAsia="en-US"/>
        </w:rPr>
        <w:t>a</w:t>
      </w:r>
      <w:r>
        <w:rPr>
          <w:lang w:eastAsia="en-US"/>
        </w:rPr>
        <w:t xml:space="preserve"> wave piercing hull design and transom stern. It is characterized by 10° tumblehome sides. </w:t>
      </w:r>
      <w:r w:rsidR="00F71FAF">
        <w:t>The body plan of the ONRT model is reported in Figure</w:t>
      </w:r>
      <w:r w:rsidR="00F203D3">
        <w:t xml:space="preserve"> 2</w:t>
      </w:r>
      <w:r w:rsidR="00F71FAF">
        <w:t>.</w:t>
      </w:r>
    </w:p>
    <w:p w14:paraId="67A97045" w14:textId="77777777" w:rsidR="00F71FAF" w:rsidRDefault="00F71FAF" w:rsidP="00F0179B">
      <w:pPr>
        <w:rPr>
          <w:lang w:eastAsia="en-US"/>
        </w:rPr>
      </w:pPr>
    </w:p>
    <w:p w14:paraId="6A44E759" w14:textId="77777777" w:rsidR="00F71FAF" w:rsidRDefault="00A032BA" w:rsidP="00F71FAF">
      <w:pPr>
        <w:jc w:val="center"/>
        <w:rPr>
          <w:lang w:eastAsia="en-US"/>
        </w:rPr>
      </w:pPr>
      <w:r>
        <w:rPr>
          <w:noProof/>
        </w:rPr>
        <w:lastRenderedPageBreak/>
        <w:drawing>
          <wp:inline distT="0" distB="0" distL="0" distR="0" wp14:anchorId="7B4DB3B1" wp14:editId="6EF385A2">
            <wp:extent cx="1800000" cy="1400626"/>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0000" cy="1400626"/>
                    </a:xfrm>
                    <a:prstGeom prst="rect">
                      <a:avLst/>
                    </a:prstGeom>
                  </pic:spPr>
                </pic:pic>
              </a:graphicData>
            </a:graphic>
          </wp:inline>
        </w:drawing>
      </w:r>
    </w:p>
    <w:p w14:paraId="706C2AD4" w14:textId="77777777" w:rsidR="00CD6D3D" w:rsidRDefault="00CD6D3D" w:rsidP="00F71FAF">
      <w:pPr>
        <w:jc w:val="center"/>
        <w:rPr>
          <w:lang w:eastAsia="en-US"/>
        </w:rPr>
      </w:pPr>
    </w:p>
    <w:p w14:paraId="00B3FDA2" w14:textId="77777777" w:rsidR="00F71FAF" w:rsidRPr="00036AB6" w:rsidRDefault="00F71FAF" w:rsidP="00F71FAF">
      <w:pPr>
        <w:jc w:val="center"/>
        <w:rPr>
          <w:sz w:val="16"/>
          <w:szCs w:val="16"/>
          <w:lang w:eastAsia="en-US"/>
        </w:rPr>
      </w:pPr>
      <w:r w:rsidRPr="00036AB6">
        <w:rPr>
          <w:b/>
          <w:sz w:val="16"/>
          <w:szCs w:val="16"/>
        </w:rPr>
        <w:t>Figure 2.</w:t>
      </w:r>
      <w:r w:rsidRPr="00036AB6">
        <w:rPr>
          <w:sz w:val="16"/>
          <w:szCs w:val="16"/>
        </w:rPr>
        <w:t xml:space="preserve"> ONRT model body plan</w:t>
      </w:r>
    </w:p>
    <w:p w14:paraId="1415D1A6" w14:textId="77777777" w:rsidR="00F71FAF" w:rsidRDefault="00F71FAF" w:rsidP="00F71FAF">
      <w:pPr>
        <w:jc w:val="center"/>
        <w:rPr>
          <w:lang w:eastAsia="en-US"/>
        </w:rPr>
      </w:pPr>
    </w:p>
    <w:p w14:paraId="24187DB6" w14:textId="37212E1F" w:rsidR="00F0179B" w:rsidRDefault="00F0179B" w:rsidP="00F0179B">
      <w:pPr>
        <w:rPr>
          <w:lang w:eastAsia="en-US"/>
        </w:rPr>
      </w:pPr>
      <w:r>
        <w:rPr>
          <w:lang w:eastAsia="en-US"/>
        </w:rPr>
        <w:t>Five draughts were considered, from 4.7 m to</w:t>
      </w:r>
      <w:r w:rsidRPr="00F0179B">
        <w:rPr>
          <w:lang w:eastAsia="en-US"/>
        </w:rPr>
        <w:t xml:space="preserve"> </w:t>
      </w:r>
      <w:r>
        <w:rPr>
          <w:lang w:eastAsia="en-US"/>
        </w:rPr>
        <w:t>the design draught 5.494 m</w:t>
      </w:r>
      <w:r w:rsidR="00350B78">
        <w:rPr>
          <w:lang w:eastAsia="en-US"/>
        </w:rPr>
        <w:t>,</w:t>
      </w:r>
      <w:r w:rsidR="00593E7F">
        <w:rPr>
          <w:lang w:eastAsia="en-US"/>
        </w:rPr>
        <w:t xml:space="preserve"> to investigate if the model is vulnerable to DSC and EA criteria</w:t>
      </w:r>
      <w:r>
        <w:rPr>
          <w:lang w:eastAsia="en-US"/>
        </w:rPr>
        <w:t>; the volume of displacement associated</w:t>
      </w:r>
      <w:r w:rsidRPr="00B43A1B">
        <w:rPr>
          <w:lang w:eastAsia="en-US"/>
        </w:rPr>
        <w:t xml:space="preserve"> </w:t>
      </w:r>
      <w:r>
        <w:rPr>
          <w:lang w:eastAsia="en-US"/>
        </w:rPr>
        <w:t xml:space="preserve">to the lowest draught was about 75% of that </w:t>
      </w:r>
      <w:r w:rsidRPr="00870152">
        <w:rPr>
          <w:lang w:eastAsia="en-US"/>
        </w:rPr>
        <w:t>associated to the highest one. The vessel was assumed in a zero trim condition; lateral acceleration</w:t>
      </w:r>
      <w:r w:rsidR="00774856" w:rsidRPr="00870152">
        <w:rPr>
          <w:lang w:eastAsia="en-US"/>
        </w:rPr>
        <w:t>s</w:t>
      </w:r>
      <w:r w:rsidRPr="00870152">
        <w:rPr>
          <w:lang w:eastAsia="en-US"/>
        </w:rPr>
        <w:t xml:space="preserve"> were</w:t>
      </w:r>
      <w:r>
        <w:rPr>
          <w:lang w:eastAsia="en-US"/>
        </w:rPr>
        <w:t xml:space="preserve"> computed at a point located in the midplane, at 102 meters from the stern and </w:t>
      </w:r>
      <w:r w:rsidR="0036269E">
        <w:rPr>
          <w:lang w:eastAsia="en-US"/>
        </w:rPr>
        <w:t>2</w:t>
      </w:r>
      <w:r>
        <w:rPr>
          <w:lang w:eastAsia="en-US"/>
        </w:rPr>
        <w:t xml:space="preserve">2 from the keel line; a hypothesis on the bilge keels length and span was made. The main dimensions are reported </w:t>
      </w:r>
      <w:r w:rsidRPr="00AE0CA0">
        <w:rPr>
          <w:lang w:eastAsia="en-US"/>
        </w:rPr>
        <w:t xml:space="preserve">in Table </w:t>
      </w:r>
      <w:r w:rsidR="00AE0CA0" w:rsidRPr="00AE0CA0">
        <w:rPr>
          <w:lang w:eastAsia="en-US"/>
        </w:rPr>
        <w:t>1</w:t>
      </w:r>
      <w:r w:rsidRPr="00AE0CA0">
        <w:rPr>
          <w:lang w:eastAsia="en-US"/>
        </w:rPr>
        <w:t>.</w:t>
      </w:r>
      <w:r>
        <w:rPr>
          <w:lang w:eastAsia="en-US"/>
        </w:rPr>
        <w:t xml:space="preserve"> </w:t>
      </w:r>
    </w:p>
    <w:p w14:paraId="5A9B7B21" w14:textId="77777777" w:rsidR="00F0179B" w:rsidRDefault="00F0179B" w:rsidP="00F0179B">
      <w:pPr>
        <w:ind w:firstLine="0"/>
        <w:rPr>
          <w:lang w:eastAsia="en-US"/>
        </w:rPr>
      </w:pPr>
    </w:p>
    <w:p w14:paraId="19CF988A" w14:textId="77777777" w:rsidR="00F0179B" w:rsidRDefault="00F0179B" w:rsidP="00FA77CC">
      <w:pPr>
        <w:pStyle w:val="CaptionLong"/>
        <w:jc w:val="center"/>
      </w:pPr>
      <w:r>
        <w:rPr>
          <w:b/>
        </w:rPr>
        <w:t xml:space="preserve">Table </w:t>
      </w:r>
      <w:r w:rsidR="00AE0CA0">
        <w:rPr>
          <w:b/>
        </w:rPr>
        <w:t>1</w:t>
      </w:r>
      <w:r>
        <w:rPr>
          <w:b/>
        </w:rPr>
        <w:t>.</w:t>
      </w:r>
      <w:r>
        <w:t xml:space="preserve"> </w:t>
      </w:r>
      <w:r w:rsidR="00AE0CA0">
        <w:t xml:space="preserve">D1 and </w:t>
      </w:r>
      <w:r w:rsidR="00FA77CC">
        <w:t>ONRT model</w:t>
      </w:r>
      <w:r w:rsidR="00AE0CA0">
        <w:t>s:</w:t>
      </w:r>
      <w:r w:rsidR="00FA77CC">
        <w:t xml:space="preserve"> main parameters at the design draught</w:t>
      </w:r>
    </w:p>
    <w:tbl>
      <w:tblPr>
        <w:tblW w:w="5668" w:type="dxa"/>
        <w:jc w:val="center"/>
        <w:tblLook w:val="00A0" w:firstRow="1" w:lastRow="0" w:firstColumn="1" w:lastColumn="0" w:noHBand="0" w:noVBand="0"/>
      </w:tblPr>
      <w:tblGrid>
        <w:gridCol w:w="1243"/>
        <w:gridCol w:w="1229"/>
        <w:gridCol w:w="1598"/>
        <w:gridCol w:w="1598"/>
      </w:tblGrid>
      <w:tr w:rsidR="00AE0CA0" w14:paraId="0FCE8FFE" w14:textId="77777777" w:rsidTr="00AE0CA0">
        <w:trPr>
          <w:jc w:val="center"/>
        </w:trPr>
        <w:tc>
          <w:tcPr>
            <w:tcW w:w="1417" w:type="dxa"/>
            <w:tcBorders>
              <w:top w:val="single" w:sz="4" w:space="0" w:color="auto"/>
              <w:bottom w:val="single" w:sz="4" w:space="0" w:color="auto"/>
            </w:tcBorders>
          </w:tcPr>
          <w:p w14:paraId="4C1BA55F" w14:textId="77777777" w:rsidR="00AE0CA0" w:rsidRPr="00D82BC9" w:rsidRDefault="00AE0CA0" w:rsidP="00AE0CA0">
            <w:pPr>
              <w:ind w:firstLine="0"/>
              <w:jc w:val="right"/>
              <w:rPr>
                <w:b/>
                <w:sz w:val="16"/>
                <w:szCs w:val="16"/>
              </w:rPr>
            </w:pPr>
            <w:r>
              <w:rPr>
                <w:b/>
                <w:sz w:val="16"/>
                <w:szCs w:val="16"/>
              </w:rPr>
              <w:t>Particular</w:t>
            </w:r>
          </w:p>
        </w:tc>
        <w:tc>
          <w:tcPr>
            <w:tcW w:w="1417" w:type="dxa"/>
            <w:tcBorders>
              <w:top w:val="single" w:sz="4" w:space="0" w:color="auto"/>
              <w:bottom w:val="single" w:sz="4" w:space="0" w:color="auto"/>
            </w:tcBorders>
          </w:tcPr>
          <w:p w14:paraId="5BA4130A" w14:textId="77777777" w:rsidR="00AE0CA0" w:rsidRPr="00D82BC9" w:rsidRDefault="00AE0CA0" w:rsidP="00AE0CA0">
            <w:pPr>
              <w:ind w:firstLine="0"/>
              <w:jc w:val="right"/>
              <w:rPr>
                <w:b/>
                <w:sz w:val="16"/>
                <w:szCs w:val="16"/>
              </w:rPr>
            </w:pPr>
            <w:r>
              <w:rPr>
                <w:b/>
                <w:sz w:val="16"/>
                <w:szCs w:val="16"/>
              </w:rPr>
              <w:t>Unit</w:t>
            </w:r>
          </w:p>
        </w:tc>
        <w:tc>
          <w:tcPr>
            <w:tcW w:w="1417" w:type="dxa"/>
            <w:tcBorders>
              <w:top w:val="single" w:sz="4" w:space="0" w:color="auto"/>
              <w:bottom w:val="single" w:sz="4" w:space="0" w:color="auto"/>
            </w:tcBorders>
          </w:tcPr>
          <w:p w14:paraId="407B4531" w14:textId="77777777" w:rsidR="00AE0CA0" w:rsidRPr="00D82BC9" w:rsidRDefault="00AE0CA0" w:rsidP="00AE0CA0">
            <w:pPr>
              <w:ind w:firstLine="0"/>
              <w:jc w:val="right"/>
              <w:rPr>
                <w:b/>
                <w:sz w:val="16"/>
                <w:szCs w:val="16"/>
              </w:rPr>
            </w:pPr>
            <w:r>
              <w:rPr>
                <w:b/>
                <w:sz w:val="16"/>
                <w:szCs w:val="16"/>
              </w:rPr>
              <w:t>D1</w:t>
            </w:r>
          </w:p>
        </w:tc>
        <w:tc>
          <w:tcPr>
            <w:tcW w:w="1417" w:type="dxa"/>
            <w:tcBorders>
              <w:top w:val="single" w:sz="4" w:space="0" w:color="auto"/>
              <w:bottom w:val="single" w:sz="4" w:space="0" w:color="auto"/>
            </w:tcBorders>
          </w:tcPr>
          <w:p w14:paraId="541A4B7B" w14:textId="77777777" w:rsidR="00AE0CA0" w:rsidRDefault="00AE0CA0" w:rsidP="00AE0CA0">
            <w:pPr>
              <w:ind w:firstLine="0"/>
              <w:jc w:val="right"/>
              <w:rPr>
                <w:b/>
                <w:sz w:val="16"/>
                <w:szCs w:val="16"/>
              </w:rPr>
            </w:pPr>
            <w:r>
              <w:rPr>
                <w:b/>
                <w:sz w:val="16"/>
                <w:szCs w:val="16"/>
              </w:rPr>
              <w:t>ONRT</w:t>
            </w:r>
          </w:p>
        </w:tc>
      </w:tr>
      <w:tr w:rsidR="00AE0CA0" w14:paraId="46BFD4DC" w14:textId="77777777" w:rsidTr="00AE0CA0">
        <w:trPr>
          <w:jc w:val="center"/>
        </w:trPr>
        <w:tc>
          <w:tcPr>
            <w:tcW w:w="1417" w:type="dxa"/>
            <w:tcBorders>
              <w:top w:val="single" w:sz="4" w:space="0" w:color="auto"/>
            </w:tcBorders>
          </w:tcPr>
          <w:p w14:paraId="0276C2BE" w14:textId="77777777" w:rsidR="00AE0CA0" w:rsidRPr="00FA77CC" w:rsidRDefault="00AE0CA0" w:rsidP="00AE0CA0">
            <w:pPr>
              <w:tabs>
                <w:tab w:val="decimal" w:pos="1026"/>
              </w:tabs>
              <w:ind w:firstLine="0"/>
              <w:jc w:val="right"/>
              <w:rPr>
                <w:sz w:val="16"/>
                <w:szCs w:val="16"/>
                <w:vertAlign w:val="subscript"/>
              </w:rPr>
            </w:pPr>
            <w:r>
              <w:rPr>
                <w:sz w:val="16"/>
                <w:szCs w:val="16"/>
              </w:rPr>
              <w:t>L</w:t>
            </w:r>
          </w:p>
        </w:tc>
        <w:tc>
          <w:tcPr>
            <w:tcW w:w="1417" w:type="dxa"/>
            <w:tcBorders>
              <w:top w:val="single" w:sz="4" w:space="0" w:color="auto"/>
            </w:tcBorders>
          </w:tcPr>
          <w:p w14:paraId="2119A0BB" w14:textId="77777777" w:rsidR="00AE0CA0" w:rsidRDefault="00AE0CA0" w:rsidP="00AE0CA0">
            <w:pPr>
              <w:tabs>
                <w:tab w:val="decimal" w:pos="1013"/>
              </w:tabs>
              <w:ind w:firstLine="0"/>
              <w:jc w:val="right"/>
              <w:rPr>
                <w:sz w:val="16"/>
                <w:szCs w:val="16"/>
              </w:rPr>
            </w:pPr>
            <w:r>
              <w:rPr>
                <w:sz w:val="16"/>
                <w:szCs w:val="16"/>
              </w:rPr>
              <w:t>m</w:t>
            </w:r>
          </w:p>
        </w:tc>
        <w:tc>
          <w:tcPr>
            <w:tcW w:w="1417" w:type="dxa"/>
            <w:tcBorders>
              <w:top w:val="single" w:sz="4" w:space="0" w:color="auto"/>
            </w:tcBorders>
          </w:tcPr>
          <w:p w14:paraId="6F37F821" w14:textId="77777777" w:rsidR="00AE0CA0" w:rsidRDefault="00AE0CA0" w:rsidP="00AE0CA0">
            <w:pPr>
              <w:tabs>
                <w:tab w:val="decimal" w:pos="1101"/>
              </w:tabs>
              <w:ind w:firstLine="0"/>
              <w:jc w:val="right"/>
              <w:rPr>
                <w:sz w:val="16"/>
                <w:szCs w:val="16"/>
              </w:rPr>
            </w:pPr>
            <w:r>
              <w:rPr>
                <w:sz w:val="16"/>
                <w:szCs w:val="16"/>
              </w:rPr>
              <w:t>90.0</w:t>
            </w:r>
          </w:p>
        </w:tc>
        <w:tc>
          <w:tcPr>
            <w:tcW w:w="1417" w:type="dxa"/>
            <w:tcBorders>
              <w:top w:val="single" w:sz="4" w:space="0" w:color="auto"/>
            </w:tcBorders>
          </w:tcPr>
          <w:p w14:paraId="513704CC" w14:textId="77777777" w:rsidR="00AE0CA0" w:rsidRDefault="00AE0CA0" w:rsidP="00AE0CA0">
            <w:pPr>
              <w:tabs>
                <w:tab w:val="decimal" w:pos="1101"/>
              </w:tabs>
              <w:ind w:firstLine="0"/>
              <w:jc w:val="right"/>
              <w:rPr>
                <w:sz w:val="16"/>
                <w:szCs w:val="16"/>
              </w:rPr>
            </w:pPr>
            <w:r>
              <w:rPr>
                <w:sz w:val="16"/>
                <w:szCs w:val="16"/>
              </w:rPr>
              <w:t>154.0</w:t>
            </w:r>
          </w:p>
        </w:tc>
      </w:tr>
      <w:tr w:rsidR="00AE0CA0" w14:paraId="54800ED1" w14:textId="77777777" w:rsidTr="00AE0CA0">
        <w:trPr>
          <w:jc w:val="center"/>
        </w:trPr>
        <w:tc>
          <w:tcPr>
            <w:tcW w:w="1417" w:type="dxa"/>
          </w:tcPr>
          <w:p w14:paraId="4855D217" w14:textId="77777777" w:rsidR="00AE0CA0" w:rsidRDefault="00AE0CA0" w:rsidP="00AE0CA0">
            <w:pPr>
              <w:tabs>
                <w:tab w:val="decimal" w:pos="1026"/>
              </w:tabs>
              <w:ind w:firstLine="0"/>
              <w:jc w:val="right"/>
              <w:rPr>
                <w:sz w:val="16"/>
                <w:szCs w:val="16"/>
              </w:rPr>
            </w:pPr>
            <w:r>
              <w:rPr>
                <w:sz w:val="16"/>
                <w:szCs w:val="16"/>
              </w:rPr>
              <w:t>B</w:t>
            </w:r>
          </w:p>
        </w:tc>
        <w:tc>
          <w:tcPr>
            <w:tcW w:w="1417" w:type="dxa"/>
          </w:tcPr>
          <w:p w14:paraId="1F6991DA" w14:textId="77777777" w:rsidR="00AE0CA0" w:rsidRDefault="00AE0CA0" w:rsidP="00AE0CA0">
            <w:pPr>
              <w:tabs>
                <w:tab w:val="decimal" w:pos="1013"/>
              </w:tabs>
              <w:ind w:firstLine="0"/>
              <w:jc w:val="right"/>
              <w:rPr>
                <w:sz w:val="16"/>
                <w:szCs w:val="16"/>
              </w:rPr>
            </w:pPr>
            <w:r>
              <w:rPr>
                <w:sz w:val="16"/>
                <w:szCs w:val="16"/>
              </w:rPr>
              <w:t>m</w:t>
            </w:r>
          </w:p>
        </w:tc>
        <w:tc>
          <w:tcPr>
            <w:tcW w:w="1417" w:type="dxa"/>
          </w:tcPr>
          <w:p w14:paraId="300D1557" w14:textId="77777777" w:rsidR="00AE0CA0" w:rsidRDefault="00AE0CA0" w:rsidP="00AE0CA0">
            <w:pPr>
              <w:tabs>
                <w:tab w:val="decimal" w:pos="1101"/>
              </w:tabs>
              <w:ind w:firstLine="0"/>
              <w:jc w:val="right"/>
              <w:rPr>
                <w:sz w:val="16"/>
                <w:szCs w:val="16"/>
              </w:rPr>
            </w:pPr>
            <w:r>
              <w:rPr>
                <w:sz w:val="16"/>
                <w:szCs w:val="16"/>
              </w:rPr>
              <w:t>13.5</w:t>
            </w:r>
          </w:p>
        </w:tc>
        <w:tc>
          <w:tcPr>
            <w:tcW w:w="1417" w:type="dxa"/>
          </w:tcPr>
          <w:p w14:paraId="00F8667A" w14:textId="77777777" w:rsidR="00AE0CA0" w:rsidRDefault="00AE0CA0" w:rsidP="00AE0CA0">
            <w:pPr>
              <w:tabs>
                <w:tab w:val="decimal" w:pos="1101"/>
              </w:tabs>
              <w:ind w:firstLine="0"/>
              <w:jc w:val="right"/>
              <w:rPr>
                <w:sz w:val="16"/>
                <w:szCs w:val="16"/>
              </w:rPr>
            </w:pPr>
            <w:r>
              <w:rPr>
                <w:sz w:val="16"/>
                <w:szCs w:val="16"/>
              </w:rPr>
              <w:t>18.78</w:t>
            </w:r>
          </w:p>
        </w:tc>
      </w:tr>
      <w:tr w:rsidR="00AE0CA0" w14:paraId="7F1E489E" w14:textId="77777777" w:rsidTr="00AE0CA0">
        <w:trPr>
          <w:jc w:val="center"/>
        </w:trPr>
        <w:tc>
          <w:tcPr>
            <w:tcW w:w="1417" w:type="dxa"/>
          </w:tcPr>
          <w:p w14:paraId="4FC5401E" w14:textId="77777777" w:rsidR="00AE0CA0" w:rsidRDefault="00AE0CA0" w:rsidP="00AE0CA0">
            <w:pPr>
              <w:tabs>
                <w:tab w:val="decimal" w:pos="1026"/>
              </w:tabs>
              <w:ind w:firstLine="0"/>
              <w:jc w:val="right"/>
              <w:rPr>
                <w:sz w:val="16"/>
                <w:szCs w:val="16"/>
              </w:rPr>
            </w:pPr>
            <w:r>
              <w:rPr>
                <w:sz w:val="16"/>
                <w:szCs w:val="16"/>
              </w:rPr>
              <w:t>d</w:t>
            </w:r>
          </w:p>
        </w:tc>
        <w:tc>
          <w:tcPr>
            <w:tcW w:w="1417" w:type="dxa"/>
          </w:tcPr>
          <w:p w14:paraId="5D399C2F" w14:textId="77777777" w:rsidR="00AE0CA0" w:rsidRDefault="00AE0CA0" w:rsidP="00AE0CA0">
            <w:pPr>
              <w:tabs>
                <w:tab w:val="decimal" w:pos="1013"/>
              </w:tabs>
              <w:ind w:firstLine="0"/>
              <w:jc w:val="right"/>
              <w:rPr>
                <w:sz w:val="16"/>
                <w:szCs w:val="16"/>
              </w:rPr>
            </w:pPr>
            <w:r>
              <w:rPr>
                <w:sz w:val="16"/>
                <w:szCs w:val="16"/>
              </w:rPr>
              <w:t>m</w:t>
            </w:r>
          </w:p>
        </w:tc>
        <w:tc>
          <w:tcPr>
            <w:tcW w:w="1417" w:type="dxa"/>
          </w:tcPr>
          <w:p w14:paraId="06299663" w14:textId="77777777" w:rsidR="00AE0CA0" w:rsidRDefault="00AE0CA0" w:rsidP="00AE0CA0">
            <w:pPr>
              <w:tabs>
                <w:tab w:val="decimal" w:pos="1101"/>
              </w:tabs>
              <w:ind w:firstLine="0"/>
              <w:jc w:val="right"/>
              <w:rPr>
                <w:sz w:val="16"/>
                <w:szCs w:val="16"/>
              </w:rPr>
            </w:pPr>
            <w:r>
              <w:rPr>
                <w:sz w:val="16"/>
                <w:szCs w:val="16"/>
              </w:rPr>
              <w:t>3.6</w:t>
            </w:r>
          </w:p>
        </w:tc>
        <w:tc>
          <w:tcPr>
            <w:tcW w:w="1417" w:type="dxa"/>
          </w:tcPr>
          <w:p w14:paraId="047B093E" w14:textId="77777777" w:rsidR="00AE0CA0" w:rsidRDefault="00AE0CA0" w:rsidP="00AE0CA0">
            <w:pPr>
              <w:tabs>
                <w:tab w:val="decimal" w:pos="1101"/>
              </w:tabs>
              <w:ind w:firstLine="0"/>
              <w:jc w:val="right"/>
              <w:rPr>
                <w:sz w:val="16"/>
                <w:szCs w:val="16"/>
              </w:rPr>
            </w:pPr>
            <w:r>
              <w:rPr>
                <w:sz w:val="16"/>
                <w:szCs w:val="16"/>
              </w:rPr>
              <w:t>5.494</w:t>
            </w:r>
          </w:p>
        </w:tc>
      </w:tr>
      <w:tr w:rsidR="00AE0CA0" w14:paraId="08D5E632" w14:textId="77777777" w:rsidTr="00AE0CA0">
        <w:trPr>
          <w:jc w:val="center"/>
        </w:trPr>
        <w:tc>
          <w:tcPr>
            <w:tcW w:w="1417" w:type="dxa"/>
          </w:tcPr>
          <w:p w14:paraId="47D4BEF9" w14:textId="77777777" w:rsidR="00AE0CA0" w:rsidRDefault="00AE0CA0" w:rsidP="00AE0CA0">
            <w:pPr>
              <w:tabs>
                <w:tab w:val="decimal" w:pos="1026"/>
              </w:tabs>
              <w:ind w:firstLine="0"/>
              <w:jc w:val="right"/>
              <w:rPr>
                <w:sz w:val="16"/>
                <w:szCs w:val="16"/>
              </w:rPr>
            </w:pPr>
            <w:r>
              <w:rPr>
                <w:rFonts w:ascii="Constantia" w:hAnsi="Constantia"/>
                <w:sz w:val="16"/>
                <w:szCs w:val="16"/>
              </w:rPr>
              <w:t>Δ</w:t>
            </w:r>
          </w:p>
        </w:tc>
        <w:tc>
          <w:tcPr>
            <w:tcW w:w="1417" w:type="dxa"/>
          </w:tcPr>
          <w:p w14:paraId="47AF2DC0" w14:textId="77777777" w:rsidR="00AE0CA0" w:rsidRDefault="00AE0CA0" w:rsidP="00AE0CA0">
            <w:pPr>
              <w:tabs>
                <w:tab w:val="decimal" w:pos="1013"/>
              </w:tabs>
              <w:ind w:firstLine="0"/>
              <w:jc w:val="right"/>
              <w:rPr>
                <w:sz w:val="16"/>
                <w:szCs w:val="16"/>
              </w:rPr>
            </w:pPr>
            <w:r>
              <w:rPr>
                <w:sz w:val="16"/>
                <w:szCs w:val="16"/>
              </w:rPr>
              <w:t>t</w:t>
            </w:r>
          </w:p>
        </w:tc>
        <w:tc>
          <w:tcPr>
            <w:tcW w:w="1417" w:type="dxa"/>
          </w:tcPr>
          <w:p w14:paraId="267AE9AE" w14:textId="77777777" w:rsidR="00AE0CA0" w:rsidRDefault="00AE0CA0" w:rsidP="00AE0CA0">
            <w:pPr>
              <w:tabs>
                <w:tab w:val="decimal" w:pos="1101"/>
              </w:tabs>
              <w:ind w:firstLine="0"/>
              <w:jc w:val="right"/>
              <w:rPr>
                <w:sz w:val="16"/>
                <w:szCs w:val="16"/>
              </w:rPr>
            </w:pPr>
            <w:r>
              <w:rPr>
                <w:sz w:val="16"/>
                <w:szCs w:val="16"/>
              </w:rPr>
              <w:t>2215.0</w:t>
            </w:r>
          </w:p>
        </w:tc>
        <w:tc>
          <w:tcPr>
            <w:tcW w:w="1417" w:type="dxa"/>
          </w:tcPr>
          <w:p w14:paraId="54638443" w14:textId="77777777" w:rsidR="00AE0CA0" w:rsidRDefault="00AE0CA0" w:rsidP="00AE0CA0">
            <w:pPr>
              <w:tabs>
                <w:tab w:val="decimal" w:pos="1101"/>
              </w:tabs>
              <w:ind w:firstLine="0"/>
              <w:jc w:val="right"/>
              <w:rPr>
                <w:sz w:val="16"/>
                <w:szCs w:val="16"/>
              </w:rPr>
            </w:pPr>
            <w:r>
              <w:rPr>
                <w:sz w:val="16"/>
                <w:szCs w:val="16"/>
              </w:rPr>
              <w:t>8596.0</w:t>
            </w:r>
          </w:p>
        </w:tc>
      </w:tr>
      <w:tr w:rsidR="00AE0CA0" w14:paraId="160DBF19" w14:textId="77777777" w:rsidTr="00AE0CA0">
        <w:trPr>
          <w:jc w:val="center"/>
        </w:trPr>
        <w:tc>
          <w:tcPr>
            <w:tcW w:w="1417" w:type="dxa"/>
          </w:tcPr>
          <w:p w14:paraId="10ECB634" w14:textId="77777777" w:rsidR="00AE0CA0" w:rsidRDefault="00AE0CA0" w:rsidP="00AE0CA0">
            <w:pPr>
              <w:tabs>
                <w:tab w:val="decimal" w:pos="1026"/>
              </w:tabs>
              <w:ind w:firstLine="0"/>
              <w:jc w:val="right"/>
              <w:rPr>
                <w:rFonts w:ascii="Constantia" w:hAnsi="Constantia"/>
                <w:sz w:val="16"/>
                <w:szCs w:val="16"/>
              </w:rPr>
            </w:pPr>
            <w:r>
              <w:rPr>
                <w:sz w:val="16"/>
                <w:szCs w:val="16"/>
              </w:rPr>
              <w:t>C</w:t>
            </w:r>
            <w:r>
              <w:rPr>
                <w:sz w:val="16"/>
                <w:szCs w:val="16"/>
                <w:vertAlign w:val="subscript"/>
              </w:rPr>
              <w:t>B</w:t>
            </w:r>
          </w:p>
        </w:tc>
        <w:tc>
          <w:tcPr>
            <w:tcW w:w="1417" w:type="dxa"/>
          </w:tcPr>
          <w:p w14:paraId="6416988B" w14:textId="77777777" w:rsidR="00AE0CA0" w:rsidRDefault="00AE0CA0" w:rsidP="00AE0CA0">
            <w:pPr>
              <w:tabs>
                <w:tab w:val="decimal" w:pos="1013"/>
              </w:tabs>
              <w:ind w:firstLine="0"/>
              <w:jc w:val="right"/>
              <w:rPr>
                <w:sz w:val="16"/>
                <w:szCs w:val="16"/>
              </w:rPr>
            </w:pPr>
            <w:r>
              <w:rPr>
                <w:sz w:val="16"/>
                <w:szCs w:val="16"/>
              </w:rPr>
              <w:t>-</w:t>
            </w:r>
          </w:p>
        </w:tc>
        <w:tc>
          <w:tcPr>
            <w:tcW w:w="1417" w:type="dxa"/>
          </w:tcPr>
          <w:p w14:paraId="51E6FA6A" w14:textId="77777777" w:rsidR="00AE0CA0" w:rsidRDefault="00AE0CA0" w:rsidP="00AE0CA0">
            <w:pPr>
              <w:tabs>
                <w:tab w:val="decimal" w:pos="1101"/>
              </w:tabs>
              <w:ind w:firstLine="0"/>
              <w:jc w:val="right"/>
              <w:rPr>
                <w:sz w:val="16"/>
                <w:szCs w:val="16"/>
              </w:rPr>
            </w:pPr>
            <w:r>
              <w:rPr>
                <w:sz w:val="16"/>
                <w:szCs w:val="16"/>
              </w:rPr>
              <w:t>0.50</w:t>
            </w:r>
          </w:p>
        </w:tc>
        <w:tc>
          <w:tcPr>
            <w:tcW w:w="1417" w:type="dxa"/>
          </w:tcPr>
          <w:p w14:paraId="2521A042" w14:textId="77777777" w:rsidR="00AE0CA0" w:rsidRDefault="00AE0CA0" w:rsidP="00AE0CA0">
            <w:pPr>
              <w:tabs>
                <w:tab w:val="decimal" w:pos="1101"/>
              </w:tabs>
              <w:ind w:firstLine="0"/>
              <w:jc w:val="right"/>
              <w:rPr>
                <w:sz w:val="16"/>
                <w:szCs w:val="16"/>
              </w:rPr>
            </w:pPr>
            <w:r>
              <w:rPr>
                <w:sz w:val="16"/>
                <w:szCs w:val="16"/>
              </w:rPr>
              <w:t>0.535</w:t>
            </w:r>
          </w:p>
        </w:tc>
      </w:tr>
      <w:tr w:rsidR="00AE0CA0" w14:paraId="585EA3ED" w14:textId="77777777" w:rsidTr="00AE0CA0">
        <w:trPr>
          <w:jc w:val="center"/>
        </w:trPr>
        <w:tc>
          <w:tcPr>
            <w:tcW w:w="1417" w:type="dxa"/>
          </w:tcPr>
          <w:p w14:paraId="2868E19F" w14:textId="77777777" w:rsidR="00AE0CA0" w:rsidRPr="00FA77CC" w:rsidRDefault="00AE0CA0" w:rsidP="00AE0CA0">
            <w:pPr>
              <w:tabs>
                <w:tab w:val="decimal" w:pos="1026"/>
              </w:tabs>
              <w:ind w:firstLine="0"/>
              <w:jc w:val="right"/>
              <w:rPr>
                <w:sz w:val="16"/>
                <w:szCs w:val="16"/>
                <w:vertAlign w:val="subscript"/>
              </w:rPr>
            </w:pPr>
            <w:r>
              <w:rPr>
                <w:sz w:val="16"/>
                <w:szCs w:val="16"/>
              </w:rPr>
              <w:t>C</w:t>
            </w:r>
            <w:r>
              <w:rPr>
                <w:sz w:val="16"/>
                <w:szCs w:val="16"/>
                <w:vertAlign w:val="subscript"/>
              </w:rPr>
              <w:t>m</w:t>
            </w:r>
          </w:p>
        </w:tc>
        <w:tc>
          <w:tcPr>
            <w:tcW w:w="1417" w:type="dxa"/>
          </w:tcPr>
          <w:p w14:paraId="5AA46BCC" w14:textId="77777777" w:rsidR="00AE0CA0" w:rsidRDefault="00AE0CA0" w:rsidP="00AE0CA0">
            <w:pPr>
              <w:tabs>
                <w:tab w:val="decimal" w:pos="1013"/>
              </w:tabs>
              <w:ind w:firstLine="0"/>
              <w:jc w:val="right"/>
              <w:rPr>
                <w:sz w:val="16"/>
                <w:szCs w:val="16"/>
              </w:rPr>
            </w:pPr>
            <w:r>
              <w:rPr>
                <w:sz w:val="16"/>
                <w:szCs w:val="16"/>
              </w:rPr>
              <w:t>-</w:t>
            </w:r>
          </w:p>
        </w:tc>
        <w:tc>
          <w:tcPr>
            <w:tcW w:w="1417" w:type="dxa"/>
          </w:tcPr>
          <w:p w14:paraId="70C8658C" w14:textId="77777777" w:rsidR="00AE0CA0" w:rsidRDefault="00AE0CA0" w:rsidP="00AE0CA0">
            <w:pPr>
              <w:tabs>
                <w:tab w:val="decimal" w:pos="1101"/>
              </w:tabs>
              <w:ind w:firstLine="0"/>
              <w:jc w:val="right"/>
              <w:rPr>
                <w:sz w:val="16"/>
                <w:szCs w:val="16"/>
              </w:rPr>
            </w:pPr>
            <w:r>
              <w:rPr>
                <w:sz w:val="16"/>
                <w:szCs w:val="16"/>
              </w:rPr>
              <w:t>0.80</w:t>
            </w:r>
          </w:p>
        </w:tc>
        <w:tc>
          <w:tcPr>
            <w:tcW w:w="1417" w:type="dxa"/>
          </w:tcPr>
          <w:p w14:paraId="52EC900A" w14:textId="77777777" w:rsidR="00AE0CA0" w:rsidRDefault="00AE0CA0" w:rsidP="00AE0CA0">
            <w:pPr>
              <w:tabs>
                <w:tab w:val="decimal" w:pos="1101"/>
              </w:tabs>
              <w:ind w:firstLine="0"/>
              <w:jc w:val="right"/>
              <w:rPr>
                <w:sz w:val="16"/>
                <w:szCs w:val="16"/>
              </w:rPr>
            </w:pPr>
            <w:r>
              <w:rPr>
                <w:sz w:val="16"/>
                <w:szCs w:val="16"/>
              </w:rPr>
              <w:t>0.837</w:t>
            </w:r>
          </w:p>
        </w:tc>
      </w:tr>
      <w:tr w:rsidR="00AE0CA0" w14:paraId="2D225F06" w14:textId="77777777" w:rsidTr="00AE0CA0">
        <w:trPr>
          <w:jc w:val="center"/>
        </w:trPr>
        <w:tc>
          <w:tcPr>
            <w:tcW w:w="1417" w:type="dxa"/>
          </w:tcPr>
          <w:p w14:paraId="41C3A233" w14:textId="22D03D8D" w:rsidR="00AE0CA0" w:rsidRPr="00FA77CC" w:rsidRDefault="00AE0CA0" w:rsidP="00AE0CA0">
            <w:pPr>
              <w:tabs>
                <w:tab w:val="decimal" w:pos="1026"/>
              </w:tabs>
              <w:ind w:firstLine="0"/>
              <w:jc w:val="right"/>
              <w:rPr>
                <w:sz w:val="16"/>
                <w:szCs w:val="16"/>
                <w:vertAlign w:val="subscript"/>
              </w:rPr>
            </w:pPr>
            <w:r>
              <w:rPr>
                <w:sz w:val="16"/>
                <w:szCs w:val="16"/>
              </w:rPr>
              <w:t>l</w:t>
            </w:r>
            <w:r>
              <w:rPr>
                <w:sz w:val="16"/>
                <w:szCs w:val="16"/>
                <w:vertAlign w:val="subscript"/>
              </w:rPr>
              <w:t>BK</w:t>
            </w:r>
            <w:r>
              <w:rPr>
                <w:sz w:val="16"/>
                <w:szCs w:val="16"/>
              </w:rPr>
              <w:t>/L</w:t>
            </w:r>
          </w:p>
        </w:tc>
        <w:tc>
          <w:tcPr>
            <w:tcW w:w="1417" w:type="dxa"/>
          </w:tcPr>
          <w:p w14:paraId="093255F9" w14:textId="77777777" w:rsidR="00AE0CA0" w:rsidRDefault="00AE0CA0" w:rsidP="00AE0CA0">
            <w:pPr>
              <w:tabs>
                <w:tab w:val="decimal" w:pos="1013"/>
              </w:tabs>
              <w:ind w:firstLine="0"/>
              <w:jc w:val="right"/>
              <w:rPr>
                <w:sz w:val="16"/>
                <w:szCs w:val="16"/>
              </w:rPr>
            </w:pPr>
            <w:r>
              <w:rPr>
                <w:sz w:val="16"/>
                <w:szCs w:val="16"/>
              </w:rPr>
              <w:t>-</w:t>
            </w:r>
          </w:p>
        </w:tc>
        <w:tc>
          <w:tcPr>
            <w:tcW w:w="1417" w:type="dxa"/>
          </w:tcPr>
          <w:p w14:paraId="6B18E3F5" w14:textId="77777777" w:rsidR="00AE0CA0" w:rsidRDefault="00AE0CA0" w:rsidP="00AE0CA0">
            <w:pPr>
              <w:tabs>
                <w:tab w:val="decimal" w:pos="1101"/>
              </w:tabs>
              <w:ind w:firstLine="0"/>
              <w:jc w:val="right"/>
              <w:rPr>
                <w:sz w:val="16"/>
                <w:szCs w:val="16"/>
              </w:rPr>
            </w:pPr>
            <w:r>
              <w:rPr>
                <w:sz w:val="16"/>
                <w:szCs w:val="16"/>
              </w:rPr>
              <w:t>0.40</w:t>
            </w:r>
          </w:p>
        </w:tc>
        <w:tc>
          <w:tcPr>
            <w:tcW w:w="1417" w:type="dxa"/>
          </w:tcPr>
          <w:p w14:paraId="34EE182E" w14:textId="77777777" w:rsidR="00AE0CA0" w:rsidRDefault="00AE0CA0" w:rsidP="00AE0CA0">
            <w:pPr>
              <w:tabs>
                <w:tab w:val="decimal" w:pos="1101"/>
              </w:tabs>
              <w:ind w:firstLine="0"/>
              <w:jc w:val="right"/>
              <w:rPr>
                <w:sz w:val="16"/>
                <w:szCs w:val="16"/>
              </w:rPr>
            </w:pPr>
            <w:r>
              <w:rPr>
                <w:sz w:val="16"/>
                <w:szCs w:val="16"/>
              </w:rPr>
              <w:t>0.33</w:t>
            </w:r>
          </w:p>
        </w:tc>
      </w:tr>
      <w:tr w:rsidR="00AE0CA0" w14:paraId="08BB30FF" w14:textId="77777777" w:rsidTr="00AE0CA0">
        <w:trPr>
          <w:jc w:val="center"/>
        </w:trPr>
        <w:tc>
          <w:tcPr>
            <w:tcW w:w="1417" w:type="dxa"/>
          </w:tcPr>
          <w:p w14:paraId="1AA43981" w14:textId="77777777" w:rsidR="00AE0CA0" w:rsidRDefault="00AE0CA0" w:rsidP="00AE0CA0">
            <w:pPr>
              <w:tabs>
                <w:tab w:val="decimal" w:pos="1026"/>
              </w:tabs>
              <w:ind w:firstLine="0"/>
              <w:jc w:val="right"/>
              <w:rPr>
                <w:sz w:val="16"/>
                <w:szCs w:val="16"/>
              </w:rPr>
            </w:pPr>
            <w:r>
              <w:rPr>
                <w:sz w:val="16"/>
                <w:szCs w:val="16"/>
              </w:rPr>
              <w:t>b</w:t>
            </w:r>
            <w:r>
              <w:rPr>
                <w:sz w:val="16"/>
                <w:szCs w:val="16"/>
                <w:vertAlign w:val="subscript"/>
              </w:rPr>
              <w:t>BK</w:t>
            </w:r>
            <w:r>
              <w:rPr>
                <w:sz w:val="16"/>
                <w:szCs w:val="16"/>
              </w:rPr>
              <w:t>/B</w:t>
            </w:r>
          </w:p>
        </w:tc>
        <w:tc>
          <w:tcPr>
            <w:tcW w:w="1417" w:type="dxa"/>
          </w:tcPr>
          <w:p w14:paraId="293ED8EA" w14:textId="77777777" w:rsidR="00AE0CA0" w:rsidRDefault="00AE0CA0" w:rsidP="00AE0CA0">
            <w:pPr>
              <w:tabs>
                <w:tab w:val="decimal" w:pos="1013"/>
              </w:tabs>
              <w:ind w:firstLine="0"/>
              <w:jc w:val="right"/>
              <w:rPr>
                <w:sz w:val="16"/>
                <w:szCs w:val="16"/>
              </w:rPr>
            </w:pPr>
            <w:r>
              <w:rPr>
                <w:sz w:val="16"/>
                <w:szCs w:val="16"/>
              </w:rPr>
              <w:t>-</w:t>
            </w:r>
          </w:p>
        </w:tc>
        <w:tc>
          <w:tcPr>
            <w:tcW w:w="1417" w:type="dxa"/>
          </w:tcPr>
          <w:p w14:paraId="6B1454AF" w14:textId="77777777" w:rsidR="00AE0CA0" w:rsidRDefault="00AE0CA0" w:rsidP="00AE0CA0">
            <w:pPr>
              <w:tabs>
                <w:tab w:val="decimal" w:pos="1101"/>
              </w:tabs>
              <w:ind w:firstLine="0"/>
              <w:jc w:val="right"/>
              <w:rPr>
                <w:sz w:val="16"/>
                <w:szCs w:val="16"/>
              </w:rPr>
            </w:pPr>
            <w:r>
              <w:rPr>
                <w:sz w:val="16"/>
                <w:szCs w:val="16"/>
              </w:rPr>
              <w:t>0.032</w:t>
            </w:r>
          </w:p>
        </w:tc>
        <w:tc>
          <w:tcPr>
            <w:tcW w:w="1417" w:type="dxa"/>
          </w:tcPr>
          <w:p w14:paraId="0601A8F3" w14:textId="77777777" w:rsidR="00AE0CA0" w:rsidRDefault="00AE0CA0" w:rsidP="00AE0CA0">
            <w:pPr>
              <w:tabs>
                <w:tab w:val="decimal" w:pos="1101"/>
              </w:tabs>
              <w:ind w:firstLine="0"/>
              <w:jc w:val="right"/>
              <w:rPr>
                <w:sz w:val="16"/>
                <w:szCs w:val="16"/>
              </w:rPr>
            </w:pPr>
            <w:r>
              <w:rPr>
                <w:sz w:val="16"/>
                <w:szCs w:val="16"/>
              </w:rPr>
              <w:t>0.067</w:t>
            </w:r>
          </w:p>
        </w:tc>
      </w:tr>
      <w:tr w:rsidR="00AE0CA0" w14:paraId="7870D8A5" w14:textId="77777777" w:rsidTr="00AE0CA0">
        <w:trPr>
          <w:jc w:val="center"/>
        </w:trPr>
        <w:tc>
          <w:tcPr>
            <w:tcW w:w="1417" w:type="dxa"/>
            <w:tcBorders>
              <w:bottom w:val="single" w:sz="4" w:space="0" w:color="auto"/>
            </w:tcBorders>
          </w:tcPr>
          <w:p w14:paraId="10535B64" w14:textId="77777777" w:rsidR="00AE0CA0" w:rsidRDefault="00AE0CA0" w:rsidP="00AE0CA0">
            <w:pPr>
              <w:tabs>
                <w:tab w:val="decimal" w:pos="1026"/>
              </w:tabs>
              <w:ind w:firstLine="0"/>
              <w:jc w:val="right"/>
              <w:rPr>
                <w:sz w:val="16"/>
                <w:szCs w:val="16"/>
              </w:rPr>
            </w:pPr>
            <w:r>
              <w:rPr>
                <w:sz w:val="16"/>
                <w:szCs w:val="16"/>
              </w:rPr>
              <w:t>A</w:t>
            </w:r>
            <w:r>
              <w:rPr>
                <w:sz w:val="16"/>
                <w:szCs w:val="16"/>
                <w:vertAlign w:val="subscript"/>
              </w:rPr>
              <w:t>L</w:t>
            </w:r>
          </w:p>
        </w:tc>
        <w:tc>
          <w:tcPr>
            <w:tcW w:w="1417" w:type="dxa"/>
            <w:tcBorders>
              <w:bottom w:val="single" w:sz="4" w:space="0" w:color="auto"/>
            </w:tcBorders>
          </w:tcPr>
          <w:p w14:paraId="68E5BA02" w14:textId="77777777" w:rsidR="00AE0CA0" w:rsidRDefault="00AE0CA0" w:rsidP="00AE0CA0">
            <w:pPr>
              <w:tabs>
                <w:tab w:val="decimal" w:pos="1013"/>
              </w:tabs>
              <w:ind w:firstLine="0"/>
              <w:jc w:val="right"/>
              <w:rPr>
                <w:sz w:val="16"/>
                <w:szCs w:val="16"/>
              </w:rPr>
            </w:pPr>
            <w:r>
              <w:rPr>
                <w:sz w:val="16"/>
                <w:szCs w:val="16"/>
              </w:rPr>
              <w:t>m</w:t>
            </w:r>
            <w:r>
              <w:rPr>
                <w:sz w:val="16"/>
                <w:szCs w:val="16"/>
                <w:vertAlign w:val="superscript"/>
              </w:rPr>
              <w:t>2</w:t>
            </w:r>
          </w:p>
        </w:tc>
        <w:tc>
          <w:tcPr>
            <w:tcW w:w="1417" w:type="dxa"/>
            <w:tcBorders>
              <w:bottom w:val="single" w:sz="4" w:space="0" w:color="auto"/>
            </w:tcBorders>
          </w:tcPr>
          <w:p w14:paraId="501DBEC9" w14:textId="77777777" w:rsidR="00AE0CA0" w:rsidRDefault="00AE0CA0" w:rsidP="00AE0CA0">
            <w:pPr>
              <w:tabs>
                <w:tab w:val="decimal" w:pos="1101"/>
              </w:tabs>
              <w:ind w:firstLine="0"/>
              <w:jc w:val="right"/>
              <w:rPr>
                <w:sz w:val="16"/>
                <w:szCs w:val="16"/>
              </w:rPr>
            </w:pPr>
            <w:r>
              <w:rPr>
                <w:sz w:val="16"/>
                <w:szCs w:val="16"/>
              </w:rPr>
              <w:t>820.67</w:t>
            </w:r>
          </w:p>
        </w:tc>
        <w:tc>
          <w:tcPr>
            <w:tcW w:w="1417" w:type="dxa"/>
            <w:tcBorders>
              <w:bottom w:val="single" w:sz="4" w:space="0" w:color="auto"/>
            </w:tcBorders>
          </w:tcPr>
          <w:p w14:paraId="202CF99E" w14:textId="77777777" w:rsidR="00AE0CA0" w:rsidRDefault="00AE0CA0" w:rsidP="00AE0CA0">
            <w:pPr>
              <w:tabs>
                <w:tab w:val="decimal" w:pos="1101"/>
              </w:tabs>
              <w:ind w:firstLine="0"/>
              <w:jc w:val="right"/>
              <w:rPr>
                <w:sz w:val="16"/>
                <w:szCs w:val="16"/>
              </w:rPr>
            </w:pPr>
            <w:r>
              <w:rPr>
                <w:sz w:val="16"/>
                <w:szCs w:val="16"/>
              </w:rPr>
              <w:t>1778.6</w:t>
            </w:r>
          </w:p>
        </w:tc>
      </w:tr>
    </w:tbl>
    <w:p w14:paraId="1C341F44" w14:textId="77777777" w:rsidR="00CE6137" w:rsidRDefault="00CE6137" w:rsidP="00CE6137">
      <w:pPr>
        <w:pStyle w:val="Titolo1"/>
        <w:rPr>
          <w:szCs w:val="20"/>
          <w:lang w:eastAsia="en-US"/>
        </w:rPr>
      </w:pPr>
      <w:r>
        <w:rPr>
          <w:szCs w:val="20"/>
          <w:lang w:eastAsia="en-US"/>
        </w:rPr>
        <w:t>Results</w:t>
      </w:r>
    </w:p>
    <w:p w14:paraId="16A027C8" w14:textId="07B42FC6" w:rsidR="00F203D3" w:rsidRPr="00F203D3" w:rsidRDefault="00505103" w:rsidP="00F203D3">
      <w:pPr>
        <w:pStyle w:val="NoindentNormal"/>
        <w:rPr>
          <w:lang w:eastAsia="en-US"/>
        </w:rPr>
      </w:pPr>
      <w:r>
        <w:rPr>
          <w:lang w:eastAsia="en-US"/>
        </w:rPr>
        <w:t>Numerical codes were written in Matlab</w:t>
      </w:r>
      <w:bookmarkStart w:id="2" w:name="_Hlk47780033"/>
      <w:r>
        <w:rPr>
          <w:lang w:eastAsia="en-US"/>
        </w:rPr>
        <w:t>®</w:t>
      </w:r>
      <w:bookmarkEnd w:id="2"/>
      <w:r>
        <w:rPr>
          <w:lang w:eastAsia="en-US"/>
        </w:rPr>
        <w:t xml:space="preserve"> to assess if the ship met </w:t>
      </w:r>
      <w:r w:rsidR="00350B78">
        <w:rPr>
          <w:lang w:eastAsia="en-US"/>
        </w:rPr>
        <w:t xml:space="preserve">the </w:t>
      </w:r>
      <w:bookmarkStart w:id="3" w:name="_GoBack"/>
      <w:bookmarkEnd w:id="3"/>
      <w:r>
        <w:rPr>
          <w:lang w:eastAsia="en-US"/>
        </w:rPr>
        <w:t>dead ship condition and excessive acceleration vulnerability criteria</w:t>
      </w:r>
      <w:r w:rsidR="00885743">
        <w:rPr>
          <w:lang w:eastAsia="en-US"/>
        </w:rPr>
        <w:t xml:space="preserve"> in a given loading condition</w:t>
      </w:r>
      <w:r>
        <w:rPr>
          <w:lang w:eastAsia="en-US"/>
        </w:rPr>
        <w:t>. The</w:t>
      </w:r>
      <w:r w:rsidR="00DF5265">
        <w:rPr>
          <w:lang w:eastAsia="en-US"/>
        </w:rPr>
        <w:t xml:space="preserve"> codes</w:t>
      </w:r>
      <w:r w:rsidR="00444E6E">
        <w:rPr>
          <w:lang w:eastAsia="en-US"/>
        </w:rPr>
        <w:t xml:space="preserve"> </w:t>
      </w:r>
      <w:r>
        <w:rPr>
          <w:lang w:eastAsia="en-US"/>
        </w:rPr>
        <w:t xml:space="preserve">were validated according to the examples </w:t>
      </w:r>
      <w:r w:rsidR="006A30E1">
        <w:rPr>
          <w:lang w:eastAsia="en-US"/>
        </w:rPr>
        <w:t xml:space="preserve">reported </w:t>
      </w:r>
      <w:r>
        <w:rPr>
          <w:lang w:eastAsia="en-US"/>
        </w:rPr>
        <w:t>in the explanatory notes [</w:t>
      </w:r>
      <w:r w:rsidR="00F203D3">
        <w:rPr>
          <w:lang w:eastAsia="en-US"/>
        </w:rPr>
        <w:t>1</w:t>
      </w:r>
      <w:r w:rsidR="00444E6E">
        <w:rPr>
          <w:lang w:eastAsia="en-US"/>
        </w:rPr>
        <w:t>3</w:t>
      </w:r>
      <w:r w:rsidR="006A30E1">
        <w:rPr>
          <w:lang w:eastAsia="en-US"/>
        </w:rPr>
        <w:t>]</w:t>
      </w:r>
      <w:r w:rsidR="00F203D3">
        <w:rPr>
          <w:lang w:eastAsia="en-US"/>
        </w:rPr>
        <w:t>, [1</w:t>
      </w:r>
      <w:r w:rsidR="00444E6E">
        <w:rPr>
          <w:lang w:eastAsia="en-US"/>
        </w:rPr>
        <w:t>4</w:t>
      </w:r>
      <w:r w:rsidR="00F203D3">
        <w:rPr>
          <w:lang w:eastAsia="en-US"/>
        </w:rPr>
        <w:t>]</w:t>
      </w:r>
      <w:r w:rsidR="006A30E1">
        <w:rPr>
          <w:lang w:eastAsia="en-US"/>
        </w:rPr>
        <w:t>.</w:t>
      </w:r>
      <w:r w:rsidR="00593E7F">
        <w:rPr>
          <w:lang w:eastAsia="en-US"/>
        </w:rPr>
        <w:t xml:space="preserve"> The righting arm curves used in the DSC assessment were obtained in Maxsurf Stability</w:t>
      </w:r>
      <w:r w:rsidR="00036AB6">
        <w:rPr>
          <w:lang w:eastAsia="en-US"/>
        </w:rPr>
        <w:t>®.</w:t>
      </w:r>
    </w:p>
    <w:p w14:paraId="1922E05A" w14:textId="77777777" w:rsidR="00AF6AC4" w:rsidRDefault="00F203D3" w:rsidP="00AF6AC4">
      <w:pPr>
        <w:rPr>
          <w:lang w:eastAsia="en-US"/>
        </w:rPr>
      </w:pPr>
      <w:r>
        <w:rPr>
          <w:lang w:eastAsia="en-US"/>
        </w:rPr>
        <w:t xml:space="preserve"> </w:t>
      </w:r>
      <w:r w:rsidR="00CA549F" w:rsidRPr="007F67CA">
        <w:rPr>
          <w:lang w:eastAsia="en-US"/>
        </w:rPr>
        <w:t xml:space="preserve">The limiting </w:t>
      </w:r>
      <w:r w:rsidR="00CA549F" w:rsidRPr="007F67CA">
        <w:rPr>
          <w:i/>
          <w:iCs/>
          <w:lang w:eastAsia="en-US"/>
        </w:rPr>
        <w:t>KG</w:t>
      </w:r>
      <w:r w:rsidR="00CA549F" w:rsidRPr="007F67CA">
        <w:rPr>
          <w:lang w:eastAsia="en-US"/>
        </w:rPr>
        <w:t xml:space="preserve"> curves complying with Level 2 of DS</w:t>
      </w:r>
      <w:r w:rsidR="00036AB6">
        <w:rPr>
          <w:lang w:eastAsia="en-US"/>
        </w:rPr>
        <w:t>C</w:t>
      </w:r>
      <w:r w:rsidR="00CA549F" w:rsidRPr="007F67CA">
        <w:rPr>
          <w:lang w:eastAsia="en-US"/>
        </w:rPr>
        <w:t xml:space="preserve"> and EA criteria are shown in </w:t>
      </w:r>
      <w:r w:rsidR="007873F4" w:rsidRPr="007F67CA">
        <w:rPr>
          <w:lang w:eastAsia="en-US"/>
        </w:rPr>
        <w:t>F</w:t>
      </w:r>
      <w:r w:rsidR="00CA549F" w:rsidRPr="007F67CA">
        <w:rPr>
          <w:lang w:eastAsia="en-US"/>
        </w:rPr>
        <w:t>igure</w:t>
      </w:r>
      <w:r w:rsidR="001B3CFF" w:rsidRPr="007F67CA">
        <w:rPr>
          <w:lang w:eastAsia="en-US"/>
        </w:rPr>
        <w:t xml:space="preserve"> 3 and 4,</w:t>
      </w:r>
      <w:r w:rsidR="00CA549F" w:rsidRPr="007F67CA">
        <w:rPr>
          <w:lang w:eastAsia="en-US"/>
        </w:rPr>
        <w:t xml:space="preserve"> for D1 and ONRT models respectively.</w:t>
      </w:r>
      <w:r w:rsidR="00CA549F">
        <w:rPr>
          <w:lang w:eastAsia="en-US"/>
        </w:rPr>
        <w:t xml:space="preserve"> </w:t>
      </w:r>
      <w:r w:rsidR="00885743">
        <w:rPr>
          <w:lang w:eastAsia="en-US"/>
        </w:rPr>
        <w:t>DS</w:t>
      </w:r>
      <w:r w:rsidR="00036AB6">
        <w:rPr>
          <w:lang w:eastAsia="en-US"/>
        </w:rPr>
        <w:t>C</w:t>
      </w:r>
      <w:r w:rsidR="00885743">
        <w:rPr>
          <w:lang w:eastAsia="en-US"/>
        </w:rPr>
        <w:t xml:space="preserve"> imposes a maximum value of </w:t>
      </w:r>
      <w:r w:rsidR="00036AB6">
        <w:rPr>
          <w:i/>
          <w:iCs/>
          <w:lang w:eastAsia="en-US"/>
        </w:rPr>
        <w:t>KG</w:t>
      </w:r>
      <w:r w:rsidR="00885743">
        <w:rPr>
          <w:lang w:eastAsia="en-US"/>
        </w:rPr>
        <w:t xml:space="preserve"> </w:t>
      </w:r>
      <w:r w:rsidR="00D93066">
        <w:rPr>
          <w:lang w:eastAsia="en-US"/>
        </w:rPr>
        <w:t xml:space="preserve">for a </w:t>
      </w:r>
      <w:r w:rsidR="00885743">
        <w:rPr>
          <w:lang w:eastAsia="en-US"/>
        </w:rPr>
        <w:t xml:space="preserve">given volume of displacement. At the opposite, the EA criterion imposes a minimum value of </w:t>
      </w:r>
      <w:r w:rsidR="00036AB6">
        <w:rPr>
          <w:i/>
          <w:iCs/>
          <w:lang w:eastAsia="en-US"/>
        </w:rPr>
        <w:t xml:space="preserve">KG </w:t>
      </w:r>
      <w:r w:rsidR="00885743">
        <w:rPr>
          <w:lang w:eastAsia="en-US"/>
        </w:rPr>
        <w:t>in order to avoid too low roll periods. Hence, the simultaneous verification of both criteria should define a</w:t>
      </w:r>
      <w:r w:rsidR="007873F4">
        <w:rPr>
          <w:lang w:eastAsia="en-US"/>
        </w:rPr>
        <w:t xml:space="preserve"> sufficiently large</w:t>
      </w:r>
      <w:r w:rsidR="00885743">
        <w:rPr>
          <w:lang w:eastAsia="en-US"/>
        </w:rPr>
        <w:t xml:space="preserve"> range of allowable </w:t>
      </w:r>
      <w:r w:rsidR="00885743">
        <w:rPr>
          <w:i/>
          <w:iCs/>
          <w:lang w:eastAsia="en-US"/>
        </w:rPr>
        <w:t xml:space="preserve">KG </w:t>
      </w:r>
      <w:r w:rsidR="00885743">
        <w:rPr>
          <w:lang w:eastAsia="en-US"/>
        </w:rPr>
        <w:t xml:space="preserve">between the minimum </w:t>
      </w:r>
      <w:r w:rsidR="00885743" w:rsidRPr="007F67CA">
        <w:rPr>
          <w:lang w:eastAsia="en-US"/>
        </w:rPr>
        <w:t>an</w:t>
      </w:r>
      <w:r w:rsidR="00870152" w:rsidRPr="007F67CA">
        <w:rPr>
          <w:lang w:eastAsia="en-US"/>
        </w:rPr>
        <w:t>d</w:t>
      </w:r>
      <w:r w:rsidR="00885743">
        <w:rPr>
          <w:lang w:eastAsia="en-US"/>
        </w:rPr>
        <w:t xml:space="preserve"> maximum values</w:t>
      </w:r>
      <w:r w:rsidR="007873F4">
        <w:rPr>
          <w:lang w:eastAsia="en-US"/>
        </w:rPr>
        <w:t xml:space="preserve">. </w:t>
      </w:r>
    </w:p>
    <w:p w14:paraId="6A05951D" w14:textId="77777777" w:rsidR="00CD6D3D" w:rsidRDefault="00CD6D3D" w:rsidP="00CA549F">
      <w:pPr>
        <w:rPr>
          <w:lang w:eastAsia="en-US"/>
        </w:rPr>
      </w:pPr>
    </w:p>
    <w:p w14:paraId="7336711E" w14:textId="77777777" w:rsidR="00CD6D3D" w:rsidRDefault="000A6E2A" w:rsidP="00CD6D3D">
      <w:pPr>
        <w:jc w:val="center"/>
        <w:rPr>
          <w:lang w:eastAsia="en-US"/>
        </w:rPr>
      </w:pPr>
      <w:r>
        <w:rPr>
          <w:noProof/>
          <w:lang w:eastAsia="en-US"/>
        </w:rPr>
        <w:lastRenderedPageBreak/>
        <w:drawing>
          <wp:inline distT="0" distB="0" distL="0" distR="0" wp14:anchorId="0F5A8D44" wp14:editId="1FEA3575">
            <wp:extent cx="3353511" cy="180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3511" cy="1800000"/>
                    </a:xfrm>
                    <a:prstGeom prst="rect">
                      <a:avLst/>
                    </a:prstGeom>
                    <a:noFill/>
                  </pic:spPr>
                </pic:pic>
              </a:graphicData>
            </a:graphic>
          </wp:inline>
        </w:drawing>
      </w:r>
    </w:p>
    <w:p w14:paraId="0A9E8835" w14:textId="77777777" w:rsidR="00CD6D3D" w:rsidRDefault="00CD6D3D" w:rsidP="00CA549F">
      <w:pPr>
        <w:rPr>
          <w:lang w:eastAsia="en-US"/>
        </w:rPr>
      </w:pPr>
    </w:p>
    <w:p w14:paraId="7EDC19EA" w14:textId="77777777" w:rsidR="00CD6D3D" w:rsidRPr="00036AB6" w:rsidRDefault="00CD6D3D" w:rsidP="00CD6D3D">
      <w:pPr>
        <w:jc w:val="center"/>
        <w:rPr>
          <w:sz w:val="16"/>
          <w:szCs w:val="16"/>
          <w:lang w:val="it-IT"/>
        </w:rPr>
      </w:pPr>
      <w:r w:rsidRPr="00036AB6">
        <w:rPr>
          <w:b/>
          <w:sz w:val="16"/>
          <w:szCs w:val="16"/>
        </w:rPr>
        <w:t>Figure 3.</w:t>
      </w:r>
      <w:r w:rsidRPr="00036AB6">
        <w:rPr>
          <w:sz w:val="16"/>
          <w:szCs w:val="16"/>
        </w:rPr>
        <w:t xml:space="preserve"> </w:t>
      </w:r>
      <w:r w:rsidRPr="00036AB6">
        <w:rPr>
          <w:sz w:val="16"/>
          <w:szCs w:val="16"/>
          <w:lang w:val="it-IT"/>
        </w:rPr>
        <w:t xml:space="preserve">D1 model limiting </w:t>
      </w:r>
      <w:r w:rsidRPr="00036AB6">
        <w:rPr>
          <w:i/>
          <w:iCs/>
          <w:sz w:val="16"/>
          <w:szCs w:val="16"/>
          <w:lang w:val="it-IT"/>
        </w:rPr>
        <w:t>KG</w:t>
      </w:r>
      <w:r w:rsidRPr="00036AB6">
        <w:rPr>
          <w:sz w:val="16"/>
          <w:szCs w:val="16"/>
          <w:lang w:val="it-IT"/>
        </w:rPr>
        <w:t xml:space="preserve"> curves</w:t>
      </w:r>
    </w:p>
    <w:p w14:paraId="5CDB1CD8" w14:textId="77777777" w:rsidR="00CD6D3D" w:rsidRDefault="00CD6D3D" w:rsidP="00444E6E">
      <w:pPr>
        <w:ind w:firstLine="0"/>
        <w:rPr>
          <w:lang w:val="it-IT" w:eastAsia="en-US"/>
        </w:rPr>
      </w:pPr>
    </w:p>
    <w:p w14:paraId="5CEE679A" w14:textId="77777777" w:rsidR="00CD6D3D" w:rsidRDefault="002F3391" w:rsidP="00CD6D3D">
      <w:pPr>
        <w:jc w:val="center"/>
        <w:rPr>
          <w:lang w:val="it-IT" w:eastAsia="en-US"/>
        </w:rPr>
      </w:pPr>
      <w:r>
        <w:rPr>
          <w:noProof/>
          <w:lang w:eastAsia="en-US"/>
        </w:rPr>
        <w:drawing>
          <wp:inline distT="0" distB="0" distL="0" distR="0" wp14:anchorId="7711957A" wp14:editId="78A07090">
            <wp:extent cx="3353512" cy="1800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3512" cy="1800000"/>
                    </a:xfrm>
                    <a:prstGeom prst="rect">
                      <a:avLst/>
                    </a:prstGeom>
                    <a:noFill/>
                  </pic:spPr>
                </pic:pic>
              </a:graphicData>
            </a:graphic>
          </wp:inline>
        </w:drawing>
      </w:r>
    </w:p>
    <w:p w14:paraId="410976AE" w14:textId="77777777" w:rsidR="00CD6D3D" w:rsidRDefault="00CD6D3D" w:rsidP="00CD6D3D">
      <w:pPr>
        <w:jc w:val="center"/>
        <w:rPr>
          <w:lang w:val="it-IT" w:eastAsia="en-US"/>
        </w:rPr>
      </w:pPr>
    </w:p>
    <w:p w14:paraId="231AD518" w14:textId="77777777" w:rsidR="00CD6D3D" w:rsidRPr="00036AB6" w:rsidRDefault="00CD6D3D" w:rsidP="00CD6D3D">
      <w:pPr>
        <w:jc w:val="center"/>
        <w:rPr>
          <w:sz w:val="16"/>
          <w:szCs w:val="16"/>
          <w:lang w:eastAsia="en-US"/>
        </w:rPr>
      </w:pPr>
      <w:r w:rsidRPr="00036AB6">
        <w:rPr>
          <w:b/>
          <w:sz w:val="16"/>
          <w:szCs w:val="16"/>
        </w:rPr>
        <w:t>Figure 4.</w:t>
      </w:r>
      <w:r w:rsidRPr="00036AB6">
        <w:rPr>
          <w:sz w:val="16"/>
          <w:szCs w:val="16"/>
        </w:rPr>
        <w:t xml:space="preserve"> ONRT model limiting </w:t>
      </w:r>
      <w:r w:rsidRPr="00036AB6">
        <w:rPr>
          <w:i/>
          <w:iCs/>
          <w:sz w:val="16"/>
          <w:szCs w:val="16"/>
        </w:rPr>
        <w:t>KG</w:t>
      </w:r>
      <w:r w:rsidRPr="00036AB6">
        <w:rPr>
          <w:sz w:val="16"/>
          <w:szCs w:val="16"/>
        </w:rPr>
        <w:t xml:space="preserve"> curves</w:t>
      </w:r>
    </w:p>
    <w:p w14:paraId="576DB210" w14:textId="77777777" w:rsidR="00CD6D3D" w:rsidRPr="00CD6D3D" w:rsidRDefault="00CD6D3D" w:rsidP="00444E6E">
      <w:pPr>
        <w:ind w:firstLine="0"/>
        <w:rPr>
          <w:lang w:eastAsia="en-US"/>
        </w:rPr>
      </w:pPr>
    </w:p>
    <w:p w14:paraId="2655006E" w14:textId="77777777" w:rsidR="006A30E1" w:rsidRDefault="00AF6AC4" w:rsidP="006A30E1">
      <w:pPr>
        <w:rPr>
          <w:lang w:eastAsia="en-US"/>
        </w:rPr>
      </w:pPr>
      <w:r>
        <w:rPr>
          <w:lang w:eastAsia="en-US"/>
        </w:rPr>
        <w:t xml:space="preserve">The limiting </w:t>
      </w:r>
      <w:r w:rsidRPr="00AF6AC4">
        <w:rPr>
          <w:i/>
          <w:iCs/>
          <w:lang w:eastAsia="en-US"/>
        </w:rPr>
        <w:t>KG</w:t>
      </w:r>
      <w:r w:rsidR="000D6752">
        <w:rPr>
          <w:lang w:eastAsia="en-US"/>
        </w:rPr>
        <w:t xml:space="preserve"> curves were obtained through a systematic variation of the height of the center of gravity </w:t>
      </w:r>
      <w:r w:rsidR="00870152">
        <w:rPr>
          <w:lang w:eastAsia="en-US"/>
        </w:rPr>
        <w:t>by</w:t>
      </w:r>
      <w:r w:rsidR="000D6752">
        <w:rPr>
          <w:lang w:eastAsia="en-US"/>
        </w:rPr>
        <w:t xml:space="preserve"> </w:t>
      </w:r>
      <w:r w:rsidR="000D6752" w:rsidRPr="00870152">
        <w:rPr>
          <w:lang w:eastAsia="en-US"/>
        </w:rPr>
        <w:t xml:space="preserve">step of 0.1m. As </w:t>
      </w:r>
      <w:r w:rsidR="00036AB6">
        <w:rPr>
          <w:lang w:eastAsia="en-US"/>
        </w:rPr>
        <w:t xml:space="preserve">shown </w:t>
      </w:r>
      <w:r w:rsidR="000D6752" w:rsidRPr="00870152">
        <w:rPr>
          <w:lang w:eastAsia="en-US"/>
        </w:rPr>
        <w:t>in Figure 3 and 4, there are no conflicts between the minimum (orange line) and maximum (blue line) allowable KG curves associated with Level 2 of DS</w:t>
      </w:r>
      <w:r w:rsidR="000D6752">
        <w:rPr>
          <w:lang w:eastAsia="en-US"/>
        </w:rPr>
        <w:t xml:space="preserve"> and EA respectively. Hence, a range of allowable </w:t>
      </w:r>
      <w:r w:rsidR="000D6752">
        <w:rPr>
          <w:i/>
          <w:iCs/>
          <w:lang w:eastAsia="en-US"/>
        </w:rPr>
        <w:t>KG</w:t>
      </w:r>
      <w:r w:rsidR="000D6752">
        <w:rPr>
          <w:lang w:eastAsia="en-US"/>
        </w:rPr>
        <w:t xml:space="preserve"> exists at each draft. </w:t>
      </w:r>
    </w:p>
    <w:p w14:paraId="25FE5607" w14:textId="77777777" w:rsidR="00717229" w:rsidRDefault="001E1D27" w:rsidP="006A30E1">
      <w:pPr>
        <w:rPr>
          <w:lang w:eastAsia="en-US"/>
        </w:rPr>
      </w:pPr>
      <w:r>
        <w:rPr>
          <w:lang w:eastAsia="en-US"/>
        </w:rPr>
        <w:t>I</w:t>
      </w:r>
      <w:r w:rsidR="00717229">
        <w:rPr>
          <w:lang w:eastAsia="en-US"/>
        </w:rPr>
        <w:t>t is known from a previous work [9], that</w:t>
      </w:r>
      <w:r>
        <w:rPr>
          <w:lang w:eastAsia="en-US"/>
        </w:rPr>
        <w:t xml:space="preserve"> </w:t>
      </w:r>
      <w:r w:rsidR="00717229">
        <w:rPr>
          <w:lang w:eastAsia="en-US"/>
        </w:rPr>
        <w:t xml:space="preserve">the </w:t>
      </w:r>
      <w:r w:rsidR="00717229">
        <w:rPr>
          <w:i/>
          <w:iCs/>
          <w:lang w:eastAsia="en-US"/>
        </w:rPr>
        <w:t>KG</w:t>
      </w:r>
      <w:r w:rsidR="00717229">
        <w:rPr>
          <w:lang w:eastAsia="en-US"/>
        </w:rPr>
        <w:t xml:space="preserve"> value is equal to 6 m at the design draught 3.6 m</w:t>
      </w:r>
      <w:r w:rsidR="00492B5A">
        <w:rPr>
          <w:lang w:eastAsia="en-US"/>
        </w:rPr>
        <w:t xml:space="preserve"> for D1 model</w:t>
      </w:r>
      <w:r w:rsidR="00717229">
        <w:rPr>
          <w:lang w:eastAsia="en-US"/>
        </w:rPr>
        <w:t xml:space="preserve">; it was obtained from Italian Navy ships statistics. This value is greater than the maximum allowable </w:t>
      </w:r>
      <w:r w:rsidR="00717229">
        <w:rPr>
          <w:i/>
          <w:iCs/>
          <w:lang w:eastAsia="en-US"/>
        </w:rPr>
        <w:t>KG</w:t>
      </w:r>
      <w:r w:rsidR="00717229">
        <w:rPr>
          <w:lang w:eastAsia="en-US"/>
        </w:rPr>
        <w:t xml:space="preserve"> complying with Level 2 of DSC showing that the loading condition is “unsafe” with respect to the DSC failure mode.</w:t>
      </w:r>
      <w:r>
        <w:rPr>
          <w:lang w:eastAsia="en-US"/>
        </w:rPr>
        <w:t xml:space="preserve"> </w:t>
      </w:r>
    </w:p>
    <w:p w14:paraId="29370AC2" w14:textId="77777777" w:rsidR="001E1D27" w:rsidRPr="00492B5A" w:rsidRDefault="001E1D27" w:rsidP="006A30E1">
      <w:pPr>
        <w:rPr>
          <w:lang w:eastAsia="en-US"/>
        </w:rPr>
      </w:pPr>
      <w:r>
        <w:rPr>
          <w:lang w:eastAsia="en-US"/>
        </w:rPr>
        <w:t xml:space="preserve">As regards the ONRT model, </w:t>
      </w:r>
      <w:r w:rsidR="00492B5A">
        <w:rPr>
          <w:lang w:eastAsia="en-US"/>
        </w:rPr>
        <w:t xml:space="preserve">in [10] it is reported the </w:t>
      </w:r>
      <w:r w:rsidR="00492B5A">
        <w:rPr>
          <w:i/>
          <w:iCs/>
          <w:lang w:eastAsia="en-US"/>
        </w:rPr>
        <w:t>KG</w:t>
      </w:r>
      <w:r w:rsidR="00492B5A">
        <w:rPr>
          <w:lang w:eastAsia="en-US"/>
        </w:rPr>
        <w:t xml:space="preserve"> value equal</w:t>
      </w:r>
      <w:r w:rsidR="00D93066">
        <w:rPr>
          <w:lang w:eastAsia="en-US"/>
        </w:rPr>
        <w:t>s</w:t>
      </w:r>
      <w:r w:rsidR="00492B5A">
        <w:rPr>
          <w:lang w:eastAsia="en-US"/>
        </w:rPr>
        <w:t xml:space="preserve"> to 8.24 m at the design draught</w:t>
      </w:r>
      <w:r w:rsidR="00D93066">
        <w:rPr>
          <w:lang w:eastAsia="en-US"/>
        </w:rPr>
        <w:t xml:space="preserve"> of 5.494 m</w:t>
      </w:r>
      <w:r w:rsidR="00492B5A">
        <w:rPr>
          <w:lang w:eastAsia="en-US"/>
        </w:rPr>
        <w:t xml:space="preserve">; </w:t>
      </w:r>
      <w:r w:rsidR="00D93066">
        <w:rPr>
          <w:lang w:eastAsia="en-US"/>
        </w:rPr>
        <w:t xml:space="preserve">the loading condition is </w:t>
      </w:r>
      <w:r w:rsidR="00492B5A">
        <w:rPr>
          <w:lang w:eastAsia="en-US"/>
        </w:rPr>
        <w:t xml:space="preserve">inside the safe range of allowable </w:t>
      </w:r>
      <w:r w:rsidR="00492B5A">
        <w:rPr>
          <w:i/>
          <w:iCs/>
          <w:lang w:eastAsia="en-US"/>
        </w:rPr>
        <w:t>KG</w:t>
      </w:r>
      <w:r w:rsidR="00492B5A">
        <w:rPr>
          <w:lang w:eastAsia="en-US"/>
        </w:rPr>
        <w:t xml:space="preserve"> defined by DSC and EA criteria, although it is very near to the upper limit defined by DSC.</w:t>
      </w:r>
    </w:p>
    <w:p w14:paraId="3FA48181" w14:textId="77777777" w:rsidR="007F536C" w:rsidRPr="007F536C" w:rsidRDefault="00ED0D01" w:rsidP="007F536C">
      <w:pPr>
        <w:rPr>
          <w:lang w:eastAsia="en-US"/>
        </w:rPr>
      </w:pPr>
      <w:r>
        <w:rPr>
          <w:lang w:eastAsia="en-US"/>
        </w:rPr>
        <w:t>It should be noted that the results obtained could be affected by the estimation of the roll damping performed using Ikeda’s simplified method</w:t>
      </w:r>
      <w:r w:rsidR="00036AB6">
        <w:rPr>
          <w:lang w:eastAsia="en-US"/>
        </w:rPr>
        <w:t>, which is the one</w:t>
      </w:r>
      <w:r w:rsidR="007F536C">
        <w:rPr>
          <w:lang w:eastAsia="en-US"/>
        </w:rPr>
        <w:t xml:space="preserve"> recommended in DS and EA procedures, in absence of experimental data or other suitable methods. Indeed, both D1 and ONRT have midship section coefficient</w:t>
      </w:r>
      <w:r w:rsidR="00F203D3">
        <w:rPr>
          <w:lang w:eastAsia="en-US"/>
        </w:rPr>
        <w:t>s</w:t>
      </w:r>
      <w:r w:rsidR="007F536C">
        <w:rPr>
          <w:lang w:eastAsia="en-US"/>
        </w:rPr>
        <w:t xml:space="preserve"> </w:t>
      </w:r>
      <w:r w:rsidR="007F536C">
        <w:rPr>
          <w:i/>
          <w:iCs/>
          <w:lang w:eastAsia="en-US"/>
        </w:rPr>
        <w:t>C</w:t>
      </w:r>
      <w:r w:rsidR="007F536C">
        <w:rPr>
          <w:i/>
          <w:iCs/>
          <w:vertAlign w:val="subscript"/>
          <w:lang w:eastAsia="en-US"/>
        </w:rPr>
        <w:t>m</w:t>
      </w:r>
      <w:r w:rsidR="007F536C">
        <w:rPr>
          <w:lang w:eastAsia="en-US"/>
        </w:rPr>
        <w:t xml:space="preserve"> outside the range of applicability of the method; in addition, the ONRT ship has the ratio </w:t>
      </w:r>
      <w:r w:rsidR="007F536C">
        <w:rPr>
          <w:szCs w:val="20"/>
        </w:rPr>
        <w:t xml:space="preserve">between the bilge keel span and the ship breadth greater than the limit value of the method. </w:t>
      </w:r>
    </w:p>
    <w:p w14:paraId="25090137" w14:textId="77777777" w:rsidR="00CE6137" w:rsidRPr="00ED0D01" w:rsidRDefault="00CE6137" w:rsidP="00CE6137">
      <w:pPr>
        <w:pStyle w:val="Titolo1"/>
        <w:rPr>
          <w:szCs w:val="20"/>
          <w:lang w:eastAsia="en-US"/>
        </w:rPr>
      </w:pPr>
      <w:r>
        <w:rPr>
          <w:szCs w:val="20"/>
          <w:lang w:eastAsia="en-US"/>
        </w:rPr>
        <w:lastRenderedPageBreak/>
        <w:t>Conclusion</w:t>
      </w:r>
      <w:r w:rsidR="00036AB6">
        <w:rPr>
          <w:szCs w:val="20"/>
          <w:lang w:eastAsia="en-US"/>
        </w:rPr>
        <w:t>s</w:t>
      </w:r>
    </w:p>
    <w:p w14:paraId="65805C2B" w14:textId="77777777" w:rsidR="00A25EE1" w:rsidRDefault="00ED0D01">
      <w:pPr>
        <w:ind w:firstLine="0"/>
      </w:pPr>
      <w:r>
        <w:t>I</w:t>
      </w:r>
      <w:r w:rsidR="00045D78">
        <w:t xml:space="preserve">n the present work, the second level of assessment of </w:t>
      </w:r>
      <w:r w:rsidR="00A25EE1">
        <w:t>dead ship condition</w:t>
      </w:r>
      <w:r w:rsidR="00045D78">
        <w:t xml:space="preserve"> and </w:t>
      </w:r>
      <w:r w:rsidR="00A25EE1">
        <w:t>excessive acceleration criteria</w:t>
      </w:r>
      <w:r w:rsidR="00DF5265">
        <w:t xml:space="preserve"> </w:t>
      </w:r>
      <w:r w:rsidR="00045D78">
        <w:t>w</w:t>
      </w:r>
      <w:r w:rsidR="00A25EE1">
        <w:t>as</w:t>
      </w:r>
      <w:r w:rsidR="00045D78">
        <w:t xml:space="preserve"> studied. The limiting </w:t>
      </w:r>
      <w:r w:rsidR="00045D78">
        <w:rPr>
          <w:i/>
          <w:iCs/>
        </w:rPr>
        <w:t>KG</w:t>
      </w:r>
      <w:r w:rsidR="00045D78">
        <w:t xml:space="preserve"> curves associated with level 2 of both criteria were obtained </w:t>
      </w:r>
      <w:r w:rsidR="00036AB6">
        <w:t>for</w:t>
      </w:r>
      <w:r w:rsidR="00045D78">
        <w:t xml:space="preserve"> two semi-displacement, round bilge and transom stern hull forms: the parent hull D1 of the Systematic Series D and the notional ONR Tumblehome</w:t>
      </w:r>
      <w:r w:rsidR="00B41DEF">
        <w:t xml:space="preserve"> ship</w:t>
      </w:r>
      <w:r w:rsidR="00045D78">
        <w:t>. Both vessels are typical naval hull forms. Five displacement volumes were considered for each ship.</w:t>
      </w:r>
      <w:r w:rsidR="00A25EE1">
        <w:t xml:space="preserve"> </w:t>
      </w:r>
    </w:p>
    <w:p w14:paraId="085CB883" w14:textId="77777777" w:rsidR="00E5457C" w:rsidRDefault="00045D78" w:rsidP="00A25EE1">
      <w:pPr>
        <w:ind w:firstLine="0"/>
      </w:pPr>
      <w:r>
        <w:t xml:space="preserve">The results showed that a sufficiently large range of allowable </w:t>
      </w:r>
      <w:r>
        <w:rPr>
          <w:i/>
          <w:iCs/>
        </w:rPr>
        <w:t>KG</w:t>
      </w:r>
      <w:r>
        <w:t xml:space="preserve"> exist</w:t>
      </w:r>
      <w:r w:rsidR="009D601B">
        <w:t>ed</w:t>
      </w:r>
      <w:r>
        <w:t xml:space="preserve"> at each draught for both vessels, also due to the fact that both vessels were fitted with bilge keels.</w:t>
      </w:r>
      <w:r w:rsidR="00492B5A">
        <w:t xml:space="preserve"> It was also shown that</w:t>
      </w:r>
      <w:r w:rsidR="00EA7394">
        <w:t xml:space="preserve"> the </w:t>
      </w:r>
      <w:r w:rsidR="00EA7394">
        <w:rPr>
          <w:i/>
          <w:iCs/>
        </w:rPr>
        <w:t>KG</w:t>
      </w:r>
      <w:r w:rsidR="00EA7394">
        <w:t xml:space="preserve"> value representative of the loading condition at the design draught</w:t>
      </w:r>
      <w:r w:rsidR="00492B5A">
        <w:t>:</w:t>
      </w:r>
      <w:r w:rsidR="00A25EE1">
        <w:t xml:space="preserve"> </w:t>
      </w:r>
      <w:r w:rsidR="00E5457C">
        <w:t>for D1 model did not met the DSC, since it was greater than the limit value associated to DSC;</w:t>
      </w:r>
      <w:r w:rsidR="00A25EE1">
        <w:t xml:space="preserve"> </w:t>
      </w:r>
      <w:r w:rsidR="00EA7394">
        <w:t>for</w:t>
      </w:r>
      <w:r w:rsidR="00E5457C">
        <w:t xml:space="preserve"> ONRT ship satisfied both DSC and EA criteria, since it was between the upper and lower limits defined by DSC and EA criteria respectively.</w:t>
      </w:r>
    </w:p>
    <w:p w14:paraId="681F39BA" w14:textId="77777777" w:rsidR="00B05D6E" w:rsidRDefault="00B41DEF">
      <w:pPr>
        <w:ind w:firstLine="0"/>
      </w:pPr>
      <w:r>
        <w:t>Particular attention should be kept in the estimation of the roll damping when one or more parameters are outside the range of applicability of Ikeda’s method.</w:t>
      </w:r>
    </w:p>
    <w:p w14:paraId="10F680FF" w14:textId="77777777" w:rsidR="008165B1" w:rsidRPr="00B41DEF" w:rsidRDefault="00B05D6E" w:rsidP="00B41DEF">
      <w:pPr>
        <w:pStyle w:val="HeadingUnn1"/>
      </w:pPr>
      <w:r>
        <w:t>References</w:t>
      </w:r>
    </w:p>
    <w:p w14:paraId="5BBF63BE" w14:textId="77777777" w:rsidR="008165B1" w:rsidRDefault="008165B1" w:rsidP="008165B1">
      <w:pPr>
        <w:pStyle w:val="References"/>
        <w:rPr>
          <w:snapToGrid w:val="0"/>
        </w:rPr>
      </w:pPr>
      <w:r w:rsidRPr="008165B1">
        <w:rPr>
          <w:snapToGrid w:val="0"/>
        </w:rPr>
        <w:t xml:space="preserve">   IMO SDC 7/5</w:t>
      </w:r>
      <w:r w:rsidR="004C603B">
        <w:rPr>
          <w:snapToGrid w:val="0"/>
        </w:rPr>
        <w:t>.</w:t>
      </w:r>
      <w:r w:rsidRPr="008165B1">
        <w:rPr>
          <w:snapToGrid w:val="0"/>
        </w:rPr>
        <w:t xml:space="preserve"> Finalization of Second Generation Intact Stability Criteria. Report of the Correspondence Group (Part 1). Submitted by Japan, London, UK, 2019.</w:t>
      </w:r>
    </w:p>
    <w:p w14:paraId="58625733" w14:textId="77777777" w:rsidR="001F71AE" w:rsidRPr="008165B1" w:rsidRDefault="001F71AE" w:rsidP="001F71AE">
      <w:pPr>
        <w:pStyle w:val="References"/>
        <w:rPr>
          <w:snapToGrid w:val="0"/>
        </w:rPr>
      </w:pPr>
      <w:r>
        <w:rPr>
          <w:snapToGrid w:val="0"/>
        </w:rPr>
        <w:t xml:space="preserve">   </w:t>
      </w:r>
      <w:r w:rsidRPr="008165B1">
        <w:rPr>
          <w:snapToGrid w:val="0"/>
        </w:rPr>
        <w:t>Kracht AM, Jacobsen</w:t>
      </w:r>
      <w:r>
        <w:rPr>
          <w:snapToGrid w:val="0"/>
        </w:rPr>
        <w:t xml:space="preserve"> </w:t>
      </w:r>
      <w:r w:rsidRPr="008165B1">
        <w:rPr>
          <w:snapToGrid w:val="0"/>
        </w:rPr>
        <w:t>A. D-Series Systematic Experiments with Models of Fast Twin-Screw Displacement Ships, Sname Trans. 1992, 100, 199–222.</w:t>
      </w:r>
    </w:p>
    <w:p w14:paraId="4FB81DF0" w14:textId="77777777" w:rsidR="001F71AE" w:rsidRPr="00815736" w:rsidRDefault="001F71AE" w:rsidP="001F71AE">
      <w:pPr>
        <w:pStyle w:val="References"/>
      </w:pPr>
      <w:r>
        <w:t xml:space="preserve">   </w:t>
      </w:r>
      <w:r w:rsidRPr="00E708DD">
        <w:t xml:space="preserve">Tomaszek, H.; Bassler, C.C. Dynamic Stability Assessment of Naval Ships in Early-Stage Design. In </w:t>
      </w:r>
      <w:r w:rsidRPr="00765408">
        <w:t>Proceedings of the 12th International Conference on the Stability of Ships and Ocean Vehicles, Glasgow, UK, 14–19 June 2015.</w:t>
      </w:r>
    </w:p>
    <w:p w14:paraId="656154EE" w14:textId="77777777" w:rsidR="001F71AE" w:rsidRDefault="001F71AE" w:rsidP="001F71AE">
      <w:pPr>
        <w:pStyle w:val="References"/>
      </w:pPr>
      <w:r>
        <w:rPr>
          <w:snapToGrid w:val="0"/>
        </w:rPr>
        <w:t xml:space="preserve">   </w:t>
      </w:r>
      <w:r w:rsidRPr="00815736">
        <w:t>Grinnaert</w:t>
      </w:r>
      <w:r>
        <w:t xml:space="preserve"> F</w:t>
      </w:r>
      <w:r w:rsidRPr="00815736">
        <w:t>. Analysis and implementation of second generation criteria in a stability computer</w:t>
      </w:r>
      <w:r>
        <w:t xml:space="preserve"> code. </w:t>
      </w:r>
      <w:r w:rsidRPr="00815736">
        <w:t>Mechanics of the fluids [physics.class-ph]. Université de Bretagne occidentale - Brest, 2017.</w:t>
      </w:r>
      <w:r>
        <w:t xml:space="preserve"> </w:t>
      </w:r>
      <w:r w:rsidRPr="00815736">
        <w:t>English. NNT : 2017BRES0003. tel-01578973</w:t>
      </w:r>
      <w:r>
        <w:t>.</w:t>
      </w:r>
    </w:p>
    <w:p w14:paraId="62041902" w14:textId="77777777" w:rsidR="001F71AE" w:rsidRPr="00765408" w:rsidRDefault="001F71AE" w:rsidP="001F71AE">
      <w:pPr>
        <w:pStyle w:val="References"/>
      </w:pPr>
      <w:r>
        <w:rPr>
          <w:snapToGrid w:val="0"/>
        </w:rPr>
        <w:t xml:space="preserve">   </w:t>
      </w:r>
      <w:r w:rsidRPr="00765408">
        <w:t>Grinnaert, F.; Gualeni, P.; Billard, J.; Laurens, J.; Petacco, N. Application of 2nd Generation Intact Stability Criteria on Naval Ships. In Proceedings of the 15th International Ship Stability Workshop, Stockholm</w:t>
      </w:r>
      <w:r w:rsidRPr="00E708DD">
        <w:t>, Sweden,</w:t>
      </w:r>
      <w:r w:rsidRPr="00765408">
        <w:t xml:space="preserve"> 13–15 June</w:t>
      </w:r>
      <w:r w:rsidRPr="00E708DD">
        <w:t xml:space="preserve"> 2016</w:t>
      </w:r>
      <w:r w:rsidRPr="00765408">
        <w:t>.</w:t>
      </w:r>
    </w:p>
    <w:p w14:paraId="524046CE" w14:textId="77777777" w:rsidR="001F71AE" w:rsidRPr="00765408" w:rsidRDefault="001F71AE" w:rsidP="001F71AE">
      <w:pPr>
        <w:pStyle w:val="References"/>
      </w:pPr>
      <w:r>
        <w:rPr>
          <w:snapToGrid w:val="0"/>
        </w:rPr>
        <w:t xml:space="preserve">   </w:t>
      </w:r>
      <w:r w:rsidRPr="00765408">
        <w:t>Petacco, N.; Gualeni, P.; Billard, J.; Grinnaert, F. An integration of present navy ships intact stability criteria in the perspective of ship performance assessment in a seaway. In Proceedings of the 16th International Ship Stability Workshop, Belgrade, Serbia, 5–7 June 2017.</w:t>
      </w:r>
    </w:p>
    <w:p w14:paraId="06E927F4" w14:textId="77777777" w:rsidR="001F71AE" w:rsidRPr="00765408" w:rsidRDefault="001F71AE" w:rsidP="001F71AE">
      <w:pPr>
        <w:pStyle w:val="References"/>
      </w:pPr>
      <w:r>
        <w:rPr>
          <w:snapToGrid w:val="0"/>
        </w:rPr>
        <w:t xml:space="preserve">   </w:t>
      </w:r>
      <w:r w:rsidRPr="00765408">
        <w:t>Petacco, N.; Gualeni, P.; Billard, J.; Grinnaert, F. An integration of present navy ships intact stability criteria in the perspective of ship performance assessment in a seaway. In Proceedings of the 16th International Ship Stability Workshop, Belgrade, Serbia, 5–7 June 2017.</w:t>
      </w:r>
    </w:p>
    <w:p w14:paraId="39AE6A52" w14:textId="77777777" w:rsidR="001F71AE" w:rsidRPr="00765408" w:rsidRDefault="001F71AE" w:rsidP="001F71AE">
      <w:pPr>
        <w:pStyle w:val="References"/>
      </w:pPr>
      <w:r>
        <w:rPr>
          <w:snapToGrid w:val="0"/>
        </w:rPr>
        <w:t xml:space="preserve">   </w:t>
      </w:r>
      <w:r w:rsidRPr="00765408">
        <w:t>Begovic, E.; Bertorello, C.; Boccadamo, G.; Rinauro, B. Application of surf-riding and broaching criteria for the systematic series D models. Ocean Eng. 2018, 170, 246–265.</w:t>
      </w:r>
    </w:p>
    <w:p w14:paraId="7331ABD8" w14:textId="77777777" w:rsidR="001F71AE" w:rsidRPr="00765408" w:rsidRDefault="001F71AE" w:rsidP="001F71AE">
      <w:pPr>
        <w:pStyle w:val="References"/>
      </w:pPr>
      <w:r>
        <w:rPr>
          <w:snapToGrid w:val="0"/>
        </w:rPr>
        <w:t xml:space="preserve">   </w:t>
      </w:r>
      <w:r w:rsidRPr="00E708DD">
        <w:t xml:space="preserve">Rinauro, B.; Begovic, E. Vulnerability assessment of surf-riding-broaching and pure loss of stability for Systematic Series D1 model. </w:t>
      </w:r>
      <w:r w:rsidRPr="00765408">
        <w:t>Ships Offshore Struct. 2019</w:t>
      </w:r>
      <w:r w:rsidRPr="00E708DD">
        <w:t xml:space="preserve">, </w:t>
      </w:r>
      <w:hyperlink r:id="rId12" w:history="1">
        <w:r w:rsidRPr="00765408">
          <w:t>doi:10.1080/17445302.2019.1596545</w:t>
        </w:r>
      </w:hyperlink>
      <w:r w:rsidRPr="00765408">
        <w:t>.</w:t>
      </w:r>
    </w:p>
    <w:p w14:paraId="539A786D" w14:textId="77777777" w:rsidR="001F71AE" w:rsidRPr="00765408" w:rsidRDefault="001F71AE" w:rsidP="001F71AE">
      <w:pPr>
        <w:pStyle w:val="References"/>
      </w:pPr>
      <w:r w:rsidRPr="00765408">
        <w:t>Begovic, E.; Rinauro, B.; Cakici, F. Application of the 2nd Generation Intact Stability Criteria for fast semi-displacement ships. In Proceedings of the 18th International Congress of the International Maritime Association of the Mediterranean (IMAM 2019), Varna, Bulgaria, 9–11 September 2019.</w:t>
      </w:r>
    </w:p>
    <w:p w14:paraId="680ACA48" w14:textId="77777777" w:rsidR="001F71AE" w:rsidRPr="00DA64A4" w:rsidRDefault="001F71AE" w:rsidP="001F71AE">
      <w:pPr>
        <w:pStyle w:val="References"/>
      </w:pPr>
      <w:r>
        <w:t xml:space="preserve">Boccadamo G., Rosano G., </w:t>
      </w:r>
      <w:r w:rsidRPr="00765408">
        <w:t xml:space="preserve">Excessive Acceleration Criterion: Application to Naval Ships, </w:t>
      </w:r>
      <w:r>
        <w:t xml:space="preserve">J. Mar. Sci. Eng. 2019, 7, 431, </w:t>
      </w:r>
      <w:hyperlink r:id="rId13" w:history="1">
        <w:r w:rsidRPr="00765408">
          <w:t>https://doi.org/10.3390/jmse7120431</w:t>
        </w:r>
      </w:hyperlink>
      <w:r w:rsidRPr="00765408">
        <w:t xml:space="preserve"> </w:t>
      </w:r>
    </w:p>
    <w:p w14:paraId="00FF2073" w14:textId="77777777" w:rsidR="001F71AE" w:rsidRPr="00EA2E75" w:rsidRDefault="001F71AE" w:rsidP="001F71AE">
      <w:pPr>
        <w:pStyle w:val="References"/>
      </w:pPr>
      <w:r w:rsidRPr="00EA2E75">
        <w:t>Rinauro B, Rosano G. Vulnerability assessment to Dead Ship Condition and Excessive Acceleration criteria for semi-displacement hulls, International Conference on Post Graduate Research, Gdansk, 2020</w:t>
      </w:r>
      <w:r>
        <w:t>.</w:t>
      </w:r>
    </w:p>
    <w:p w14:paraId="568C8BA8" w14:textId="77777777" w:rsidR="008165B1" w:rsidRPr="008165B1" w:rsidRDefault="008165B1" w:rsidP="00444E6E">
      <w:pPr>
        <w:pStyle w:val="References"/>
        <w:jc w:val="left"/>
        <w:rPr>
          <w:snapToGrid w:val="0"/>
        </w:rPr>
      </w:pPr>
      <w:r w:rsidRPr="008165B1">
        <w:rPr>
          <w:snapToGrid w:val="0"/>
        </w:rPr>
        <w:t>IMO SDC 4/5/1/Add.3</w:t>
      </w:r>
      <w:r w:rsidR="004C603B">
        <w:rPr>
          <w:snapToGrid w:val="0"/>
        </w:rPr>
        <w:t>.</w:t>
      </w:r>
      <w:r w:rsidRPr="008165B1">
        <w:rPr>
          <w:snapToGrid w:val="0"/>
        </w:rPr>
        <w:t xml:space="preserve"> Finalization of Second Generation Intact Stability Criteria. Report of the Correspondence Group (Part 4). Submitted by Japan, London, UK, 2016.</w:t>
      </w:r>
    </w:p>
    <w:p w14:paraId="68D6887E" w14:textId="77777777" w:rsidR="008165B1" w:rsidRDefault="008165B1" w:rsidP="008165B1">
      <w:pPr>
        <w:pStyle w:val="References"/>
        <w:rPr>
          <w:snapToGrid w:val="0"/>
        </w:rPr>
      </w:pPr>
      <w:r w:rsidRPr="008165B1">
        <w:rPr>
          <w:snapToGrid w:val="0"/>
        </w:rPr>
        <w:t>IMO SDC 4/5/1/Add.</w:t>
      </w:r>
      <w:r w:rsidR="0004383B">
        <w:rPr>
          <w:snapToGrid w:val="0"/>
        </w:rPr>
        <w:t>4</w:t>
      </w:r>
      <w:r w:rsidR="004C603B">
        <w:rPr>
          <w:snapToGrid w:val="0"/>
        </w:rPr>
        <w:t>.</w:t>
      </w:r>
      <w:r w:rsidRPr="008165B1">
        <w:rPr>
          <w:snapToGrid w:val="0"/>
        </w:rPr>
        <w:t xml:space="preserve"> Finalization of Second Generation Intact Stability Criteria. Report of the Correspondence Group (Part </w:t>
      </w:r>
      <w:r w:rsidR="0004383B">
        <w:rPr>
          <w:snapToGrid w:val="0"/>
        </w:rPr>
        <w:t>5</w:t>
      </w:r>
      <w:r w:rsidRPr="008165B1">
        <w:rPr>
          <w:snapToGrid w:val="0"/>
        </w:rPr>
        <w:t>). Submitted by Japan, London, UK, 2016.</w:t>
      </w:r>
    </w:p>
    <w:p w14:paraId="093F34A0" w14:textId="77777777" w:rsidR="00765408" w:rsidRPr="00EA3107" w:rsidRDefault="0004383B" w:rsidP="00F203D3">
      <w:pPr>
        <w:pStyle w:val="References"/>
      </w:pPr>
      <w:r>
        <w:t xml:space="preserve">IMO SLF 48/4/6. Review of the Intact Stability Code. A modular methodology for the estimation of the ship roll safety under the action of stochastic wind and waves. Submitted by Italy, </w:t>
      </w:r>
      <w:r>
        <w:tab/>
        <w:t>London, UK, 2005</w:t>
      </w:r>
    </w:p>
    <w:sectPr w:rsidR="00765408" w:rsidRPr="00EA3107">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D9C7F" w14:textId="77777777" w:rsidR="00D92368" w:rsidRDefault="00D92368">
      <w:r>
        <w:separator/>
      </w:r>
    </w:p>
  </w:endnote>
  <w:endnote w:type="continuationSeparator" w:id="0">
    <w:p w14:paraId="29F50423" w14:textId="77777777" w:rsidR="00D92368" w:rsidRDefault="00D9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A1B62" w14:textId="77777777" w:rsidR="00D92368" w:rsidRDefault="00D92368">
      <w:r>
        <w:separator/>
      </w:r>
    </w:p>
  </w:footnote>
  <w:footnote w:type="continuationSeparator" w:id="0">
    <w:p w14:paraId="20720C96" w14:textId="77777777" w:rsidR="00D92368" w:rsidRDefault="00D92368">
      <w:r>
        <w:continuationSeparator/>
      </w:r>
    </w:p>
  </w:footnote>
  <w:footnote w:id="1">
    <w:p w14:paraId="777D2705" w14:textId="77777777" w:rsidR="008E38EB" w:rsidRPr="006161C2" w:rsidRDefault="008E38EB">
      <w:pPr>
        <w:pStyle w:val="Testonotaapidipagina"/>
        <w:rPr>
          <w:rStyle w:val="FootnoteChar"/>
          <w:szCs w:val="16"/>
        </w:rPr>
      </w:pPr>
      <w:r>
        <w:rPr>
          <w:rStyle w:val="Rimandonotaapidipagina"/>
        </w:rPr>
        <w:footnoteRef/>
      </w:r>
      <w:r>
        <w:rPr>
          <w:rStyle w:val="FootnoteChar"/>
        </w:rPr>
        <w:t xml:space="preserve"> Corresponding Author</w:t>
      </w:r>
      <w:r w:rsidRPr="006161C2">
        <w:rPr>
          <w:rStyle w:val="FootnoteChar"/>
          <w:szCs w:val="16"/>
        </w:rPr>
        <w:t>,</w:t>
      </w:r>
      <w:r w:rsidRPr="006161C2">
        <w:rPr>
          <w:sz w:val="16"/>
          <w:szCs w:val="16"/>
          <w:lang w:val="en-GB"/>
        </w:rPr>
        <w:t xml:space="preserve"> </w:t>
      </w:r>
      <w:r>
        <w:rPr>
          <w:sz w:val="16"/>
          <w:szCs w:val="16"/>
          <w:lang w:val="en-GB"/>
        </w:rPr>
        <w:t>gennaro.rosano@unina.it</w:t>
      </w:r>
      <w:r w:rsidRPr="006161C2">
        <w:rPr>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0AD66BD8"/>
    <w:multiLevelType w:val="hybridMultilevel"/>
    <w:tmpl w:val="2CD67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FB2617"/>
    <w:multiLevelType w:val="hybridMultilevel"/>
    <w:tmpl w:val="DD6C1E4C"/>
    <w:lvl w:ilvl="0" w:tplc="F09E645E">
      <w:start w:val="1"/>
      <w:numFmt w:val="bullet"/>
      <w:lvlText w:val=""/>
      <w:lvlJc w:val="left"/>
      <w:pPr>
        <w:ind w:left="720" w:hanging="360"/>
      </w:pPr>
      <w:rPr>
        <w:rFonts w:ascii="Wingdings" w:eastAsiaTheme="minorHAnsi" w:hAnsi="Wingdings"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3D55E3"/>
    <w:multiLevelType w:val="hybridMultilevel"/>
    <w:tmpl w:val="62446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B060737"/>
    <w:multiLevelType w:val="hybridMultilevel"/>
    <w:tmpl w:val="1BF603BC"/>
    <w:lvl w:ilvl="0" w:tplc="A416885A">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7"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8"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0"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1"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2"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11"/>
  </w:num>
  <w:num w:numId="5">
    <w:abstractNumId w:val="6"/>
  </w:num>
  <w:num w:numId="6">
    <w:abstractNumId w:val="10"/>
  </w:num>
  <w:num w:numId="7">
    <w:abstractNumId w:val="12"/>
  </w:num>
  <w:num w:numId="8">
    <w:abstractNumId w:val="8"/>
  </w:num>
  <w:num w:numId="9">
    <w:abstractNumId w:val="12"/>
  </w:num>
  <w:num w:numId="10">
    <w:abstractNumId w:val="4"/>
  </w:num>
  <w:num w:numId="11">
    <w:abstractNumId w:val="12"/>
    <w:lvlOverride w:ilvl="0">
      <w:startOverride w:val="1"/>
    </w:lvlOverride>
  </w:num>
  <w:num w:numId="12">
    <w:abstractNumId w:val="5"/>
  </w:num>
  <w:num w:numId="13">
    <w:abstractNumId w:val="12"/>
  </w:num>
  <w:num w:numId="14">
    <w:abstractNumId w:val="2"/>
  </w:num>
  <w:num w:numId="15">
    <w:abstractNumId w:val="12"/>
  </w:num>
  <w:num w:numId="16">
    <w:abstractNumId w:val="3"/>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61"/>
    <w:rsid w:val="00020BAC"/>
    <w:rsid w:val="00036AB6"/>
    <w:rsid w:val="0004383B"/>
    <w:rsid w:val="00045D78"/>
    <w:rsid w:val="000547B2"/>
    <w:rsid w:val="0008630E"/>
    <w:rsid w:val="000A6E2A"/>
    <w:rsid w:val="000B3BCD"/>
    <w:rsid w:val="000C5F52"/>
    <w:rsid w:val="000C6B58"/>
    <w:rsid w:val="000D2592"/>
    <w:rsid w:val="000D6752"/>
    <w:rsid w:val="000F19A1"/>
    <w:rsid w:val="000F4729"/>
    <w:rsid w:val="0010712A"/>
    <w:rsid w:val="00107FCE"/>
    <w:rsid w:val="00137DF6"/>
    <w:rsid w:val="00175164"/>
    <w:rsid w:val="00190CC7"/>
    <w:rsid w:val="001B3CFF"/>
    <w:rsid w:val="001D615F"/>
    <w:rsid w:val="001E1D27"/>
    <w:rsid w:val="001F1E30"/>
    <w:rsid w:val="001F71AE"/>
    <w:rsid w:val="002301A0"/>
    <w:rsid w:val="002305B6"/>
    <w:rsid w:val="00232CA1"/>
    <w:rsid w:val="0023489E"/>
    <w:rsid w:val="002435D2"/>
    <w:rsid w:val="002503E3"/>
    <w:rsid w:val="00293BAC"/>
    <w:rsid w:val="002B1384"/>
    <w:rsid w:val="002C6FB1"/>
    <w:rsid w:val="002F3391"/>
    <w:rsid w:val="00305CBB"/>
    <w:rsid w:val="003303F7"/>
    <w:rsid w:val="00350B78"/>
    <w:rsid w:val="0036269E"/>
    <w:rsid w:val="003656A6"/>
    <w:rsid w:val="00375126"/>
    <w:rsid w:val="00381B53"/>
    <w:rsid w:val="00381ED8"/>
    <w:rsid w:val="003938A7"/>
    <w:rsid w:val="003C37F2"/>
    <w:rsid w:val="003D7111"/>
    <w:rsid w:val="00404D93"/>
    <w:rsid w:val="00416832"/>
    <w:rsid w:val="00417F17"/>
    <w:rsid w:val="00444E6E"/>
    <w:rsid w:val="00455068"/>
    <w:rsid w:val="00474799"/>
    <w:rsid w:val="004751B0"/>
    <w:rsid w:val="00476C18"/>
    <w:rsid w:val="0048506D"/>
    <w:rsid w:val="0048630F"/>
    <w:rsid w:val="00492B5A"/>
    <w:rsid w:val="004A06E6"/>
    <w:rsid w:val="004A718B"/>
    <w:rsid w:val="004C603B"/>
    <w:rsid w:val="00505103"/>
    <w:rsid w:val="005171EC"/>
    <w:rsid w:val="005206D0"/>
    <w:rsid w:val="0052484A"/>
    <w:rsid w:val="005250FF"/>
    <w:rsid w:val="00527BA7"/>
    <w:rsid w:val="005312F6"/>
    <w:rsid w:val="0055786F"/>
    <w:rsid w:val="00593E7F"/>
    <w:rsid w:val="0059585C"/>
    <w:rsid w:val="005F3886"/>
    <w:rsid w:val="006161C2"/>
    <w:rsid w:val="00631672"/>
    <w:rsid w:val="006440FC"/>
    <w:rsid w:val="006A30E1"/>
    <w:rsid w:val="006A3363"/>
    <w:rsid w:val="006A73B4"/>
    <w:rsid w:val="006B0529"/>
    <w:rsid w:val="006D6240"/>
    <w:rsid w:val="00717229"/>
    <w:rsid w:val="007626CA"/>
    <w:rsid w:val="0076412A"/>
    <w:rsid w:val="00765408"/>
    <w:rsid w:val="00774856"/>
    <w:rsid w:val="00775384"/>
    <w:rsid w:val="0078219E"/>
    <w:rsid w:val="0078245B"/>
    <w:rsid w:val="007873F4"/>
    <w:rsid w:val="00791773"/>
    <w:rsid w:val="007A6940"/>
    <w:rsid w:val="007D43F8"/>
    <w:rsid w:val="007F536C"/>
    <w:rsid w:val="007F67CA"/>
    <w:rsid w:val="00800A07"/>
    <w:rsid w:val="008123E8"/>
    <w:rsid w:val="00815736"/>
    <w:rsid w:val="008165B1"/>
    <w:rsid w:val="00831AF4"/>
    <w:rsid w:val="00870152"/>
    <w:rsid w:val="00870D4F"/>
    <w:rsid w:val="00873087"/>
    <w:rsid w:val="00885743"/>
    <w:rsid w:val="008A59FA"/>
    <w:rsid w:val="008E38EB"/>
    <w:rsid w:val="00902803"/>
    <w:rsid w:val="00924033"/>
    <w:rsid w:val="00934AED"/>
    <w:rsid w:val="00993700"/>
    <w:rsid w:val="009D601B"/>
    <w:rsid w:val="009E3481"/>
    <w:rsid w:val="009F4E6C"/>
    <w:rsid w:val="00A0123C"/>
    <w:rsid w:val="00A032BA"/>
    <w:rsid w:val="00A16434"/>
    <w:rsid w:val="00A25EE1"/>
    <w:rsid w:val="00A64470"/>
    <w:rsid w:val="00A67DF6"/>
    <w:rsid w:val="00A84604"/>
    <w:rsid w:val="00A901EA"/>
    <w:rsid w:val="00AE0CA0"/>
    <w:rsid w:val="00AE0F9E"/>
    <w:rsid w:val="00AE1751"/>
    <w:rsid w:val="00AE4BE4"/>
    <w:rsid w:val="00AF6AC4"/>
    <w:rsid w:val="00B05D6E"/>
    <w:rsid w:val="00B237E1"/>
    <w:rsid w:val="00B33DC8"/>
    <w:rsid w:val="00B41DEF"/>
    <w:rsid w:val="00B43A1B"/>
    <w:rsid w:val="00B62F86"/>
    <w:rsid w:val="00B71565"/>
    <w:rsid w:val="00B96537"/>
    <w:rsid w:val="00BA195E"/>
    <w:rsid w:val="00BA4DC2"/>
    <w:rsid w:val="00C0074A"/>
    <w:rsid w:val="00C26775"/>
    <w:rsid w:val="00C45567"/>
    <w:rsid w:val="00C97D11"/>
    <w:rsid w:val="00CA3199"/>
    <w:rsid w:val="00CA4E37"/>
    <w:rsid w:val="00CA549F"/>
    <w:rsid w:val="00CB0CF4"/>
    <w:rsid w:val="00CD0D5C"/>
    <w:rsid w:val="00CD6D3D"/>
    <w:rsid w:val="00CE6137"/>
    <w:rsid w:val="00CF5C91"/>
    <w:rsid w:val="00CF5DDF"/>
    <w:rsid w:val="00D15BF8"/>
    <w:rsid w:val="00D1782A"/>
    <w:rsid w:val="00D56DE5"/>
    <w:rsid w:val="00D82BC9"/>
    <w:rsid w:val="00D92368"/>
    <w:rsid w:val="00D93066"/>
    <w:rsid w:val="00D94379"/>
    <w:rsid w:val="00DA515C"/>
    <w:rsid w:val="00DB6E1B"/>
    <w:rsid w:val="00DD3F06"/>
    <w:rsid w:val="00DD57FB"/>
    <w:rsid w:val="00DE16B7"/>
    <w:rsid w:val="00DF5265"/>
    <w:rsid w:val="00DF55BC"/>
    <w:rsid w:val="00E37661"/>
    <w:rsid w:val="00E37D1F"/>
    <w:rsid w:val="00E5457C"/>
    <w:rsid w:val="00E57E26"/>
    <w:rsid w:val="00E62088"/>
    <w:rsid w:val="00E64087"/>
    <w:rsid w:val="00E70484"/>
    <w:rsid w:val="00E7788C"/>
    <w:rsid w:val="00E90B03"/>
    <w:rsid w:val="00EA3107"/>
    <w:rsid w:val="00EA7394"/>
    <w:rsid w:val="00EB5C03"/>
    <w:rsid w:val="00ED0D01"/>
    <w:rsid w:val="00ED2835"/>
    <w:rsid w:val="00EF4056"/>
    <w:rsid w:val="00F0179B"/>
    <w:rsid w:val="00F07FC3"/>
    <w:rsid w:val="00F203D3"/>
    <w:rsid w:val="00F37120"/>
    <w:rsid w:val="00F515E7"/>
    <w:rsid w:val="00F56CAB"/>
    <w:rsid w:val="00F619AB"/>
    <w:rsid w:val="00F71FAF"/>
    <w:rsid w:val="00F73A5B"/>
    <w:rsid w:val="00F82ACF"/>
    <w:rsid w:val="00F916A5"/>
    <w:rsid w:val="00FA4B4E"/>
    <w:rsid w:val="00FA77CC"/>
    <w:rsid w:val="00FB2BED"/>
    <w:rsid w:val="00FD53D9"/>
    <w:rsid w:val="00FE0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0A00B"/>
  <w15:chartTrackingRefBased/>
  <w15:docId w15:val="{533A0326-C474-4CD5-A6A3-8A02CA71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at1">
    <w:name w:val="Citaat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Collegamentoipertestuale">
    <w:name w:val="Hyperlink"/>
    <w:uiPriority w:val="99"/>
    <w:unhideWhenUsed/>
    <w:rsid w:val="008165B1"/>
    <w:rPr>
      <w:color w:val="0000FF"/>
      <w:u w:val="single"/>
    </w:rPr>
  </w:style>
  <w:style w:type="paragraph" w:styleId="Testofumetto">
    <w:name w:val="Balloon Text"/>
    <w:basedOn w:val="Normale"/>
    <w:link w:val="TestofumettoCarattere"/>
    <w:uiPriority w:val="99"/>
    <w:semiHidden/>
    <w:unhideWhenUsed/>
    <w:rsid w:val="004C60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603B"/>
    <w:rPr>
      <w:rFonts w:ascii="Segoe UI" w:hAnsi="Segoe UI" w:cs="Segoe UI"/>
      <w:sz w:val="18"/>
      <w:szCs w:val="18"/>
      <w:lang w:val="en-US" w:eastAsia="ja-JP"/>
    </w:rPr>
  </w:style>
  <w:style w:type="character" w:styleId="Rimandocommento">
    <w:name w:val="annotation reference"/>
    <w:basedOn w:val="Carpredefinitoparagrafo"/>
    <w:uiPriority w:val="99"/>
    <w:semiHidden/>
    <w:unhideWhenUsed/>
    <w:rsid w:val="004C603B"/>
    <w:rPr>
      <w:sz w:val="16"/>
      <w:szCs w:val="16"/>
    </w:rPr>
  </w:style>
  <w:style w:type="paragraph" w:styleId="Testocommento">
    <w:name w:val="annotation text"/>
    <w:basedOn w:val="Normale"/>
    <w:link w:val="TestocommentoCarattere"/>
    <w:uiPriority w:val="99"/>
    <w:semiHidden/>
    <w:unhideWhenUsed/>
    <w:rsid w:val="004C603B"/>
    <w:pPr>
      <w:spacing w:after="160"/>
      <w:ind w:firstLine="0"/>
      <w:jc w:val="left"/>
    </w:pPr>
    <w:rPr>
      <w:rFonts w:asciiTheme="minorHAnsi" w:eastAsiaTheme="minorHAnsi" w:hAnsiTheme="minorHAnsi" w:cstheme="minorBidi"/>
      <w:szCs w:val="20"/>
      <w:lang w:val="it-IT" w:eastAsia="en-US"/>
    </w:rPr>
  </w:style>
  <w:style w:type="character" w:customStyle="1" w:styleId="TestocommentoCarattere">
    <w:name w:val="Testo commento Carattere"/>
    <w:basedOn w:val="Carpredefinitoparagrafo"/>
    <w:link w:val="Testocommento"/>
    <w:uiPriority w:val="99"/>
    <w:semiHidden/>
    <w:rsid w:val="004C603B"/>
    <w:rPr>
      <w:rFonts w:asciiTheme="minorHAnsi" w:eastAsiaTheme="minorHAnsi" w:hAnsiTheme="minorHAnsi" w:cstheme="minorBidi"/>
      <w:lang w:val="it-IT" w:eastAsia="en-US"/>
    </w:rPr>
  </w:style>
  <w:style w:type="paragraph" w:customStyle="1" w:styleId="MDPI31text">
    <w:name w:val="MDPI_3.1_text"/>
    <w:qFormat/>
    <w:rsid w:val="00765408"/>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character" w:styleId="Menzionenonrisolta">
    <w:name w:val="Unresolved Mention"/>
    <w:basedOn w:val="Carpredefinitoparagrafo"/>
    <w:uiPriority w:val="99"/>
    <w:semiHidden/>
    <w:unhideWhenUsed/>
    <w:rsid w:val="00EA3107"/>
    <w:rPr>
      <w:color w:val="605E5C"/>
      <w:shd w:val="clear" w:color="auto" w:fill="E1DFDD"/>
    </w:rPr>
  </w:style>
  <w:style w:type="character" w:styleId="Testosegnaposto">
    <w:name w:val="Placeholder Text"/>
    <w:basedOn w:val="Carpredefinitoparagrafo"/>
    <w:uiPriority w:val="99"/>
    <w:semiHidden/>
    <w:rsid w:val="00417F17"/>
    <w:rPr>
      <w:color w:val="808080"/>
    </w:rPr>
  </w:style>
  <w:style w:type="paragraph" w:styleId="Paragrafoelenco">
    <w:name w:val="List Paragraph"/>
    <w:basedOn w:val="Normale"/>
    <w:uiPriority w:val="34"/>
    <w:qFormat/>
    <w:rsid w:val="00492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390/jmse71204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7445302.2019.15965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C_GR\Desktop\Dottorato\HSMV%202020%20Ottobre\IOSPressBookArticleWordTemplate%20with%20Tex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E901-EB69-4558-9F9B-48EC99BE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Text.dotx</Template>
  <TotalTime>1836</TotalTime>
  <Pages>8</Pages>
  <Words>3239</Words>
  <Characters>18463</Characters>
  <Application>Microsoft Office Word</Application>
  <DocSecurity>0</DocSecurity>
  <Lines>153</Lines>
  <Paragraphs>43</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Gennaro Rosano</dc:creator>
  <cp:keywords/>
  <cp:lastModifiedBy>Gennaro Rosano</cp:lastModifiedBy>
  <cp:revision>60</cp:revision>
  <cp:lastPrinted>2020-08-12T10:17:00Z</cp:lastPrinted>
  <dcterms:created xsi:type="dcterms:W3CDTF">2020-07-04T16:33:00Z</dcterms:created>
  <dcterms:modified xsi:type="dcterms:W3CDTF">2020-08-12T10:32:00Z</dcterms:modified>
</cp:coreProperties>
</file>