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13F963" w14:textId="14D8B590" w:rsidR="001A1E3F" w:rsidRPr="00411859" w:rsidRDefault="001A1E3F" w:rsidP="00504E90">
      <w:pPr>
        <w:ind w:firstLine="0"/>
        <w:jc w:val="center"/>
        <w:rPr>
          <w:b/>
          <w:bCs/>
          <w:szCs w:val="20"/>
        </w:rPr>
      </w:pPr>
      <w:r w:rsidRPr="00504E90">
        <w:rPr>
          <w:sz w:val="40"/>
          <w:szCs w:val="40"/>
        </w:rPr>
        <w:t>Alternative assessment of passenger ship safety – Early results from the EU project FLARE</w:t>
      </w:r>
    </w:p>
    <w:p w14:paraId="54A8F125" w14:textId="21B170EB" w:rsidR="00B05D6E" w:rsidRDefault="00B05D6E">
      <w:pPr>
        <w:pStyle w:val="Title"/>
      </w:pPr>
    </w:p>
    <w:p w14:paraId="39092ABC" w14:textId="52AA918C" w:rsidR="0044399E" w:rsidRDefault="00E33DEE" w:rsidP="0044399E">
      <w:pPr>
        <w:pStyle w:val="Author"/>
        <w:rPr>
          <w:szCs w:val="20"/>
          <w:lang w:val="fr-FR"/>
        </w:rPr>
      </w:pPr>
      <w:r w:rsidRPr="00E33DEE">
        <w:rPr>
          <w:lang w:val="it-IT"/>
        </w:rPr>
        <w:t>Al</w:t>
      </w:r>
      <w:r>
        <w:rPr>
          <w:lang w:val="it-IT"/>
        </w:rPr>
        <w:t>essandro</w:t>
      </w:r>
      <w:r w:rsidR="00B05D6E" w:rsidRPr="00E33DEE">
        <w:rPr>
          <w:lang w:val="it-IT"/>
        </w:rPr>
        <w:t xml:space="preserve"> </w:t>
      </w:r>
      <w:r w:rsidRPr="00E33DEE">
        <w:rPr>
          <w:lang w:val="it-IT"/>
        </w:rPr>
        <w:t>MACCARI</w:t>
      </w:r>
      <w:r w:rsidR="00B05D6E" w:rsidRPr="00E33DEE">
        <w:rPr>
          <w:vertAlign w:val="superscript"/>
          <w:lang w:val="it-IT"/>
        </w:rPr>
        <w:t>a,</w:t>
      </w:r>
      <w:r w:rsidR="00B05D6E">
        <w:rPr>
          <w:rStyle w:val="FootnoteReference"/>
        </w:rPr>
        <w:footnoteReference w:id="1"/>
      </w:r>
      <w:proofErr w:type="gramStart"/>
      <w:r w:rsidR="00DD214E" w:rsidRPr="00411859">
        <w:rPr>
          <w:szCs w:val="20"/>
          <w:lang w:val="fr-FR"/>
        </w:rPr>
        <w:t>, ,</w:t>
      </w:r>
      <w:proofErr w:type="gramEnd"/>
    </w:p>
    <w:p w14:paraId="7037F8CC" w14:textId="6ADDD972" w:rsidR="00B05D6E" w:rsidRPr="00837D05" w:rsidRDefault="00DD214E" w:rsidP="0044399E">
      <w:pPr>
        <w:pStyle w:val="Author"/>
        <w:rPr>
          <w:lang w:val="fr-FR"/>
        </w:rPr>
      </w:pPr>
      <w:r w:rsidRPr="00460669">
        <w:rPr>
          <w:szCs w:val="20"/>
          <w:lang w:val="fr-FR"/>
        </w:rPr>
        <w:t>Spyros</w:t>
      </w:r>
      <w:r w:rsidR="00AA2D52" w:rsidRPr="00460669">
        <w:rPr>
          <w:szCs w:val="20"/>
          <w:lang w:val="fr-FR"/>
        </w:rPr>
        <w:t xml:space="preserve"> </w:t>
      </w:r>
      <w:r w:rsidR="00460669" w:rsidRPr="00460669">
        <w:rPr>
          <w:szCs w:val="20"/>
          <w:lang w:val="fr-FR"/>
        </w:rPr>
        <w:t>HIRDARIS</w:t>
      </w:r>
      <w:r w:rsidR="00460669" w:rsidRPr="00837D05">
        <w:rPr>
          <w:szCs w:val="20"/>
          <w:vertAlign w:val="superscript"/>
          <w:lang w:val="fr-FR"/>
        </w:rPr>
        <w:t>b</w:t>
      </w:r>
      <w:r w:rsidRPr="00460669">
        <w:rPr>
          <w:szCs w:val="20"/>
          <w:lang w:val="fr-FR"/>
        </w:rPr>
        <w:t xml:space="preserve">, </w:t>
      </w:r>
      <w:r w:rsidR="00460669" w:rsidRPr="00411859">
        <w:rPr>
          <w:szCs w:val="20"/>
          <w:lang w:val="fr-FR"/>
        </w:rPr>
        <w:t>Antoine BREUILLARD</w:t>
      </w:r>
      <w:r w:rsidR="00837D05">
        <w:rPr>
          <w:szCs w:val="20"/>
          <w:vertAlign w:val="superscript"/>
          <w:lang w:val="fr-FR"/>
        </w:rPr>
        <w:t>c</w:t>
      </w:r>
      <w:r w:rsidR="00460669" w:rsidRPr="00411859">
        <w:rPr>
          <w:szCs w:val="20"/>
          <w:lang w:val="fr-FR"/>
        </w:rPr>
        <w:t>, Fabien CONTI</w:t>
      </w:r>
      <w:r w:rsidR="00837D05">
        <w:rPr>
          <w:szCs w:val="20"/>
          <w:vertAlign w:val="superscript"/>
          <w:lang w:val="fr-FR"/>
        </w:rPr>
        <w:t>c</w:t>
      </w:r>
      <w:r w:rsidR="00837D05">
        <w:rPr>
          <w:szCs w:val="20"/>
          <w:lang w:val="fr-FR"/>
        </w:rPr>
        <w:t xml:space="preserve">, </w:t>
      </w:r>
      <w:r w:rsidR="00837D05" w:rsidRPr="00460669">
        <w:rPr>
          <w:szCs w:val="20"/>
          <w:lang w:val="fr-FR"/>
        </w:rPr>
        <w:t>Dracos VASSALOS</w:t>
      </w:r>
      <w:r w:rsidR="00837D05">
        <w:rPr>
          <w:vertAlign w:val="superscript"/>
          <w:lang w:val="fr-FR"/>
        </w:rPr>
        <w:t>d</w:t>
      </w:r>
    </w:p>
    <w:p w14:paraId="1064F86F" w14:textId="77777777" w:rsidR="00F82E9B" w:rsidRPr="00837D05" w:rsidRDefault="00F82E9B" w:rsidP="0044399E">
      <w:pPr>
        <w:pStyle w:val="Author"/>
        <w:rPr>
          <w:lang w:val="fr-FR"/>
        </w:rPr>
      </w:pPr>
    </w:p>
    <w:p w14:paraId="2E509A94" w14:textId="1EA7C93F" w:rsidR="00B05D6E" w:rsidRPr="00837D05" w:rsidRDefault="00B05D6E" w:rsidP="00017E9E">
      <w:pPr>
        <w:pStyle w:val="Affiliation"/>
        <w:ind w:left="720" w:firstLine="720"/>
        <w:jc w:val="both"/>
        <w:rPr>
          <w:lang w:val="it-IT"/>
        </w:rPr>
      </w:pPr>
      <w:r w:rsidRPr="00837D05">
        <w:rPr>
          <w:i w:val="0"/>
          <w:vertAlign w:val="superscript"/>
          <w:lang w:val="it-IT"/>
        </w:rPr>
        <w:t>a</w:t>
      </w:r>
      <w:r w:rsidRPr="00837D05">
        <w:rPr>
          <w:sz w:val="8"/>
          <w:szCs w:val="8"/>
          <w:lang w:val="it-IT"/>
        </w:rPr>
        <w:t xml:space="preserve"> </w:t>
      </w:r>
      <w:r w:rsidR="005C1244" w:rsidRPr="00837D05">
        <w:rPr>
          <w:szCs w:val="20"/>
          <w:lang w:val="it-IT"/>
        </w:rPr>
        <w:t>RINA Services S</w:t>
      </w:r>
      <w:r w:rsidR="00F82E9B" w:rsidRPr="00837D05">
        <w:rPr>
          <w:szCs w:val="20"/>
          <w:lang w:val="it-IT"/>
        </w:rPr>
        <w:t>.</w:t>
      </w:r>
      <w:r w:rsidR="005C1244" w:rsidRPr="00837D05">
        <w:rPr>
          <w:szCs w:val="20"/>
          <w:lang w:val="it-IT"/>
        </w:rPr>
        <w:t>p</w:t>
      </w:r>
      <w:r w:rsidR="00F82E9B" w:rsidRPr="00837D05">
        <w:rPr>
          <w:szCs w:val="20"/>
          <w:lang w:val="it-IT"/>
        </w:rPr>
        <w:t>.</w:t>
      </w:r>
      <w:r w:rsidR="005C1244" w:rsidRPr="00837D05">
        <w:rPr>
          <w:szCs w:val="20"/>
          <w:lang w:val="it-IT"/>
        </w:rPr>
        <w:t>A</w:t>
      </w:r>
      <w:r w:rsidR="00F82E9B" w:rsidRPr="00837D05">
        <w:rPr>
          <w:szCs w:val="20"/>
          <w:lang w:val="it-IT"/>
        </w:rPr>
        <w:t>.</w:t>
      </w:r>
      <w:r w:rsidR="005C1244" w:rsidRPr="00837D05">
        <w:rPr>
          <w:szCs w:val="20"/>
          <w:lang w:val="it-IT"/>
        </w:rPr>
        <w:t xml:space="preserve">, </w:t>
      </w:r>
      <w:r w:rsidR="0050452C" w:rsidRPr="00837D05">
        <w:rPr>
          <w:szCs w:val="20"/>
          <w:lang w:val="it-IT"/>
        </w:rPr>
        <w:t xml:space="preserve">Genoa, </w:t>
      </w:r>
      <w:r w:rsidR="005C1244" w:rsidRPr="00837D05">
        <w:rPr>
          <w:szCs w:val="20"/>
          <w:lang w:val="it-IT"/>
        </w:rPr>
        <w:t>Italy</w:t>
      </w:r>
    </w:p>
    <w:p w14:paraId="613704BE" w14:textId="170E04D5" w:rsidR="005C1244" w:rsidRDefault="00B05D6E" w:rsidP="00837D05">
      <w:pPr>
        <w:ind w:left="720" w:firstLine="720"/>
        <w:rPr>
          <w:i/>
          <w:iCs/>
          <w:szCs w:val="20"/>
        </w:rPr>
      </w:pPr>
      <w:r>
        <w:rPr>
          <w:vertAlign w:val="superscript"/>
        </w:rPr>
        <w:t>b</w:t>
      </w:r>
      <w:r>
        <w:rPr>
          <w:sz w:val="8"/>
          <w:szCs w:val="8"/>
        </w:rPr>
        <w:t xml:space="preserve"> </w:t>
      </w:r>
      <w:r w:rsidR="00460669" w:rsidRPr="00581056">
        <w:rPr>
          <w:i/>
          <w:iCs/>
          <w:szCs w:val="20"/>
        </w:rPr>
        <w:t>Aalto University, Marine Technology Group, Espoo, F</w:t>
      </w:r>
      <w:r w:rsidR="00460669">
        <w:rPr>
          <w:i/>
          <w:iCs/>
          <w:szCs w:val="20"/>
        </w:rPr>
        <w:t>inland</w:t>
      </w:r>
    </w:p>
    <w:p w14:paraId="4822177A" w14:textId="0917972B" w:rsidR="005C1244" w:rsidRDefault="00837D05" w:rsidP="00017E9E">
      <w:pPr>
        <w:ind w:left="1440" w:firstLine="0"/>
        <w:rPr>
          <w:i/>
          <w:iCs/>
          <w:szCs w:val="20"/>
        </w:rPr>
      </w:pPr>
      <w:r>
        <w:rPr>
          <w:i/>
          <w:iCs/>
          <w:szCs w:val="20"/>
          <w:vertAlign w:val="superscript"/>
        </w:rPr>
        <w:t>c</w:t>
      </w:r>
      <w:r w:rsidR="00460669" w:rsidRPr="00460669">
        <w:rPr>
          <w:i/>
          <w:iCs/>
          <w:szCs w:val="20"/>
        </w:rPr>
        <w:t xml:space="preserve"> </w:t>
      </w:r>
      <w:r w:rsidR="00460669" w:rsidRPr="00581056">
        <w:rPr>
          <w:i/>
          <w:iCs/>
          <w:szCs w:val="20"/>
        </w:rPr>
        <w:t>Bureau Veritas</w:t>
      </w:r>
      <w:r w:rsidR="00460669" w:rsidRPr="00AD4DC8">
        <w:rPr>
          <w:i/>
          <w:iCs/>
          <w:szCs w:val="20"/>
        </w:rPr>
        <w:t xml:space="preserve"> Marine &amp; Offshore</w:t>
      </w:r>
      <w:r w:rsidR="00460669" w:rsidRPr="00581056">
        <w:rPr>
          <w:i/>
          <w:iCs/>
          <w:szCs w:val="20"/>
        </w:rPr>
        <w:t xml:space="preserve">, Paris, France </w:t>
      </w:r>
    </w:p>
    <w:p w14:paraId="746E90F1" w14:textId="1A399AD4" w:rsidR="00837D05" w:rsidRPr="00581056" w:rsidRDefault="00837D05" w:rsidP="00837D05">
      <w:pPr>
        <w:ind w:left="1440" w:firstLine="0"/>
        <w:rPr>
          <w:i/>
          <w:iCs/>
          <w:szCs w:val="20"/>
        </w:rPr>
      </w:pPr>
      <w:r>
        <w:rPr>
          <w:i/>
          <w:iCs/>
          <w:szCs w:val="20"/>
          <w:vertAlign w:val="superscript"/>
        </w:rPr>
        <w:t>d</w:t>
      </w:r>
      <w:r w:rsidRPr="00581056">
        <w:rPr>
          <w:i/>
          <w:iCs/>
          <w:szCs w:val="20"/>
        </w:rPr>
        <w:t>University of Strathclyde, Dept</w:t>
      </w:r>
      <w:r>
        <w:rPr>
          <w:i/>
          <w:iCs/>
          <w:szCs w:val="20"/>
        </w:rPr>
        <w:t>.</w:t>
      </w:r>
      <w:r w:rsidRPr="00581056">
        <w:rPr>
          <w:i/>
          <w:iCs/>
          <w:szCs w:val="20"/>
        </w:rPr>
        <w:t xml:space="preserve"> of Naval Architecture, Ocean &amp; Marine Engineering, Glasgow, UK</w:t>
      </w:r>
    </w:p>
    <w:p w14:paraId="2D74C9CD" w14:textId="77777777" w:rsidR="00837D05" w:rsidRPr="00581056" w:rsidRDefault="00837D05" w:rsidP="00017E9E">
      <w:pPr>
        <w:ind w:left="1440" w:firstLine="0"/>
        <w:rPr>
          <w:i/>
          <w:iCs/>
          <w:szCs w:val="20"/>
        </w:rPr>
      </w:pPr>
    </w:p>
    <w:p w14:paraId="6546EBF7" w14:textId="3759FB5C" w:rsidR="00B05D6E" w:rsidRDefault="00B05D6E">
      <w:pPr>
        <w:pStyle w:val="Affiliation"/>
      </w:pPr>
    </w:p>
    <w:p w14:paraId="785D06F9" w14:textId="19DCA593" w:rsidR="00802E98" w:rsidRPr="00AF7D5D" w:rsidRDefault="00802E98" w:rsidP="00802E98">
      <w:pPr>
        <w:rPr>
          <w:sz w:val="16"/>
          <w:szCs w:val="16"/>
          <w:lang w:val="en-GB"/>
        </w:rPr>
      </w:pPr>
      <w:r w:rsidRPr="00AF7D5D">
        <w:rPr>
          <w:b/>
          <w:sz w:val="16"/>
          <w:szCs w:val="20"/>
          <w:lang w:val="en-GB"/>
        </w:rPr>
        <w:t>Abstract.</w:t>
      </w:r>
      <w:r w:rsidRPr="00AF7D5D">
        <w:rPr>
          <w:sz w:val="16"/>
          <w:szCs w:val="20"/>
          <w:lang w:val="en-GB"/>
        </w:rPr>
        <w:t xml:space="preserve"> </w:t>
      </w:r>
      <w:r w:rsidRPr="00AF7D5D">
        <w:rPr>
          <w:sz w:val="16"/>
          <w:szCs w:val="16"/>
          <w:lang w:val="en-GB"/>
        </w:rPr>
        <w:t>Mitigating flooding risk through passive and active measures is a key step in further increasing the safety of shipping, reducing loss of life and damage to the environment.</w:t>
      </w:r>
      <w:r>
        <w:rPr>
          <w:sz w:val="16"/>
          <w:szCs w:val="16"/>
          <w:lang w:val="en-GB"/>
        </w:rPr>
        <w:t xml:space="preserve"> This paper presents key findings from the</w:t>
      </w:r>
      <w:r w:rsidRPr="00AF7D5D">
        <w:rPr>
          <w:sz w:val="16"/>
          <w:szCs w:val="16"/>
          <w:lang w:val="en-GB"/>
        </w:rPr>
        <w:t xml:space="preserve"> EU Horizon</w:t>
      </w:r>
      <w:r>
        <w:rPr>
          <w:sz w:val="16"/>
          <w:szCs w:val="16"/>
          <w:lang w:val="en-GB"/>
        </w:rPr>
        <w:t xml:space="preserve">s </w:t>
      </w:r>
      <w:r w:rsidRPr="00AF7D5D">
        <w:rPr>
          <w:sz w:val="16"/>
          <w:szCs w:val="16"/>
          <w:lang w:val="en-GB"/>
        </w:rPr>
        <w:t>2020 project FLARE (</w:t>
      </w:r>
      <w:r w:rsidRPr="00AF7D5D">
        <w:rPr>
          <w:b/>
          <w:bCs/>
          <w:sz w:val="16"/>
          <w:szCs w:val="16"/>
          <w:lang w:val="en-GB"/>
        </w:rPr>
        <w:t>FL</w:t>
      </w:r>
      <w:r w:rsidRPr="00AF7D5D">
        <w:rPr>
          <w:sz w:val="16"/>
          <w:szCs w:val="16"/>
          <w:lang w:val="en-GB"/>
        </w:rPr>
        <w:t xml:space="preserve">ooding </w:t>
      </w:r>
      <w:r w:rsidRPr="00AF7D5D">
        <w:rPr>
          <w:b/>
          <w:bCs/>
          <w:sz w:val="16"/>
          <w:szCs w:val="16"/>
          <w:lang w:val="en-GB"/>
        </w:rPr>
        <w:t>A</w:t>
      </w:r>
      <w:r w:rsidRPr="00AF7D5D">
        <w:rPr>
          <w:sz w:val="16"/>
          <w:szCs w:val="16"/>
          <w:lang w:val="en-GB"/>
        </w:rPr>
        <w:t xml:space="preserve">ccident </w:t>
      </w:r>
      <w:r w:rsidRPr="00AF7D5D">
        <w:rPr>
          <w:b/>
          <w:bCs/>
          <w:sz w:val="16"/>
          <w:szCs w:val="16"/>
          <w:lang w:val="en-GB"/>
        </w:rPr>
        <w:t>RE</w:t>
      </w:r>
      <w:r w:rsidRPr="00AF7D5D">
        <w:rPr>
          <w:sz w:val="16"/>
          <w:szCs w:val="16"/>
          <w:lang w:val="en-GB"/>
        </w:rPr>
        <w:t xml:space="preserve">sponse) </w:t>
      </w:r>
      <w:r w:rsidR="00837D05">
        <w:rPr>
          <w:sz w:val="16"/>
          <w:szCs w:val="16"/>
          <w:lang w:val="en-GB"/>
        </w:rPr>
        <w:t xml:space="preserve">that </w:t>
      </w:r>
      <w:r w:rsidRPr="00AF7D5D">
        <w:rPr>
          <w:sz w:val="16"/>
          <w:szCs w:val="16"/>
          <w:lang w:val="en-GB"/>
        </w:rPr>
        <w:t>introduc</w:t>
      </w:r>
      <w:r w:rsidR="00837D05">
        <w:rPr>
          <w:sz w:val="16"/>
          <w:szCs w:val="16"/>
          <w:lang w:val="en-GB"/>
        </w:rPr>
        <w:t>es</w:t>
      </w:r>
      <w:r w:rsidRPr="00AF7D5D">
        <w:rPr>
          <w:sz w:val="16"/>
          <w:szCs w:val="16"/>
          <w:lang w:val="en-GB"/>
        </w:rPr>
        <w:t xml:space="preserve"> a novel risk-based methodology beyond the state-of-the-art for “live” flooding risk assessment and control</w:t>
      </w:r>
      <w:r>
        <w:rPr>
          <w:sz w:val="16"/>
          <w:szCs w:val="16"/>
          <w:lang w:val="en-GB"/>
        </w:rPr>
        <w:t xml:space="preserve">, </w:t>
      </w:r>
      <w:r w:rsidRPr="00AF7D5D">
        <w:rPr>
          <w:sz w:val="16"/>
          <w:szCs w:val="16"/>
          <w:lang w:val="en-GB"/>
        </w:rPr>
        <w:t>with potential application to new and existing ships.</w:t>
      </w:r>
      <w:r>
        <w:rPr>
          <w:sz w:val="16"/>
          <w:szCs w:val="16"/>
          <w:lang w:val="en-GB"/>
        </w:rPr>
        <w:t xml:space="preserve"> </w:t>
      </w:r>
      <w:r w:rsidR="008465BB">
        <w:rPr>
          <w:sz w:val="16"/>
          <w:szCs w:val="16"/>
          <w:lang w:val="en-GB"/>
        </w:rPr>
        <w:t xml:space="preserve">The project develops a </w:t>
      </w:r>
      <w:r w:rsidRPr="00AF7D5D">
        <w:rPr>
          <w:sz w:val="16"/>
          <w:szCs w:val="16"/>
          <w:lang w:val="en-GB"/>
        </w:rPr>
        <w:t xml:space="preserve">flooding accident model - based on statistics and first-principles tools - </w:t>
      </w:r>
      <w:r w:rsidR="008465BB">
        <w:rPr>
          <w:sz w:val="16"/>
          <w:szCs w:val="16"/>
          <w:lang w:val="en-GB"/>
        </w:rPr>
        <w:t>that aims to</w:t>
      </w:r>
      <w:r w:rsidRPr="00AF7D5D">
        <w:rPr>
          <w:sz w:val="16"/>
          <w:szCs w:val="16"/>
          <w:lang w:val="en-GB"/>
        </w:rPr>
        <w:t xml:space="preserve"> assess the frequencies of flooding events whilst accounting for pertinent environmental conditions and design parameters</w:t>
      </w:r>
      <w:r>
        <w:rPr>
          <w:sz w:val="16"/>
          <w:szCs w:val="16"/>
          <w:lang w:val="en-GB"/>
        </w:rPr>
        <w:t xml:space="preserve"> including ship </w:t>
      </w:r>
      <w:r w:rsidRPr="00AF7D5D">
        <w:rPr>
          <w:sz w:val="16"/>
          <w:szCs w:val="16"/>
          <w:lang w:val="en-GB"/>
        </w:rPr>
        <w:t xml:space="preserve">crashworthiness. </w:t>
      </w:r>
      <w:r>
        <w:rPr>
          <w:sz w:val="16"/>
          <w:szCs w:val="16"/>
          <w:lang w:val="en-GB"/>
        </w:rPr>
        <w:t xml:space="preserve">Cost-effective risk control options are under evaluation and </w:t>
      </w:r>
      <w:r w:rsidRPr="00AF7D5D">
        <w:rPr>
          <w:sz w:val="16"/>
          <w:szCs w:val="16"/>
          <w:lang w:val="en-GB"/>
        </w:rPr>
        <w:t>possible recommendations and/or amendments to the regulatory framework</w:t>
      </w:r>
      <w:r>
        <w:rPr>
          <w:sz w:val="16"/>
          <w:szCs w:val="16"/>
          <w:lang w:val="en-GB"/>
        </w:rPr>
        <w:t xml:space="preserve"> </w:t>
      </w:r>
      <w:r w:rsidRPr="00AF7D5D">
        <w:rPr>
          <w:sz w:val="16"/>
          <w:szCs w:val="16"/>
          <w:lang w:val="en-GB"/>
        </w:rPr>
        <w:t>will be submitted to the IMO.</w:t>
      </w:r>
    </w:p>
    <w:p w14:paraId="12356E33" w14:textId="77777777" w:rsidR="00E31D09" w:rsidRPr="00AF7D5D" w:rsidRDefault="00E31D09" w:rsidP="00E31D09">
      <w:pPr>
        <w:pStyle w:val="Default"/>
        <w:jc w:val="both"/>
        <w:rPr>
          <w:sz w:val="16"/>
          <w:szCs w:val="16"/>
          <w:lang w:val="en-GB"/>
        </w:rPr>
      </w:pPr>
    </w:p>
    <w:p w14:paraId="1C6BAE7A" w14:textId="41A9E7D3" w:rsidR="00B05D6E" w:rsidRPr="00AF7D5D" w:rsidRDefault="00B05D6E" w:rsidP="00E31D09">
      <w:pPr>
        <w:rPr>
          <w:sz w:val="16"/>
          <w:szCs w:val="16"/>
          <w:lang w:val="en-GB"/>
        </w:rPr>
      </w:pPr>
      <w:r w:rsidRPr="00AF7D5D">
        <w:rPr>
          <w:b/>
          <w:bCs/>
          <w:sz w:val="16"/>
          <w:szCs w:val="16"/>
          <w:lang w:val="en-GB"/>
        </w:rPr>
        <w:t>Keywords.</w:t>
      </w:r>
      <w:r w:rsidRPr="00AF7D5D">
        <w:rPr>
          <w:sz w:val="16"/>
          <w:szCs w:val="16"/>
          <w:lang w:val="en-GB"/>
        </w:rPr>
        <w:t xml:space="preserve"> </w:t>
      </w:r>
      <w:r w:rsidR="00E67D54" w:rsidRPr="00AF7D5D">
        <w:rPr>
          <w:sz w:val="16"/>
          <w:szCs w:val="16"/>
          <w:lang w:val="en-GB"/>
        </w:rPr>
        <w:t>Risk, passenger ship damage stability, crashworthiness analysis, safety in design</w:t>
      </w:r>
      <w:r w:rsidR="004458B2">
        <w:rPr>
          <w:sz w:val="16"/>
          <w:szCs w:val="16"/>
          <w:lang w:val="en-GB"/>
        </w:rPr>
        <w:t>, operation</w:t>
      </w:r>
      <w:r w:rsidR="00E67D54" w:rsidRPr="00AF7D5D">
        <w:rPr>
          <w:sz w:val="16"/>
          <w:szCs w:val="16"/>
          <w:lang w:val="en-GB"/>
        </w:rPr>
        <w:t xml:space="preserve"> and</w:t>
      </w:r>
      <w:r w:rsidR="00E31D09" w:rsidRPr="00AF7D5D">
        <w:rPr>
          <w:sz w:val="16"/>
          <w:szCs w:val="16"/>
          <w:lang w:val="en-GB"/>
        </w:rPr>
        <w:t xml:space="preserve"> </w:t>
      </w:r>
      <w:r w:rsidR="007D3751">
        <w:rPr>
          <w:sz w:val="16"/>
          <w:szCs w:val="16"/>
          <w:lang w:val="en-GB"/>
        </w:rPr>
        <w:t>emergencies</w:t>
      </w:r>
      <w:r w:rsidR="00E67D54" w:rsidRPr="00AF7D5D">
        <w:rPr>
          <w:sz w:val="16"/>
          <w:szCs w:val="16"/>
          <w:lang w:val="en-GB"/>
        </w:rPr>
        <w:t>, practical recommendations</w:t>
      </w:r>
    </w:p>
    <w:p w14:paraId="70025397" w14:textId="77777777" w:rsidR="00BD7DF6" w:rsidRPr="00AF7D5D" w:rsidRDefault="00BD7DF6" w:rsidP="007B45DE">
      <w:pPr>
        <w:ind w:firstLine="0"/>
        <w:rPr>
          <w:szCs w:val="20"/>
          <w:lang w:val="en-GB"/>
        </w:rPr>
      </w:pPr>
    </w:p>
    <w:p w14:paraId="0E798ADD" w14:textId="07DE1689" w:rsidR="007327A8" w:rsidRPr="007327A8" w:rsidRDefault="007327A8" w:rsidP="00A24C78">
      <w:pPr>
        <w:pStyle w:val="ListParagraph"/>
        <w:numPr>
          <w:ilvl w:val="0"/>
          <w:numId w:val="10"/>
        </w:numPr>
        <w:ind w:left="284" w:hanging="284"/>
        <w:rPr>
          <w:b/>
          <w:bCs/>
          <w:szCs w:val="20"/>
          <w:lang w:val="en-GB"/>
        </w:rPr>
      </w:pPr>
      <w:r w:rsidRPr="007327A8">
        <w:rPr>
          <w:b/>
          <w:bCs/>
          <w:szCs w:val="20"/>
          <w:lang w:val="en-GB"/>
        </w:rPr>
        <w:t>Introduction</w:t>
      </w:r>
    </w:p>
    <w:p w14:paraId="0B45CED0" w14:textId="395E40BC" w:rsidR="00863AEA" w:rsidRDefault="003644E3" w:rsidP="00DE0EC9">
      <w:pPr>
        <w:ind w:firstLine="0"/>
        <w:rPr>
          <w:szCs w:val="20"/>
          <w:lang w:val="en-GB"/>
        </w:rPr>
      </w:pPr>
      <w:r w:rsidRPr="00AF7D5D">
        <w:rPr>
          <w:szCs w:val="20"/>
          <w:lang w:val="en-GB"/>
        </w:rPr>
        <w:t>C</w:t>
      </w:r>
      <w:r w:rsidR="009C483E" w:rsidRPr="00AF7D5D">
        <w:rPr>
          <w:szCs w:val="20"/>
          <w:lang w:val="en-GB"/>
        </w:rPr>
        <w:t xml:space="preserve">urrent IMO regulations on </w:t>
      </w:r>
      <w:r w:rsidR="00750CD9">
        <w:rPr>
          <w:szCs w:val="20"/>
          <w:lang w:val="en-GB"/>
        </w:rPr>
        <w:t xml:space="preserve">ship </w:t>
      </w:r>
      <w:r w:rsidR="009C483E" w:rsidRPr="00AF7D5D">
        <w:rPr>
          <w:szCs w:val="20"/>
          <w:lang w:val="en-GB"/>
        </w:rPr>
        <w:t>damage stability are based on a static</w:t>
      </w:r>
      <w:r w:rsidR="002C443E">
        <w:rPr>
          <w:szCs w:val="20"/>
          <w:lang w:val="en-GB"/>
        </w:rPr>
        <w:t xml:space="preserve"> assessment of damage stability</w:t>
      </w:r>
      <w:r w:rsidR="009C483E" w:rsidRPr="00AF7D5D">
        <w:rPr>
          <w:szCs w:val="20"/>
          <w:lang w:val="en-GB"/>
        </w:rPr>
        <w:t xml:space="preserve"> </w:t>
      </w:r>
      <w:r w:rsidR="002C443E">
        <w:rPr>
          <w:szCs w:val="20"/>
          <w:lang w:val="en-GB"/>
        </w:rPr>
        <w:t>without due consideration on the design flooding risk per se</w:t>
      </w:r>
      <w:r w:rsidR="009C483E" w:rsidRPr="00AF7D5D">
        <w:rPr>
          <w:szCs w:val="20"/>
          <w:lang w:val="en-GB"/>
        </w:rPr>
        <w:t>, while the effect</w:t>
      </w:r>
      <w:r w:rsidR="004D019F" w:rsidRPr="00AF7D5D">
        <w:rPr>
          <w:szCs w:val="20"/>
          <w:lang w:val="en-GB"/>
        </w:rPr>
        <w:t>s</w:t>
      </w:r>
      <w:r w:rsidR="009C483E" w:rsidRPr="00AF7D5D">
        <w:rPr>
          <w:szCs w:val="20"/>
          <w:lang w:val="en-GB"/>
        </w:rPr>
        <w:t xml:space="preserve"> of on-board operations are often averaged and </w:t>
      </w:r>
      <w:r w:rsidR="00A67514" w:rsidRPr="00AF7D5D">
        <w:rPr>
          <w:szCs w:val="20"/>
          <w:lang w:val="en-GB"/>
        </w:rPr>
        <w:t xml:space="preserve">implicitly </w:t>
      </w:r>
      <w:r w:rsidR="009C483E" w:rsidRPr="00AF7D5D">
        <w:rPr>
          <w:szCs w:val="20"/>
          <w:lang w:val="en-GB"/>
        </w:rPr>
        <w:t>considered</w:t>
      </w:r>
      <w:r w:rsidR="00A67514" w:rsidRPr="00AF7D5D">
        <w:rPr>
          <w:szCs w:val="20"/>
          <w:lang w:val="en-GB"/>
        </w:rPr>
        <w:t xml:space="preserve"> (</w:t>
      </w:r>
      <w:r w:rsidR="009C483E" w:rsidRPr="00AF7D5D">
        <w:rPr>
          <w:szCs w:val="20"/>
          <w:lang w:val="en-GB"/>
        </w:rPr>
        <w:t>if at all</w:t>
      </w:r>
      <w:r w:rsidR="00A67514" w:rsidRPr="00AF7D5D">
        <w:rPr>
          <w:szCs w:val="20"/>
          <w:lang w:val="en-GB"/>
        </w:rPr>
        <w:t>)</w:t>
      </w:r>
      <w:r w:rsidR="009C483E" w:rsidRPr="00AF7D5D">
        <w:rPr>
          <w:szCs w:val="20"/>
          <w:lang w:val="en-GB"/>
        </w:rPr>
        <w:t>.</w:t>
      </w:r>
      <w:r w:rsidR="00C123FC" w:rsidRPr="00AF7D5D">
        <w:rPr>
          <w:szCs w:val="20"/>
          <w:lang w:val="en-GB"/>
        </w:rPr>
        <w:t xml:space="preserve"> </w:t>
      </w:r>
      <w:r w:rsidR="00AE72A0" w:rsidRPr="00AF7D5D">
        <w:rPr>
          <w:szCs w:val="20"/>
          <w:lang w:val="en-GB"/>
        </w:rPr>
        <w:t xml:space="preserve">Static </w:t>
      </w:r>
      <w:r w:rsidR="002C443E">
        <w:rPr>
          <w:szCs w:val="20"/>
          <w:lang w:val="en-GB"/>
        </w:rPr>
        <w:t>stability</w:t>
      </w:r>
      <w:r w:rsidR="002C443E" w:rsidRPr="00AF7D5D">
        <w:rPr>
          <w:szCs w:val="20"/>
          <w:lang w:val="en-GB"/>
        </w:rPr>
        <w:t xml:space="preserve"> </w:t>
      </w:r>
      <w:r w:rsidR="00AF2A97" w:rsidRPr="00AF7D5D">
        <w:rPr>
          <w:szCs w:val="20"/>
          <w:lang w:val="en-GB"/>
        </w:rPr>
        <w:t xml:space="preserve">models </w:t>
      </w:r>
      <w:r w:rsidR="00AE72A0" w:rsidRPr="00AF7D5D">
        <w:rPr>
          <w:szCs w:val="20"/>
          <w:lang w:val="en-GB"/>
        </w:rPr>
        <w:t xml:space="preserve">can </w:t>
      </w:r>
      <w:r w:rsidR="00D254C7" w:rsidRPr="00AF7D5D">
        <w:rPr>
          <w:szCs w:val="20"/>
          <w:lang w:val="en-GB"/>
        </w:rPr>
        <w:t>be used to identify</w:t>
      </w:r>
      <w:r w:rsidR="00AF2A97" w:rsidRPr="00AF7D5D">
        <w:rPr>
          <w:szCs w:val="20"/>
          <w:lang w:val="en-GB"/>
        </w:rPr>
        <w:t xml:space="preserve"> </w:t>
      </w:r>
      <w:r w:rsidR="002C443E">
        <w:rPr>
          <w:szCs w:val="20"/>
          <w:lang w:val="en-GB"/>
        </w:rPr>
        <w:t>potential</w:t>
      </w:r>
      <w:r w:rsidR="002C443E" w:rsidRPr="00AF7D5D">
        <w:rPr>
          <w:szCs w:val="20"/>
          <w:lang w:val="en-GB"/>
        </w:rPr>
        <w:t xml:space="preserve"> </w:t>
      </w:r>
      <w:r w:rsidR="00AF2A97" w:rsidRPr="00AF7D5D">
        <w:rPr>
          <w:szCs w:val="20"/>
          <w:lang w:val="en-GB"/>
        </w:rPr>
        <w:t xml:space="preserve">risk reduction/mitigation measures </w:t>
      </w:r>
      <w:r w:rsidR="002C443E">
        <w:rPr>
          <w:szCs w:val="20"/>
          <w:lang w:val="en-GB"/>
        </w:rPr>
        <w:t xml:space="preserve">without directly quantifying </w:t>
      </w:r>
      <w:r w:rsidR="00D254C7" w:rsidRPr="00AF7D5D">
        <w:rPr>
          <w:szCs w:val="20"/>
          <w:lang w:val="en-GB"/>
        </w:rPr>
        <w:t>their</w:t>
      </w:r>
      <w:r w:rsidR="00AF2A97" w:rsidRPr="00AF7D5D">
        <w:rPr>
          <w:szCs w:val="20"/>
          <w:lang w:val="en-GB"/>
        </w:rPr>
        <w:t xml:space="preserve"> </w:t>
      </w:r>
      <w:r w:rsidR="00C30865">
        <w:rPr>
          <w:szCs w:val="20"/>
          <w:lang w:val="en-GB"/>
        </w:rPr>
        <w:t xml:space="preserve">risk reduction </w:t>
      </w:r>
      <w:r w:rsidR="00AF2A97" w:rsidRPr="00AF7D5D">
        <w:rPr>
          <w:szCs w:val="20"/>
          <w:lang w:val="en-GB"/>
        </w:rPr>
        <w:t>effects</w:t>
      </w:r>
      <w:r w:rsidR="004F577A" w:rsidRPr="00AF7D5D">
        <w:rPr>
          <w:szCs w:val="20"/>
          <w:lang w:val="en-GB"/>
        </w:rPr>
        <w:t>, e.g.</w:t>
      </w:r>
      <w:r w:rsidR="004D019F" w:rsidRPr="00AF7D5D">
        <w:rPr>
          <w:szCs w:val="20"/>
          <w:lang w:val="en-GB"/>
        </w:rPr>
        <w:t xml:space="preserve">, </w:t>
      </w:r>
      <w:r w:rsidR="000A690D" w:rsidRPr="00AF7D5D">
        <w:rPr>
          <w:szCs w:val="20"/>
          <w:lang w:val="en-GB"/>
        </w:rPr>
        <w:t>calculat</w:t>
      </w:r>
      <w:r w:rsidR="004D019F" w:rsidRPr="00AF7D5D">
        <w:rPr>
          <w:szCs w:val="20"/>
          <w:lang w:val="en-GB"/>
        </w:rPr>
        <w:t>ing</w:t>
      </w:r>
      <w:r w:rsidR="00AF2A97" w:rsidRPr="00AF7D5D">
        <w:rPr>
          <w:szCs w:val="20"/>
          <w:lang w:val="en-GB"/>
        </w:rPr>
        <w:t xml:space="preserve"> </w:t>
      </w:r>
      <w:r w:rsidR="00C30865">
        <w:rPr>
          <w:szCs w:val="20"/>
          <w:lang w:val="en-GB"/>
        </w:rPr>
        <w:t xml:space="preserve">instead </w:t>
      </w:r>
      <w:r w:rsidR="00AF2A97" w:rsidRPr="00AF7D5D">
        <w:rPr>
          <w:szCs w:val="20"/>
          <w:lang w:val="en-GB"/>
        </w:rPr>
        <w:t>the influence of watertight subdivision for flooding protection</w:t>
      </w:r>
      <w:r w:rsidR="00C30865">
        <w:rPr>
          <w:szCs w:val="20"/>
          <w:lang w:val="en-GB"/>
        </w:rPr>
        <w:t xml:space="preserve"> in so far as damage stability is concerned</w:t>
      </w:r>
      <w:r w:rsidR="004D019F" w:rsidRPr="00AF7D5D">
        <w:rPr>
          <w:szCs w:val="20"/>
          <w:lang w:val="en-GB"/>
        </w:rPr>
        <w:t>.</w:t>
      </w:r>
      <w:r w:rsidR="00750CD9">
        <w:rPr>
          <w:szCs w:val="20"/>
          <w:lang w:val="en-GB"/>
        </w:rPr>
        <w:t xml:space="preserve"> </w:t>
      </w:r>
      <w:proofErr w:type="gramStart"/>
      <w:r w:rsidR="00C30865">
        <w:rPr>
          <w:szCs w:val="20"/>
          <w:lang w:val="en-GB"/>
        </w:rPr>
        <w:t>Considering this, there</w:t>
      </w:r>
      <w:proofErr w:type="gramEnd"/>
      <w:r w:rsidR="00C30865">
        <w:rPr>
          <w:szCs w:val="20"/>
          <w:lang w:val="en-GB"/>
        </w:rPr>
        <w:t xml:space="preserve"> are two basic problems that are being addressed in project FLARE</w:t>
      </w:r>
      <w:r w:rsidR="00373457">
        <w:rPr>
          <w:szCs w:val="20"/>
          <w:lang w:val="en-GB"/>
        </w:rPr>
        <w:t xml:space="preserve"> namely</w:t>
      </w:r>
      <w:r w:rsidR="00C30865">
        <w:rPr>
          <w:szCs w:val="20"/>
          <w:lang w:val="en-GB"/>
        </w:rPr>
        <w:t>: (</w:t>
      </w:r>
      <w:r w:rsidR="00373457">
        <w:rPr>
          <w:szCs w:val="20"/>
          <w:lang w:val="en-GB"/>
        </w:rPr>
        <w:t>i</w:t>
      </w:r>
      <w:r w:rsidR="00C30865">
        <w:rPr>
          <w:szCs w:val="20"/>
          <w:lang w:val="en-GB"/>
        </w:rPr>
        <w:t xml:space="preserve">) </w:t>
      </w:r>
      <w:r w:rsidR="008465BB">
        <w:rPr>
          <w:szCs w:val="20"/>
          <w:lang w:val="en-GB"/>
        </w:rPr>
        <w:t>“i</w:t>
      </w:r>
      <w:r w:rsidR="00C30865">
        <w:rPr>
          <w:szCs w:val="20"/>
          <w:lang w:val="en-GB"/>
        </w:rPr>
        <w:t>ndices</w:t>
      </w:r>
      <w:r w:rsidR="008465BB">
        <w:rPr>
          <w:szCs w:val="20"/>
          <w:lang w:val="en-GB"/>
        </w:rPr>
        <w:t>”</w:t>
      </w:r>
      <w:r w:rsidR="00C30865">
        <w:rPr>
          <w:szCs w:val="20"/>
          <w:lang w:val="en-GB"/>
        </w:rPr>
        <w:t xml:space="preserve">, which do not </w:t>
      </w:r>
      <w:r w:rsidR="00CB3C53">
        <w:rPr>
          <w:szCs w:val="20"/>
          <w:lang w:val="en-GB"/>
        </w:rPr>
        <w:t xml:space="preserve">contain or </w:t>
      </w:r>
      <w:r w:rsidR="00C30865">
        <w:rPr>
          <w:szCs w:val="20"/>
          <w:lang w:val="en-GB"/>
        </w:rPr>
        <w:t>convey the right risk information and (</w:t>
      </w:r>
      <w:r w:rsidR="00373457">
        <w:rPr>
          <w:szCs w:val="20"/>
          <w:lang w:val="en-GB"/>
        </w:rPr>
        <w:t>ii</w:t>
      </w:r>
      <w:r w:rsidR="00C30865">
        <w:rPr>
          <w:szCs w:val="20"/>
          <w:lang w:val="en-GB"/>
        </w:rPr>
        <w:t xml:space="preserve">) passive solutions to address the flooding risk problem. </w:t>
      </w:r>
    </w:p>
    <w:p w14:paraId="461E79CA" w14:textId="3E6202B3" w:rsidR="00535E18" w:rsidRPr="00AF7D5D" w:rsidRDefault="00CB3C53" w:rsidP="00863AEA">
      <w:pPr>
        <w:ind w:firstLine="284"/>
        <w:rPr>
          <w:szCs w:val="20"/>
          <w:lang w:val="en-GB"/>
        </w:rPr>
      </w:pPr>
      <w:r>
        <w:rPr>
          <w:szCs w:val="20"/>
          <w:lang w:val="en-GB"/>
        </w:rPr>
        <w:t>This is because, t</w:t>
      </w:r>
      <w:r w:rsidR="009D2396" w:rsidRPr="00AF7D5D">
        <w:rPr>
          <w:szCs w:val="20"/>
          <w:lang w:val="en-GB"/>
        </w:rPr>
        <w:t xml:space="preserve">raditionally, ship safety </w:t>
      </w:r>
      <w:r w:rsidR="002D4BEB" w:rsidRPr="00AF7D5D">
        <w:rPr>
          <w:szCs w:val="20"/>
          <w:lang w:val="en-GB"/>
        </w:rPr>
        <w:t>has been</w:t>
      </w:r>
      <w:r w:rsidR="009D2396" w:rsidRPr="00AF7D5D">
        <w:rPr>
          <w:szCs w:val="20"/>
          <w:lang w:val="en-GB"/>
        </w:rPr>
        <w:t xml:space="preserve"> addressed as a fundamental design problem </w:t>
      </w:r>
      <w:r w:rsidR="00750CD9">
        <w:rPr>
          <w:szCs w:val="20"/>
          <w:lang w:val="en-GB"/>
        </w:rPr>
        <w:t xml:space="preserve">that </w:t>
      </w:r>
      <w:r w:rsidR="001D1B65" w:rsidRPr="00AF7D5D">
        <w:rPr>
          <w:szCs w:val="20"/>
          <w:lang w:val="en-GB"/>
        </w:rPr>
        <w:t>rel</w:t>
      </w:r>
      <w:r w:rsidR="00750CD9">
        <w:rPr>
          <w:szCs w:val="20"/>
          <w:lang w:val="en-GB"/>
        </w:rPr>
        <w:t>ies</w:t>
      </w:r>
      <w:r w:rsidR="009D2396" w:rsidRPr="00AF7D5D">
        <w:rPr>
          <w:szCs w:val="20"/>
          <w:lang w:val="en-GB"/>
        </w:rPr>
        <w:t xml:space="preserve"> on passive design measures for safety improvement. </w:t>
      </w:r>
      <w:r w:rsidR="00983055">
        <w:rPr>
          <w:szCs w:val="20"/>
          <w:lang w:val="en-GB"/>
        </w:rPr>
        <w:t xml:space="preserve">This is </w:t>
      </w:r>
      <w:proofErr w:type="gramStart"/>
      <w:r w:rsidR="00983055">
        <w:rPr>
          <w:szCs w:val="20"/>
          <w:lang w:val="en-GB"/>
        </w:rPr>
        <w:t>actually the</w:t>
      </w:r>
      <w:proofErr w:type="gramEnd"/>
      <w:r w:rsidR="00983055">
        <w:rPr>
          <w:szCs w:val="20"/>
          <w:lang w:val="en-GB"/>
        </w:rPr>
        <w:t xml:space="preserve"> right approach, in so far as the </w:t>
      </w:r>
      <w:r w:rsidR="007D3751">
        <w:rPr>
          <w:szCs w:val="20"/>
          <w:lang w:val="en-GB"/>
        </w:rPr>
        <w:t>residual</w:t>
      </w:r>
      <w:r w:rsidR="00983055">
        <w:rPr>
          <w:szCs w:val="20"/>
          <w:lang w:val="en-GB"/>
        </w:rPr>
        <w:t xml:space="preserve"> risk, to be managed by operational and emergency response measures is small. However, this is not the case with ships of all sizes and, </w:t>
      </w:r>
      <w:proofErr w:type="gramStart"/>
      <w:r w:rsidR="00983055">
        <w:rPr>
          <w:szCs w:val="20"/>
          <w:lang w:val="en-GB"/>
        </w:rPr>
        <w:t>in particular existing</w:t>
      </w:r>
      <w:proofErr w:type="gramEnd"/>
      <w:r w:rsidR="00983055">
        <w:rPr>
          <w:szCs w:val="20"/>
          <w:lang w:val="en-GB"/>
        </w:rPr>
        <w:t xml:space="preserve"> ships, which have been designed many years ago to what </w:t>
      </w:r>
      <w:r w:rsidR="00983055">
        <w:rPr>
          <w:szCs w:val="20"/>
          <w:lang w:val="en-GB"/>
        </w:rPr>
        <w:lastRenderedPageBreak/>
        <w:t xml:space="preserve">we regard today as inferior standards. </w:t>
      </w:r>
      <w:r w:rsidR="00E101C1">
        <w:rPr>
          <w:szCs w:val="20"/>
          <w:lang w:val="en-GB"/>
        </w:rPr>
        <w:t>As a</w:t>
      </w:r>
      <w:r w:rsidR="00EC1B7F">
        <w:rPr>
          <w:szCs w:val="20"/>
          <w:lang w:val="en-GB"/>
        </w:rPr>
        <w:t xml:space="preserve"> </w:t>
      </w:r>
      <w:r w:rsidR="00E101C1">
        <w:rPr>
          <w:szCs w:val="20"/>
          <w:lang w:val="en-GB"/>
        </w:rPr>
        <w:t>result</w:t>
      </w:r>
      <w:r w:rsidR="00EC1B7F">
        <w:rPr>
          <w:szCs w:val="20"/>
          <w:lang w:val="en-GB"/>
        </w:rPr>
        <w:t>, a</w:t>
      </w:r>
      <w:r w:rsidR="009D2396" w:rsidRPr="00AF7D5D">
        <w:rPr>
          <w:szCs w:val="20"/>
          <w:lang w:val="en-GB"/>
        </w:rPr>
        <w:t xml:space="preserve">ctive measures to address damage stability following collision or grounding have not been pursued in a way </w:t>
      </w:r>
      <w:r w:rsidR="00750CD9">
        <w:rPr>
          <w:szCs w:val="20"/>
          <w:lang w:val="en-GB"/>
        </w:rPr>
        <w:t>that</w:t>
      </w:r>
      <w:r w:rsidR="009D2396" w:rsidRPr="00AF7D5D">
        <w:rPr>
          <w:szCs w:val="20"/>
          <w:lang w:val="en-GB"/>
        </w:rPr>
        <w:t xml:space="preserve"> provide</w:t>
      </w:r>
      <w:r w:rsidR="00750CD9">
        <w:rPr>
          <w:szCs w:val="20"/>
          <w:lang w:val="en-GB"/>
        </w:rPr>
        <w:t>s</w:t>
      </w:r>
      <w:r w:rsidR="009D2396" w:rsidRPr="00AF7D5D">
        <w:rPr>
          <w:szCs w:val="20"/>
          <w:lang w:val="en-GB"/>
        </w:rPr>
        <w:t xml:space="preserve"> measurable, and hence auditable, safety improvements.</w:t>
      </w:r>
      <w:r w:rsidR="00750CD9">
        <w:rPr>
          <w:szCs w:val="20"/>
          <w:lang w:val="en-GB"/>
        </w:rPr>
        <w:t xml:space="preserve"> </w:t>
      </w:r>
      <w:r w:rsidR="00052E54" w:rsidRPr="00AF7D5D">
        <w:rPr>
          <w:szCs w:val="20"/>
          <w:lang w:val="en-GB"/>
        </w:rPr>
        <w:t>Flooding r</w:t>
      </w:r>
      <w:r w:rsidR="009C483E" w:rsidRPr="00AF7D5D">
        <w:rPr>
          <w:szCs w:val="20"/>
          <w:lang w:val="en-GB"/>
        </w:rPr>
        <w:t xml:space="preserve">isk </w:t>
      </w:r>
      <w:r w:rsidR="003D3D70" w:rsidRPr="00AF7D5D">
        <w:rPr>
          <w:szCs w:val="20"/>
          <w:lang w:val="en-GB"/>
        </w:rPr>
        <w:t xml:space="preserve">assessment should </w:t>
      </w:r>
      <w:r w:rsidR="00D67F60" w:rsidRPr="00AF7D5D">
        <w:rPr>
          <w:szCs w:val="20"/>
          <w:lang w:val="en-GB"/>
        </w:rPr>
        <w:t xml:space="preserve">rather </w:t>
      </w:r>
      <w:r w:rsidR="003D3D70" w:rsidRPr="00AF7D5D">
        <w:rPr>
          <w:szCs w:val="20"/>
          <w:lang w:val="en-GB"/>
        </w:rPr>
        <w:t xml:space="preserve">be </w:t>
      </w:r>
      <w:r w:rsidR="009C483E" w:rsidRPr="00AF7D5D">
        <w:rPr>
          <w:szCs w:val="20"/>
          <w:lang w:val="en-GB"/>
        </w:rPr>
        <w:t>“dynamic”</w:t>
      </w:r>
      <w:r w:rsidR="007E24B2" w:rsidRPr="00AF7D5D">
        <w:rPr>
          <w:szCs w:val="20"/>
          <w:lang w:val="en-GB"/>
        </w:rPr>
        <w:t>,</w:t>
      </w:r>
      <w:r w:rsidR="009C483E" w:rsidRPr="00AF7D5D">
        <w:rPr>
          <w:szCs w:val="20"/>
          <w:lang w:val="en-GB"/>
        </w:rPr>
        <w:t xml:space="preserve"> based on the actual ship operation and environmental conditions</w:t>
      </w:r>
      <w:r w:rsidR="00582100" w:rsidRPr="00AF7D5D">
        <w:rPr>
          <w:szCs w:val="20"/>
          <w:lang w:val="en-GB"/>
        </w:rPr>
        <w:t xml:space="preserve">, introducing </w:t>
      </w:r>
      <w:r w:rsidR="00F545FB" w:rsidRPr="00AF7D5D">
        <w:rPr>
          <w:szCs w:val="20"/>
          <w:lang w:val="en-GB"/>
        </w:rPr>
        <w:t>dynamic risk reduction/mitigation measures</w:t>
      </w:r>
      <w:r w:rsidR="00112149" w:rsidRPr="00AF7D5D">
        <w:rPr>
          <w:szCs w:val="20"/>
          <w:lang w:val="en-GB"/>
        </w:rPr>
        <w:t xml:space="preserve"> -</w:t>
      </w:r>
      <w:r w:rsidR="00F545FB" w:rsidRPr="00AF7D5D">
        <w:rPr>
          <w:szCs w:val="20"/>
          <w:lang w:val="en-GB"/>
        </w:rPr>
        <w:t xml:space="preserve"> such as</w:t>
      </w:r>
      <w:r w:rsidR="009C483E" w:rsidRPr="00AF7D5D">
        <w:rPr>
          <w:szCs w:val="20"/>
          <w:lang w:val="en-GB"/>
        </w:rPr>
        <w:t xml:space="preserve"> damage control measures </w:t>
      </w:r>
      <w:r w:rsidR="00882925" w:rsidRPr="00AF7D5D">
        <w:rPr>
          <w:szCs w:val="20"/>
          <w:lang w:val="en-GB"/>
        </w:rPr>
        <w:t>and</w:t>
      </w:r>
      <w:r w:rsidR="009C483E" w:rsidRPr="00AF7D5D">
        <w:rPr>
          <w:szCs w:val="20"/>
          <w:lang w:val="en-GB"/>
        </w:rPr>
        <w:t xml:space="preserve"> passenger evacuation systems</w:t>
      </w:r>
      <w:r w:rsidR="00112149" w:rsidRPr="00AF7D5D">
        <w:rPr>
          <w:szCs w:val="20"/>
          <w:lang w:val="en-GB"/>
        </w:rPr>
        <w:t xml:space="preserve"> -</w:t>
      </w:r>
      <w:r w:rsidR="00535E18" w:rsidRPr="00AF7D5D">
        <w:rPr>
          <w:szCs w:val="20"/>
          <w:lang w:val="en-GB"/>
        </w:rPr>
        <w:t xml:space="preserve"> </w:t>
      </w:r>
      <w:r w:rsidR="009C483E" w:rsidRPr="00AF7D5D">
        <w:rPr>
          <w:szCs w:val="20"/>
          <w:lang w:val="en-GB"/>
        </w:rPr>
        <w:t>ma</w:t>
      </w:r>
      <w:r w:rsidR="00B479AA" w:rsidRPr="00AF7D5D">
        <w:rPr>
          <w:szCs w:val="20"/>
          <w:lang w:val="en-GB"/>
        </w:rPr>
        <w:t>king them</w:t>
      </w:r>
      <w:r w:rsidR="009C483E" w:rsidRPr="00AF7D5D">
        <w:rPr>
          <w:szCs w:val="20"/>
          <w:lang w:val="en-GB"/>
        </w:rPr>
        <w:t xml:space="preserve"> more quantifiable and accountable</w:t>
      </w:r>
      <w:r w:rsidR="006D1504" w:rsidRPr="00AF7D5D">
        <w:rPr>
          <w:szCs w:val="20"/>
          <w:lang w:val="en-GB"/>
        </w:rPr>
        <w:t>, linking risks to real-time conditions and parameters.</w:t>
      </w:r>
    </w:p>
    <w:p w14:paraId="6D9830B5" w14:textId="0DD061BD" w:rsidR="002C2931" w:rsidRPr="00AF7D5D" w:rsidRDefault="00D804FD" w:rsidP="00DE0EC9">
      <w:pPr>
        <w:autoSpaceDE w:val="0"/>
        <w:autoSpaceDN w:val="0"/>
        <w:adjustRightInd w:val="0"/>
        <w:ind w:firstLine="284"/>
        <w:rPr>
          <w:color w:val="000000"/>
          <w:szCs w:val="20"/>
          <w:lang w:val="en-GB" w:eastAsia="nl-NL"/>
        </w:rPr>
      </w:pPr>
      <w:r w:rsidRPr="00AF7D5D">
        <w:rPr>
          <w:color w:val="000000"/>
          <w:szCs w:val="20"/>
          <w:lang w:val="en-GB" w:eastAsia="nl-NL"/>
        </w:rPr>
        <w:t xml:space="preserve">In shipping, </w:t>
      </w:r>
      <w:r w:rsidR="002D3974" w:rsidRPr="00AF7D5D">
        <w:rPr>
          <w:color w:val="000000"/>
          <w:szCs w:val="20"/>
          <w:lang w:val="en-GB" w:eastAsia="nl-NL"/>
        </w:rPr>
        <w:t xml:space="preserve">and specifically for passenger ships, </w:t>
      </w:r>
      <w:r w:rsidRPr="00AF7D5D">
        <w:rPr>
          <w:color w:val="000000"/>
          <w:szCs w:val="20"/>
          <w:lang w:val="en-GB" w:eastAsia="nl-NL"/>
        </w:rPr>
        <w:t xml:space="preserve">risk levels are </w:t>
      </w:r>
      <w:r w:rsidR="002C2931" w:rsidRPr="00AF7D5D">
        <w:rPr>
          <w:color w:val="000000"/>
          <w:szCs w:val="20"/>
          <w:lang w:val="en-GB" w:eastAsia="nl-NL"/>
        </w:rPr>
        <w:t>determined</w:t>
      </w:r>
      <w:r w:rsidRPr="00AF7D5D">
        <w:rPr>
          <w:color w:val="000000"/>
          <w:szCs w:val="20"/>
          <w:lang w:val="en-GB" w:eastAsia="nl-NL"/>
        </w:rPr>
        <w:t xml:space="preserve"> </w:t>
      </w:r>
      <w:r w:rsidR="005C0267" w:rsidRPr="00AF7D5D">
        <w:rPr>
          <w:color w:val="000000"/>
          <w:szCs w:val="20"/>
          <w:lang w:val="en-GB" w:eastAsia="nl-NL"/>
        </w:rPr>
        <w:t xml:space="preserve">by the impact/consequences of an accident </w:t>
      </w:r>
      <w:r w:rsidR="00C8733E" w:rsidRPr="00AF7D5D">
        <w:rPr>
          <w:color w:val="000000"/>
          <w:szCs w:val="20"/>
          <w:lang w:val="en-GB" w:eastAsia="nl-NL"/>
        </w:rPr>
        <w:t xml:space="preserve">- which could be catastrophic - rather than by </w:t>
      </w:r>
      <w:r w:rsidRPr="00AF7D5D">
        <w:rPr>
          <w:color w:val="000000"/>
          <w:szCs w:val="20"/>
          <w:lang w:val="en-GB" w:eastAsia="nl-NL"/>
        </w:rPr>
        <w:t xml:space="preserve">the frequency of accidents </w:t>
      </w:r>
      <w:r w:rsidR="005748D8" w:rsidRPr="00AF7D5D">
        <w:rPr>
          <w:color w:val="000000"/>
          <w:szCs w:val="20"/>
          <w:lang w:val="en-GB" w:eastAsia="nl-NL"/>
        </w:rPr>
        <w:t>which</w:t>
      </w:r>
      <w:r w:rsidRPr="00AF7D5D">
        <w:rPr>
          <w:color w:val="000000"/>
          <w:szCs w:val="20"/>
          <w:lang w:val="en-GB" w:eastAsia="nl-NL"/>
        </w:rPr>
        <w:t xml:space="preserve"> is relatively low</w:t>
      </w:r>
      <w:r w:rsidR="00DE0EC9">
        <w:rPr>
          <w:color w:val="000000"/>
          <w:szCs w:val="20"/>
          <w:lang w:val="en-GB" w:eastAsia="nl-NL"/>
        </w:rPr>
        <w:t>.</w:t>
      </w:r>
      <w:r w:rsidRPr="00AF7D5D">
        <w:rPr>
          <w:color w:val="000000"/>
          <w:szCs w:val="20"/>
          <w:lang w:val="en-GB" w:eastAsia="nl-NL"/>
        </w:rPr>
        <w:t xml:space="preserve"> </w:t>
      </w:r>
      <w:r w:rsidR="00DE0EC9">
        <w:rPr>
          <w:color w:val="000000"/>
          <w:szCs w:val="20"/>
          <w:lang w:val="en-GB" w:eastAsia="nl-NL"/>
        </w:rPr>
        <w:t>I</w:t>
      </w:r>
      <w:r w:rsidRPr="00AF7D5D">
        <w:rPr>
          <w:color w:val="000000"/>
          <w:szCs w:val="20"/>
          <w:lang w:val="en-GB" w:eastAsia="nl-NL"/>
        </w:rPr>
        <w:t>n several cases</w:t>
      </w:r>
      <w:r w:rsidR="00CE1F42" w:rsidRPr="00AF7D5D">
        <w:rPr>
          <w:color w:val="000000"/>
          <w:szCs w:val="20"/>
          <w:lang w:val="en-GB" w:eastAsia="nl-NL"/>
        </w:rPr>
        <w:t>,</w:t>
      </w:r>
      <w:r w:rsidRPr="00AF7D5D">
        <w:rPr>
          <w:color w:val="000000"/>
          <w:szCs w:val="20"/>
          <w:lang w:val="en-GB" w:eastAsia="nl-NL"/>
        </w:rPr>
        <w:t xml:space="preserve"> </w:t>
      </w:r>
      <w:r w:rsidR="005748D8" w:rsidRPr="00AF7D5D">
        <w:rPr>
          <w:color w:val="000000"/>
          <w:szCs w:val="20"/>
          <w:lang w:val="en-GB" w:eastAsia="nl-NL"/>
        </w:rPr>
        <w:t xml:space="preserve">it is </w:t>
      </w:r>
      <w:r w:rsidRPr="00AF7D5D">
        <w:rPr>
          <w:color w:val="000000"/>
          <w:szCs w:val="20"/>
          <w:lang w:val="en-GB" w:eastAsia="nl-NL"/>
        </w:rPr>
        <w:t>impossible to quantify statistically the effect of risk mitigation measures on risk.</w:t>
      </w:r>
      <w:r w:rsidR="00DE0EC9">
        <w:rPr>
          <w:color w:val="000000"/>
          <w:szCs w:val="20"/>
          <w:lang w:val="en-GB" w:eastAsia="nl-NL"/>
        </w:rPr>
        <w:t xml:space="preserve"> </w:t>
      </w:r>
      <w:r w:rsidR="00344017" w:rsidRPr="00AF7D5D">
        <w:rPr>
          <w:color w:val="000000"/>
          <w:szCs w:val="20"/>
          <w:lang w:val="en-GB" w:eastAsia="nl-NL"/>
        </w:rPr>
        <w:t>Appropriate and timely actions taken following a maritime accident can greatly reduce loss of life or damage to the environment</w:t>
      </w:r>
      <w:r w:rsidR="00320119" w:rsidRPr="00AF7D5D">
        <w:rPr>
          <w:color w:val="000000"/>
          <w:szCs w:val="20"/>
          <w:lang w:val="en-GB" w:eastAsia="nl-NL"/>
        </w:rPr>
        <w:t xml:space="preserve">. </w:t>
      </w:r>
      <w:r w:rsidR="00B5416E" w:rsidRPr="00AF7D5D">
        <w:rPr>
          <w:color w:val="000000"/>
          <w:szCs w:val="20"/>
          <w:lang w:val="en-GB" w:eastAsia="nl-NL"/>
        </w:rPr>
        <w:t xml:space="preserve">This is of paramount importance, considering that flooding due to collision, grounding and contact </w:t>
      </w:r>
      <w:r w:rsidR="00EC4908" w:rsidRPr="00AF7D5D">
        <w:rPr>
          <w:color w:val="000000"/>
          <w:szCs w:val="20"/>
          <w:lang w:val="en-GB" w:eastAsia="nl-NL"/>
        </w:rPr>
        <w:t>is</w:t>
      </w:r>
      <w:r w:rsidR="00B5416E" w:rsidRPr="00AF7D5D">
        <w:rPr>
          <w:color w:val="000000"/>
          <w:szCs w:val="20"/>
          <w:lang w:val="en-GB" w:eastAsia="nl-NL"/>
        </w:rPr>
        <w:t xml:space="preserve"> the most significant contribution to the overall risk</w:t>
      </w:r>
      <w:r w:rsidR="008465BB">
        <w:rPr>
          <w:color w:val="000000"/>
          <w:szCs w:val="20"/>
          <w:lang w:val="en-GB" w:eastAsia="nl-NL"/>
        </w:rPr>
        <w:t xml:space="preserve"> [1]</w:t>
      </w:r>
      <w:r w:rsidR="00B5416E" w:rsidRPr="00AF7D5D">
        <w:rPr>
          <w:color w:val="000000"/>
          <w:szCs w:val="20"/>
          <w:lang w:val="en-GB" w:eastAsia="nl-NL"/>
        </w:rPr>
        <w:t>.</w:t>
      </w:r>
      <w:r w:rsidR="006B0552" w:rsidRPr="00AF7D5D">
        <w:rPr>
          <w:color w:val="000000"/>
          <w:szCs w:val="20"/>
          <w:lang w:val="en-GB" w:eastAsia="nl-NL"/>
        </w:rPr>
        <w:t xml:space="preserve"> F</w:t>
      </w:r>
      <w:r w:rsidR="00320119" w:rsidRPr="00AF7D5D">
        <w:rPr>
          <w:color w:val="000000"/>
          <w:szCs w:val="20"/>
          <w:lang w:val="en-GB" w:eastAsia="nl-NL"/>
        </w:rPr>
        <w:t>looding may lead to loss of stability and limit</w:t>
      </w:r>
      <w:r w:rsidR="00486B31" w:rsidRPr="00AF7D5D">
        <w:rPr>
          <w:color w:val="000000"/>
          <w:szCs w:val="20"/>
          <w:lang w:val="en-GB" w:eastAsia="nl-NL"/>
        </w:rPr>
        <w:t xml:space="preserve"> the</w:t>
      </w:r>
      <w:r w:rsidR="00320119" w:rsidRPr="00AF7D5D">
        <w:rPr>
          <w:color w:val="000000"/>
          <w:szCs w:val="20"/>
          <w:lang w:val="en-GB" w:eastAsia="nl-NL"/>
        </w:rPr>
        <w:t xml:space="preserve"> functionality of essential safety systems, thus failing to evacuate large numbers of passengers</w:t>
      </w:r>
      <w:r w:rsidR="00344017" w:rsidRPr="00AF7D5D">
        <w:rPr>
          <w:color w:val="000000"/>
          <w:szCs w:val="20"/>
          <w:lang w:val="en-GB" w:eastAsia="nl-NL"/>
        </w:rPr>
        <w:t>.</w:t>
      </w:r>
      <w:r w:rsidR="00820EF2" w:rsidRPr="00AF7D5D">
        <w:rPr>
          <w:color w:val="000000"/>
          <w:szCs w:val="20"/>
          <w:lang w:val="en-GB" w:eastAsia="nl-NL"/>
        </w:rPr>
        <w:t xml:space="preserve"> </w:t>
      </w:r>
    </w:p>
    <w:p w14:paraId="1A5BCDC9" w14:textId="7EE97A69" w:rsidR="002E44CC" w:rsidRDefault="00750CD9" w:rsidP="002E44CC">
      <w:pPr>
        <w:autoSpaceDE w:val="0"/>
        <w:autoSpaceDN w:val="0"/>
        <w:adjustRightInd w:val="0"/>
        <w:ind w:firstLine="284"/>
        <w:rPr>
          <w:color w:val="000000"/>
          <w:szCs w:val="20"/>
          <w:lang w:val="en-GB" w:eastAsia="nl-NL"/>
        </w:rPr>
      </w:pPr>
      <w:bookmarkStart w:id="0" w:name="_Hlk100160091"/>
      <w:r>
        <w:rPr>
          <w:color w:val="000000"/>
          <w:szCs w:val="20"/>
          <w:lang w:val="en-GB" w:eastAsia="nl-NL"/>
        </w:rPr>
        <w:t>Over the last 30 years t</w:t>
      </w:r>
      <w:r w:rsidR="002E44CC" w:rsidRPr="00AF7D5D">
        <w:rPr>
          <w:color w:val="000000"/>
          <w:szCs w:val="20"/>
          <w:lang w:val="en-GB" w:eastAsia="nl-NL"/>
        </w:rPr>
        <w:t xml:space="preserve">he development of a framework to facilitate life-cycle flooding risk management has been thoroughly pursued </w:t>
      </w:r>
      <w:r>
        <w:rPr>
          <w:color w:val="000000"/>
          <w:szCs w:val="20"/>
          <w:lang w:val="en-GB" w:eastAsia="nl-NL"/>
        </w:rPr>
        <w:t>by</w:t>
      </w:r>
      <w:r w:rsidR="002E44CC" w:rsidRPr="00AF7D5D">
        <w:rPr>
          <w:color w:val="000000"/>
          <w:szCs w:val="20"/>
          <w:lang w:val="en-GB" w:eastAsia="nl-NL"/>
        </w:rPr>
        <w:t xml:space="preserve"> many studies and </w:t>
      </w:r>
      <w:r>
        <w:rPr>
          <w:color w:val="000000"/>
          <w:szCs w:val="20"/>
          <w:lang w:val="en-GB" w:eastAsia="nl-NL"/>
        </w:rPr>
        <w:t xml:space="preserve">EU </w:t>
      </w:r>
      <w:r w:rsidR="002E44CC" w:rsidRPr="00AF7D5D">
        <w:rPr>
          <w:color w:val="000000"/>
          <w:szCs w:val="20"/>
          <w:lang w:val="en-GB" w:eastAsia="nl-NL"/>
        </w:rPr>
        <w:t>research projects</w:t>
      </w:r>
      <w:r w:rsidR="009F0E5A">
        <w:rPr>
          <w:color w:val="000000"/>
          <w:szCs w:val="20"/>
          <w:lang w:val="en-GB" w:eastAsia="nl-NL"/>
        </w:rPr>
        <w:t xml:space="preserve"> [</w:t>
      </w:r>
      <w:r w:rsidR="00373457">
        <w:rPr>
          <w:color w:val="000000"/>
          <w:szCs w:val="20"/>
          <w:lang w:val="en-GB" w:eastAsia="nl-NL"/>
        </w:rPr>
        <w:t>2</w:t>
      </w:r>
      <w:r w:rsidR="009F0E5A">
        <w:rPr>
          <w:color w:val="000000"/>
          <w:szCs w:val="20"/>
          <w:lang w:val="en-GB" w:eastAsia="nl-NL"/>
        </w:rPr>
        <w:t>]</w:t>
      </w:r>
      <w:r w:rsidR="002E44CC" w:rsidRPr="00AF7D5D">
        <w:rPr>
          <w:color w:val="000000"/>
          <w:szCs w:val="20"/>
          <w:lang w:val="en-GB" w:eastAsia="nl-NL"/>
        </w:rPr>
        <w:t xml:space="preserve">. </w:t>
      </w:r>
      <w:bookmarkEnd w:id="0"/>
      <w:r w:rsidR="002E44CC" w:rsidRPr="00AF7D5D">
        <w:rPr>
          <w:color w:val="000000"/>
          <w:szCs w:val="20"/>
          <w:lang w:val="en-GB" w:eastAsia="nl-NL"/>
        </w:rPr>
        <w:t>Activities are now progressing to target risk prevention, reduction, mitigation and control, especially in emergencies, and to provide tools and a guided process to the end users, i.e.</w:t>
      </w:r>
      <w:r w:rsidR="002E44CC">
        <w:rPr>
          <w:color w:val="000000"/>
          <w:szCs w:val="20"/>
          <w:lang w:val="en-GB" w:eastAsia="nl-NL"/>
        </w:rPr>
        <w:t>,</w:t>
      </w:r>
      <w:r w:rsidR="002E44CC" w:rsidRPr="00AF7D5D">
        <w:rPr>
          <w:color w:val="000000"/>
          <w:szCs w:val="20"/>
          <w:lang w:val="en-GB" w:eastAsia="nl-NL"/>
        </w:rPr>
        <w:t xml:space="preserve"> shipyards and ship owners</w:t>
      </w:r>
      <w:r>
        <w:rPr>
          <w:color w:val="000000"/>
          <w:szCs w:val="20"/>
          <w:lang w:val="en-GB" w:eastAsia="nl-NL"/>
        </w:rPr>
        <w:t xml:space="preserve"> (see Table 1)</w:t>
      </w:r>
      <w:r w:rsidR="002E44CC" w:rsidRPr="00AF7D5D">
        <w:rPr>
          <w:color w:val="000000"/>
          <w:szCs w:val="20"/>
          <w:lang w:val="en-GB" w:eastAsia="nl-NL"/>
        </w:rPr>
        <w:t>.</w:t>
      </w:r>
      <w:r w:rsidR="002E44CC">
        <w:rPr>
          <w:color w:val="000000"/>
          <w:szCs w:val="20"/>
          <w:lang w:val="en-GB" w:eastAsia="nl-NL"/>
        </w:rPr>
        <w:t xml:space="preserve"> </w:t>
      </w:r>
      <w:r w:rsidR="002E44CC" w:rsidRPr="00AF7D5D">
        <w:rPr>
          <w:color w:val="000000"/>
          <w:szCs w:val="20"/>
          <w:lang w:val="en-GB" w:eastAsia="nl-NL"/>
        </w:rPr>
        <w:t>Risk control measures can be split into design and operational measures and further categorized as pre-incident, during incident and post-incident. Implicit interrelations exist between these categories, but they are not direct and are to be verified in terms of cost-effectiveness with different applications on new and existing ships.</w:t>
      </w:r>
      <w:r w:rsidR="002E44CC">
        <w:rPr>
          <w:color w:val="000000"/>
          <w:szCs w:val="20"/>
          <w:lang w:val="en-GB" w:eastAsia="nl-NL"/>
        </w:rPr>
        <w:t xml:space="preserve"> </w:t>
      </w:r>
      <w:r w:rsidR="002E44CC" w:rsidRPr="00AF7D5D">
        <w:rPr>
          <w:color w:val="000000"/>
          <w:szCs w:val="20"/>
          <w:lang w:val="en-GB" w:eastAsia="nl-NL"/>
        </w:rPr>
        <w:t xml:space="preserve">The ambition of the risk-based approach is to exploit the maximum risk reduction potential of all measures in these categories </w:t>
      </w:r>
      <w:r w:rsidR="007715A2">
        <w:rPr>
          <w:color w:val="000000"/>
          <w:szCs w:val="20"/>
          <w:lang w:val="en-GB" w:eastAsia="nl-NL"/>
        </w:rPr>
        <w:t xml:space="preserve">whilst ensuring </w:t>
      </w:r>
      <w:r w:rsidR="00443ECA">
        <w:rPr>
          <w:color w:val="000000"/>
          <w:szCs w:val="20"/>
          <w:lang w:val="en-GB" w:eastAsia="nl-NL"/>
        </w:rPr>
        <w:t xml:space="preserve">the most appropriate risk balance </w:t>
      </w:r>
      <w:r w:rsidR="002E44CC" w:rsidRPr="00AF7D5D">
        <w:rPr>
          <w:color w:val="000000"/>
          <w:szCs w:val="20"/>
          <w:lang w:val="en-GB" w:eastAsia="nl-NL"/>
        </w:rPr>
        <w:t>in a quantifiable way and bridge the big gap in the current regulatory framework</w:t>
      </w:r>
      <w:r w:rsidR="00E56CAF">
        <w:rPr>
          <w:color w:val="000000"/>
          <w:szCs w:val="20"/>
          <w:lang w:val="en-GB" w:eastAsia="nl-NL"/>
        </w:rPr>
        <w:t>.</w:t>
      </w:r>
    </w:p>
    <w:p w14:paraId="7AD2A2AC" w14:textId="5F9F974B" w:rsidR="00E56CAF" w:rsidRDefault="00E56CAF" w:rsidP="00E56CAF">
      <w:pPr>
        <w:autoSpaceDE w:val="0"/>
        <w:autoSpaceDN w:val="0"/>
        <w:adjustRightInd w:val="0"/>
        <w:ind w:firstLine="284"/>
        <w:rPr>
          <w:color w:val="000000"/>
          <w:szCs w:val="20"/>
          <w:lang w:val="en-GB" w:eastAsia="nl-NL"/>
        </w:rPr>
      </w:pPr>
      <w:r>
        <w:rPr>
          <w:color w:val="000000"/>
          <w:szCs w:val="20"/>
          <w:lang w:val="en-GB" w:eastAsia="nl-NL"/>
        </w:rPr>
        <w:t xml:space="preserve">The EU Horizons 2020 project </w:t>
      </w:r>
      <w:r w:rsidRPr="00AF7D5D">
        <w:rPr>
          <w:color w:val="000000"/>
          <w:szCs w:val="20"/>
          <w:lang w:val="en-GB" w:eastAsia="nl-NL"/>
        </w:rPr>
        <w:t xml:space="preserve">FLARE </w:t>
      </w:r>
      <w:r w:rsidRPr="00E56CAF">
        <w:rPr>
          <w:szCs w:val="20"/>
          <w:lang w:val="en-GB"/>
        </w:rPr>
        <w:t>(</w:t>
      </w:r>
      <w:r w:rsidRPr="00E56CAF">
        <w:rPr>
          <w:b/>
          <w:bCs/>
          <w:szCs w:val="20"/>
          <w:lang w:val="en-GB"/>
        </w:rPr>
        <w:t>FL</w:t>
      </w:r>
      <w:r w:rsidRPr="00E56CAF">
        <w:rPr>
          <w:szCs w:val="20"/>
          <w:lang w:val="en-GB"/>
        </w:rPr>
        <w:t xml:space="preserve">ooding </w:t>
      </w:r>
      <w:r w:rsidRPr="00E56CAF">
        <w:rPr>
          <w:b/>
          <w:bCs/>
          <w:szCs w:val="20"/>
          <w:lang w:val="en-GB"/>
        </w:rPr>
        <w:t>A</w:t>
      </w:r>
      <w:r w:rsidRPr="00E56CAF">
        <w:rPr>
          <w:szCs w:val="20"/>
          <w:lang w:val="en-GB"/>
        </w:rPr>
        <w:t xml:space="preserve">ccident </w:t>
      </w:r>
      <w:r w:rsidRPr="00E56CAF">
        <w:rPr>
          <w:b/>
          <w:bCs/>
          <w:szCs w:val="20"/>
          <w:lang w:val="en-GB"/>
        </w:rPr>
        <w:t>RE</w:t>
      </w:r>
      <w:r w:rsidRPr="00E56CAF">
        <w:rPr>
          <w:szCs w:val="20"/>
          <w:lang w:val="en-GB"/>
        </w:rPr>
        <w:t xml:space="preserve">sponse) </w:t>
      </w:r>
      <w:r w:rsidRPr="00AF7D5D">
        <w:rPr>
          <w:color w:val="000000"/>
          <w:szCs w:val="20"/>
          <w:lang w:val="en-GB" w:eastAsia="nl-NL"/>
        </w:rPr>
        <w:t>contribut</w:t>
      </w:r>
      <w:r>
        <w:rPr>
          <w:color w:val="000000"/>
          <w:szCs w:val="20"/>
          <w:lang w:val="en-GB" w:eastAsia="nl-NL"/>
        </w:rPr>
        <w:t>es</w:t>
      </w:r>
      <w:r w:rsidRPr="00AF7D5D">
        <w:rPr>
          <w:color w:val="000000"/>
          <w:szCs w:val="20"/>
          <w:lang w:val="en-GB" w:eastAsia="nl-NL"/>
        </w:rPr>
        <w:t xml:space="preserve"> to </w:t>
      </w:r>
      <w:r>
        <w:rPr>
          <w:color w:val="000000"/>
          <w:szCs w:val="20"/>
          <w:lang w:val="en-GB" w:eastAsia="nl-NL"/>
        </w:rPr>
        <w:t xml:space="preserve">the </w:t>
      </w:r>
      <w:r w:rsidRPr="00AF7D5D">
        <w:rPr>
          <w:color w:val="000000"/>
          <w:szCs w:val="20"/>
          <w:lang w:val="en-GB" w:eastAsia="nl-NL"/>
        </w:rPr>
        <w:t xml:space="preserve">ongoing efforts to increase the safety of shipping by </w:t>
      </w:r>
      <w:r w:rsidR="00DB4F26">
        <w:rPr>
          <w:color w:val="000000"/>
          <w:szCs w:val="20"/>
          <w:lang w:val="en-GB" w:eastAsia="nl-NL"/>
        </w:rPr>
        <w:t xml:space="preserve">developing and </w:t>
      </w:r>
      <w:r w:rsidRPr="00AF7D5D">
        <w:rPr>
          <w:color w:val="000000"/>
          <w:szCs w:val="20"/>
          <w:lang w:val="en-GB" w:eastAsia="nl-NL"/>
        </w:rPr>
        <w:t xml:space="preserve">validating a flooding risk assessment model, which can be used to evaluate the safety level in the design phase and in real time operations. This platform offers </w:t>
      </w:r>
      <w:r>
        <w:rPr>
          <w:color w:val="000000"/>
          <w:szCs w:val="20"/>
          <w:lang w:val="en-GB" w:eastAsia="nl-NL"/>
        </w:rPr>
        <w:t xml:space="preserve">to the </w:t>
      </w:r>
      <w:r w:rsidRPr="00AF7D5D">
        <w:rPr>
          <w:color w:val="000000"/>
          <w:szCs w:val="20"/>
          <w:lang w:val="en-GB" w:eastAsia="nl-NL"/>
        </w:rPr>
        <w:t xml:space="preserve">crew </w:t>
      </w:r>
      <w:r>
        <w:rPr>
          <w:color w:val="000000"/>
          <w:szCs w:val="20"/>
          <w:lang w:val="en-GB" w:eastAsia="nl-NL"/>
        </w:rPr>
        <w:t xml:space="preserve">the opportunity for </w:t>
      </w:r>
      <w:r w:rsidRPr="00AF7D5D">
        <w:rPr>
          <w:color w:val="000000"/>
          <w:szCs w:val="20"/>
          <w:lang w:val="en-GB" w:eastAsia="nl-NL"/>
        </w:rPr>
        <w:t>fast evaluation of any impeding emergency</w:t>
      </w:r>
      <w:r>
        <w:rPr>
          <w:color w:val="000000"/>
          <w:szCs w:val="20"/>
          <w:lang w:val="en-GB" w:eastAsia="nl-NL"/>
        </w:rPr>
        <w:t>. It</w:t>
      </w:r>
      <w:r w:rsidR="001C2D60">
        <w:rPr>
          <w:color w:val="000000"/>
          <w:szCs w:val="20"/>
          <w:lang w:val="en-GB" w:eastAsia="nl-NL"/>
        </w:rPr>
        <w:t>,</w:t>
      </w:r>
      <w:r>
        <w:rPr>
          <w:color w:val="000000"/>
          <w:szCs w:val="20"/>
          <w:lang w:val="en-GB" w:eastAsia="nl-NL"/>
        </w:rPr>
        <w:t xml:space="preserve"> therefore</w:t>
      </w:r>
      <w:r w:rsidR="001C2D60">
        <w:rPr>
          <w:color w:val="000000"/>
          <w:szCs w:val="20"/>
          <w:lang w:val="en-GB" w:eastAsia="nl-NL"/>
        </w:rPr>
        <w:t>,</w:t>
      </w:r>
      <w:r>
        <w:rPr>
          <w:color w:val="000000"/>
          <w:szCs w:val="20"/>
          <w:lang w:val="en-GB" w:eastAsia="nl-NL"/>
        </w:rPr>
        <w:t xml:space="preserve"> can serve as</w:t>
      </w:r>
      <w:r w:rsidRPr="00AF7D5D">
        <w:rPr>
          <w:color w:val="000000"/>
          <w:szCs w:val="20"/>
          <w:lang w:val="en-GB" w:eastAsia="nl-NL"/>
        </w:rPr>
        <w:t xml:space="preserve"> </w:t>
      </w:r>
      <w:r>
        <w:rPr>
          <w:color w:val="000000"/>
          <w:szCs w:val="20"/>
          <w:lang w:val="en-GB" w:eastAsia="nl-NL"/>
        </w:rPr>
        <w:t xml:space="preserve">a </w:t>
      </w:r>
      <w:r w:rsidRPr="00AF7D5D">
        <w:rPr>
          <w:color w:val="000000"/>
          <w:szCs w:val="20"/>
          <w:lang w:val="en-GB" w:eastAsia="nl-NL"/>
        </w:rPr>
        <w:t xml:space="preserve">decision support during emergency situations and </w:t>
      </w:r>
      <w:r>
        <w:rPr>
          <w:color w:val="000000"/>
          <w:szCs w:val="20"/>
          <w:lang w:val="en-GB" w:eastAsia="nl-NL"/>
        </w:rPr>
        <w:t xml:space="preserve">as </w:t>
      </w:r>
      <w:r w:rsidRPr="00AF7D5D">
        <w:rPr>
          <w:color w:val="000000"/>
          <w:szCs w:val="20"/>
          <w:lang w:val="en-GB" w:eastAsia="nl-NL"/>
        </w:rPr>
        <w:t xml:space="preserve">invaluable feedback to designers </w:t>
      </w:r>
      <w:r>
        <w:rPr>
          <w:color w:val="000000"/>
          <w:szCs w:val="20"/>
          <w:lang w:val="en-GB" w:eastAsia="nl-NL"/>
        </w:rPr>
        <w:t xml:space="preserve">that aim </w:t>
      </w:r>
      <w:r w:rsidRPr="00AF7D5D">
        <w:rPr>
          <w:color w:val="000000"/>
          <w:szCs w:val="20"/>
          <w:lang w:val="en-GB" w:eastAsia="nl-NL"/>
        </w:rPr>
        <w:t>to evaluate the effect of active and passive flooding mitigation measures.</w:t>
      </w:r>
      <w:r>
        <w:rPr>
          <w:color w:val="000000"/>
          <w:szCs w:val="20"/>
          <w:lang w:val="en-GB" w:eastAsia="nl-NL"/>
        </w:rPr>
        <w:t xml:space="preserve"> Fundamental to this is the a</w:t>
      </w:r>
      <w:r w:rsidRPr="00AF7D5D">
        <w:rPr>
          <w:color w:val="000000"/>
          <w:szCs w:val="20"/>
          <w:lang w:val="en-GB" w:eastAsia="nl-NL"/>
        </w:rPr>
        <w:t xml:space="preserve">ccurate modelling of flooding </w:t>
      </w:r>
      <w:r>
        <w:rPr>
          <w:color w:val="000000"/>
          <w:szCs w:val="20"/>
          <w:lang w:val="en-GB" w:eastAsia="nl-NL"/>
        </w:rPr>
        <w:t xml:space="preserve">risk with the ultimate aim to </w:t>
      </w:r>
      <w:r w:rsidRPr="00AF7D5D">
        <w:rPr>
          <w:color w:val="000000"/>
          <w:szCs w:val="20"/>
          <w:lang w:val="en-GB" w:eastAsia="nl-NL"/>
        </w:rPr>
        <w:t xml:space="preserve">increase the reliability of predictions in </w:t>
      </w:r>
      <w:r>
        <w:rPr>
          <w:color w:val="000000"/>
          <w:szCs w:val="20"/>
          <w:lang w:val="en-GB" w:eastAsia="nl-NL"/>
        </w:rPr>
        <w:t>ship</w:t>
      </w:r>
      <w:r w:rsidRPr="00AF7D5D">
        <w:rPr>
          <w:color w:val="000000"/>
          <w:szCs w:val="20"/>
          <w:lang w:val="en-GB" w:eastAsia="nl-NL"/>
        </w:rPr>
        <w:t xml:space="preserve"> safety assessment</w:t>
      </w:r>
      <w:r>
        <w:rPr>
          <w:color w:val="000000"/>
          <w:szCs w:val="20"/>
          <w:lang w:val="en-GB" w:eastAsia="nl-NL"/>
        </w:rPr>
        <w:t xml:space="preserve">, risk mitigation and control. </w:t>
      </w:r>
    </w:p>
    <w:p w14:paraId="6783B988" w14:textId="5871DD22" w:rsidR="002E44CC" w:rsidRDefault="002E44CC" w:rsidP="00E56CAF">
      <w:pPr>
        <w:ind w:firstLine="284"/>
        <w:rPr>
          <w:szCs w:val="20"/>
          <w:lang w:val="en-GB"/>
        </w:rPr>
      </w:pPr>
      <w:r w:rsidRPr="00E56CAF">
        <w:rPr>
          <w:szCs w:val="20"/>
          <w:lang w:val="en-GB"/>
        </w:rPr>
        <w:t xml:space="preserve">This paper reviews </w:t>
      </w:r>
      <w:r w:rsidR="004977B1">
        <w:rPr>
          <w:szCs w:val="20"/>
          <w:lang w:val="en-GB"/>
        </w:rPr>
        <w:t>the project and its relevance on</w:t>
      </w:r>
      <w:r w:rsidRPr="00E56CAF">
        <w:rPr>
          <w:szCs w:val="20"/>
          <w:lang w:val="en-GB"/>
        </w:rPr>
        <w:t xml:space="preserve"> Risk Control Options (RCOs), including susceptibility to flooding accidents (pre-accident phase) and risk estimation beyond existing statistics</w:t>
      </w:r>
      <w:r w:rsidR="004977B1">
        <w:rPr>
          <w:szCs w:val="20"/>
          <w:lang w:val="en-GB"/>
        </w:rPr>
        <w:t xml:space="preserve"> considered by </w:t>
      </w:r>
      <w:r w:rsidR="00373457">
        <w:rPr>
          <w:szCs w:val="20"/>
          <w:lang w:val="en-GB"/>
        </w:rPr>
        <w:t xml:space="preserve">IMO </w:t>
      </w:r>
      <w:r w:rsidR="004977B1">
        <w:rPr>
          <w:szCs w:val="20"/>
          <w:lang w:val="en-GB"/>
        </w:rPr>
        <w:t>SOLAS</w:t>
      </w:r>
      <w:r w:rsidR="00373457">
        <w:rPr>
          <w:szCs w:val="20"/>
          <w:lang w:val="en-GB"/>
        </w:rPr>
        <w:t xml:space="preserve"> [3]</w:t>
      </w:r>
      <w:r w:rsidRPr="00E56CAF">
        <w:rPr>
          <w:szCs w:val="20"/>
          <w:lang w:val="en-GB"/>
        </w:rPr>
        <w:t xml:space="preserve">. The susceptibility model is linked to a flooding accident model to assess - based on statistics and first-principles tools - the frequencies of flooding events whilst accounting for pertinent environmental conditions and design parameters, including such novel concepts as the crashworthiness of the ship. </w:t>
      </w:r>
    </w:p>
    <w:p w14:paraId="4991FDA6" w14:textId="7C72D531" w:rsidR="004977B1" w:rsidRDefault="004977B1" w:rsidP="00833E51">
      <w:pPr>
        <w:ind w:firstLine="0"/>
        <w:rPr>
          <w:szCs w:val="20"/>
          <w:lang w:val="en-GB"/>
        </w:rPr>
      </w:pPr>
    </w:p>
    <w:p w14:paraId="4D1183FE" w14:textId="77777777" w:rsidR="008465BB" w:rsidRPr="007327A8" w:rsidRDefault="008465BB" w:rsidP="008465BB">
      <w:pPr>
        <w:pStyle w:val="ListParagraph"/>
        <w:numPr>
          <w:ilvl w:val="0"/>
          <w:numId w:val="10"/>
        </w:numPr>
        <w:ind w:left="284" w:hanging="284"/>
        <w:rPr>
          <w:b/>
          <w:bCs/>
          <w:szCs w:val="20"/>
          <w:lang w:val="en-GB"/>
        </w:rPr>
      </w:pPr>
      <w:r w:rsidRPr="007327A8">
        <w:rPr>
          <w:b/>
          <w:bCs/>
          <w:szCs w:val="20"/>
          <w:lang w:val="en-GB"/>
        </w:rPr>
        <w:t>In</w:t>
      </w:r>
      <w:r>
        <w:rPr>
          <w:b/>
          <w:bCs/>
          <w:szCs w:val="20"/>
          <w:lang w:val="en-GB"/>
        </w:rPr>
        <w:t xml:space="preserve">itial data collection </w:t>
      </w:r>
    </w:p>
    <w:p w14:paraId="4208C1A0" w14:textId="5550EA05" w:rsidR="008465BB" w:rsidRDefault="008465BB" w:rsidP="00833E51">
      <w:pPr>
        <w:ind w:firstLine="0"/>
        <w:rPr>
          <w:szCs w:val="20"/>
          <w:lang w:val="en-GB"/>
        </w:rPr>
      </w:pPr>
      <w:r w:rsidRPr="004977B1">
        <w:rPr>
          <w:rFonts w:eastAsia="Times New Roman"/>
          <w:szCs w:val="20"/>
        </w:rPr>
        <w:t>Work in this section use</w:t>
      </w:r>
      <w:r>
        <w:rPr>
          <w:rFonts w:eastAsia="Times New Roman"/>
          <w:szCs w:val="20"/>
        </w:rPr>
        <w:t>s</w:t>
      </w:r>
      <w:r w:rsidRPr="004977B1">
        <w:rPr>
          <w:rFonts w:eastAsia="Times New Roman"/>
          <w:szCs w:val="20"/>
        </w:rPr>
        <w:t xml:space="preserve"> sample passenger ships and focuse</w:t>
      </w:r>
      <w:r>
        <w:rPr>
          <w:rFonts w:eastAsia="Times New Roman"/>
          <w:szCs w:val="20"/>
        </w:rPr>
        <w:t>s</w:t>
      </w:r>
      <w:r w:rsidRPr="004977B1">
        <w:rPr>
          <w:rFonts w:eastAsia="Times New Roman"/>
          <w:szCs w:val="20"/>
        </w:rPr>
        <w:t xml:space="preserve"> on </w:t>
      </w:r>
      <w:r>
        <w:rPr>
          <w:rFonts w:eastAsia="Times New Roman"/>
          <w:szCs w:val="20"/>
        </w:rPr>
        <w:t xml:space="preserve">the potential use of </w:t>
      </w:r>
      <w:r w:rsidRPr="004977B1">
        <w:rPr>
          <w:rFonts w:eastAsia="Times New Roman"/>
          <w:szCs w:val="20"/>
        </w:rPr>
        <w:t xml:space="preserve">operational data </w:t>
      </w:r>
      <w:r>
        <w:rPr>
          <w:rFonts w:eastAsia="Times New Roman"/>
          <w:szCs w:val="20"/>
        </w:rPr>
        <w:t>for</w:t>
      </w:r>
      <w:r w:rsidRPr="004977B1">
        <w:rPr>
          <w:rFonts w:eastAsia="Times New Roman"/>
          <w:szCs w:val="20"/>
        </w:rPr>
        <w:t xml:space="preserve"> better understanding of </w:t>
      </w:r>
      <w:r>
        <w:rPr>
          <w:rFonts w:eastAsia="Times New Roman"/>
          <w:szCs w:val="20"/>
        </w:rPr>
        <w:t>design for safety of cruise liners and Ro-pax vessels</w:t>
      </w:r>
      <w:r>
        <w:rPr>
          <w:szCs w:val="20"/>
          <w:lang w:val="en-GB"/>
        </w:rPr>
        <w:t xml:space="preserve">. Two major topics are addressed namely (i) </w:t>
      </w:r>
      <w:r w:rsidRPr="00FF04E4">
        <w:rPr>
          <w:rFonts w:eastAsia="Times New Roman"/>
          <w:szCs w:val="20"/>
        </w:rPr>
        <w:t xml:space="preserve">permeabilities and </w:t>
      </w:r>
      <w:r>
        <w:rPr>
          <w:rFonts w:eastAsia="Times New Roman"/>
          <w:szCs w:val="20"/>
        </w:rPr>
        <w:t xml:space="preserve">their </w:t>
      </w:r>
      <w:r w:rsidRPr="00FF04E4">
        <w:rPr>
          <w:rFonts w:eastAsia="Times New Roman"/>
          <w:szCs w:val="20"/>
        </w:rPr>
        <w:t xml:space="preserve">comparison </w:t>
      </w:r>
    </w:p>
    <w:p w14:paraId="1C2F3D30" w14:textId="77777777" w:rsidR="009F38F4" w:rsidRDefault="009F38F4" w:rsidP="009F38F4">
      <w:pPr>
        <w:pStyle w:val="CaptionLong"/>
        <w:jc w:val="center"/>
      </w:pPr>
      <w:r>
        <w:rPr>
          <w:b/>
        </w:rPr>
        <w:lastRenderedPageBreak/>
        <w:t>Table 1.</w:t>
      </w:r>
      <w:r>
        <w:t xml:space="preserve"> Past versus present and future measures of relevance to ship flooding accident response</w:t>
      </w:r>
    </w:p>
    <w:tbl>
      <w:tblPr>
        <w:tblW w:w="7158" w:type="dxa"/>
        <w:jc w:val="center"/>
        <w:tblLook w:val="00A0" w:firstRow="1" w:lastRow="0" w:firstColumn="1" w:lastColumn="0" w:noHBand="0" w:noVBand="0"/>
      </w:tblPr>
      <w:tblGrid>
        <w:gridCol w:w="3261"/>
        <w:gridCol w:w="3897"/>
      </w:tblGrid>
      <w:tr w:rsidR="001C485A" w:rsidRPr="002E44CC" w14:paraId="2E7089CA" w14:textId="77777777" w:rsidTr="001F4722">
        <w:trPr>
          <w:jc w:val="center"/>
        </w:trPr>
        <w:tc>
          <w:tcPr>
            <w:tcW w:w="3261" w:type="dxa"/>
            <w:tcBorders>
              <w:top w:val="single" w:sz="4" w:space="0" w:color="auto"/>
              <w:bottom w:val="single" w:sz="4" w:space="0" w:color="auto"/>
            </w:tcBorders>
          </w:tcPr>
          <w:p w14:paraId="1B976F5C" w14:textId="77777777" w:rsidR="001C485A" w:rsidRPr="002E44CC" w:rsidRDefault="001C485A" w:rsidP="001F4722">
            <w:pPr>
              <w:ind w:firstLine="0"/>
              <w:jc w:val="center"/>
              <w:rPr>
                <w:b/>
                <w:sz w:val="16"/>
                <w:szCs w:val="16"/>
              </w:rPr>
            </w:pPr>
            <w:r w:rsidRPr="002E44CC">
              <w:rPr>
                <w:b/>
                <w:sz w:val="16"/>
                <w:szCs w:val="16"/>
              </w:rPr>
              <w:t>Past</w:t>
            </w:r>
          </w:p>
        </w:tc>
        <w:tc>
          <w:tcPr>
            <w:tcW w:w="3897" w:type="dxa"/>
            <w:tcBorders>
              <w:top w:val="single" w:sz="4" w:space="0" w:color="auto"/>
              <w:bottom w:val="single" w:sz="4" w:space="0" w:color="auto"/>
            </w:tcBorders>
          </w:tcPr>
          <w:p w14:paraId="1B97ED1F" w14:textId="77777777" w:rsidR="001C485A" w:rsidRPr="002E44CC" w:rsidRDefault="001C485A" w:rsidP="001F4722">
            <w:pPr>
              <w:ind w:firstLine="0"/>
              <w:jc w:val="center"/>
              <w:rPr>
                <w:b/>
                <w:sz w:val="16"/>
                <w:szCs w:val="16"/>
              </w:rPr>
            </w:pPr>
            <w:r w:rsidRPr="002E44CC">
              <w:rPr>
                <w:b/>
                <w:sz w:val="16"/>
                <w:szCs w:val="16"/>
              </w:rPr>
              <w:t>Present (and future)</w:t>
            </w:r>
          </w:p>
        </w:tc>
      </w:tr>
      <w:tr w:rsidR="001C485A" w:rsidRPr="002E44CC" w14:paraId="02ABF1F3" w14:textId="77777777" w:rsidTr="001F4722">
        <w:trPr>
          <w:jc w:val="center"/>
        </w:trPr>
        <w:tc>
          <w:tcPr>
            <w:tcW w:w="3261" w:type="dxa"/>
            <w:tcBorders>
              <w:top w:val="single" w:sz="4" w:space="0" w:color="auto"/>
            </w:tcBorders>
          </w:tcPr>
          <w:p w14:paraId="23642A2C" w14:textId="21160D71" w:rsidR="001C485A" w:rsidRPr="002E44CC" w:rsidRDefault="001C485A" w:rsidP="00C320A0">
            <w:pPr>
              <w:ind w:firstLine="0"/>
              <w:rPr>
                <w:color w:val="000000"/>
                <w:sz w:val="16"/>
                <w:szCs w:val="16"/>
                <w:lang w:val="en-GB" w:eastAsia="nl-NL"/>
              </w:rPr>
            </w:pPr>
            <w:r w:rsidRPr="002E44CC">
              <w:rPr>
                <w:color w:val="000000"/>
                <w:sz w:val="16"/>
                <w:szCs w:val="16"/>
                <w:lang w:val="en-GB" w:eastAsia="nl-NL"/>
              </w:rPr>
              <w:t>Safety improvements achieved through regulations driven by accidents.</w:t>
            </w:r>
            <w:r w:rsidR="00C320A0">
              <w:rPr>
                <w:color w:val="000000"/>
                <w:sz w:val="16"/>
                <w:szCs w:val="16"/>
                <w:lang w:val="en-GB" w:eastAsia="nl-NL"/>
              </w:rPr>
              <w:t xml:space="preserve"> </w:t>
            </w:r>
            <w:r w:rsidRPr="002E44CC">
              <w:rPr>
                <w:color w:val="000000"/>
                <w:sz w:val="16"/>
                <w:szCs w:val="16"/>
                <w:lang w:val="en-GB" w:eastAsia="nl-NL"/>
              </w:rPr>
              <w:t>Focus on post-incident damage limitation by passive measures on new ships.</w:t>
            </w:r>
          </w:p>
        </w:tc>
        <w:tc>
          <w:tcPr>
            <w:tcW w:w="3897" w:type="dxa"/>
            <w:tcBorders>
              <w:top w:val="single" w:sz="4" w:space="0" w:color="auto"/>
            </w:tcBorders>
          </w:tcPr>
          <w:p w14:paraId="65B24272" w14:textId="538BD12A" w:rsidR="001C485A" w:rsidRPr="002E44CC" w:rsidRDefault="001C485A" w:rsidP="00C320A0">
            <w:pPr>
              <w:ind w:firstLine="0"/>
              <w:rPr>
                <w:color w:val="000000"/>
                <w:sz w:val="16"/>
                <w:szCs w:val="16"/>
                <w:lang w:val="en-GB" w:eastAsia="nl-NL"/>
              </w:rPr>
            </w:pPr>
            <w:r w:rsidRPr="002E44CC">
              <w:rPr>
                <w:color w:val="000000"/>
                <w:sz w:val="16"/>
                <w:szCs w:val="16"/>
                <w:lang w:val="en-GB" w:eastAsia="nl-NL"/>
              </w:rPr>
              <w:t>Focus on passive and active risk reduction pre/post-accident. Safety treated as measurable objective in a risk-based regulatory framework.</w:t>
            </w:r>
            <w:r w:rsidR="00C320A0">
              <w:rPr>
                <w:color w:val="000000"/>
                <w:sz w:val="16"/>
                <w:szCs w:val="16"/>
                <w:lang w:val="en-GB" w:eastAsia="nl-NL"/>
              </w:rPr>
              <w:t xml:space="preserve"> </w:t>
            </w:r>
            <w:r w:rsidRPr="002E44CC">
              <w:rPr>
                <w:color w:val="000000"/>
                <w:sz w:val="16"/>
                <w:szCs w:val="16"/>
                <w:lang w:val="en-GB" w:eastAsia="nl-NL"/>
              </w:rPr>
              <w:t>Target both new and existing ships.</w:t>
            </w:r>
          </w:p>
        </w:tc>
      </w:tr>
      <w:tr w:rsidR="001C485A" w:rsidRPr="002E44CC" w14:paraId="5E7AF2DD" w14:textId="77777777" w:rsidTr="001F4722">
        <w:trPr>
          <w:jc w:val="center"/>
        </w:trPr>
        <w:tc>
          <w:tcPr>
            <w:tcW w:w="3261" w:type="dxa"/>
          </w:tcPr>
          <w:p w14:paraId="196DA549" w14:textId="77777777" w:rsidR="001C485A" w:rsidRPr="002E44CC" w:rsidRDefault="001C485A" w:rsidP="001F4722">
            <w:pPr>
              <w:ind w:firstLine="0"/>
              <w:rPr>
                <w:color w:val="000000"/>
                <w:sz w:val="16"/>
                <w:szCs w:val="16"/>
                <w:lang w:val="en-GB" w:eastAsia="nl-NL"/>
              </w:rPr>
            </w:pPr>
          </w:p>
          <w:p w14:paraId="1E6AA93B" w14:textId="77777777" w:rsidR="001C485A" w:rsidRPr="002E44CC" w:rsidRDefault="001C485A" w:rsidP="001F4722">
            <w:pPr>
              <w:ind w:firstLine="0"/>
              <w:rPr>
                <w:color w:val="000000"/>
                <w:sz w:val="16"/>
                <w:szCs w:val="16"/>
                <w:lang w:val="en-GB" w:eastAsia="nl-NL"/>
              </w:rPr>
            </w:pPr>
            <w:r w:rsidRPr="002E44CC">
              <w:rPr>
                <w:color w:val="000000"/>
                <w:sz w:val="16"/>
                <w:szCs w:val="16"/>
                <w:lang w:val="en-GB" w:eastAsia="nl-NL"/>
              </w:rPr>
              <w:t>Flooding accidents classified as collision, grounding and foundering. No unified approach to cost-effective flooding risk reduction.</w:t>
            </w:r>
          </w:p>
        </w:tc>
        <w:tc>
          <w:tcPr>
            <w:tcW w:w="3897" w:type="dxa"/>
          </w:tcPr>
          <w:p w14:paraId="34F75AAA" w14:textId="77777777" w:rsidR="008465BB" w:rsidRDefault="008465BB" w:rsidP="001F4722">
            <w:pPr>
              <w:ind w:firstLine="0"/>
              <w:rPr>
                <w:color w:val="000000"/>
                <w:sz w:val="16"/>
                <w:szCs w:val="16"/>
                <w:lang w:val="en-GB" w:eastAsia="nl-NL"/>
              </w:rPr>
            </w:pPr>
          </w:p>
          <w:p w14:paraId="7CEB0064" w14:textId="17F534CD" w:rsidR="001C485A" w:rsidRPr="002E44CC" w:rsidRDefault="001C485A" w:rsidP="001F4722">
            <w:pPr>
              <w:ind w:firstLine="0"/>
              <w:rPr>
                <w:color w:val="000000"/>
                <w:sz w:val="16"/>
                <w:szCs w:val="16"/>
                <w:lang w:val="en-GB" w:eastAsia="nl-NL"/>
              </w:rPr>
            </w:pPr>
            <w:r w:rsidRPr="002E44CC">
              <w:rPr>
                <w:color w:val="000000"/>
                <w:sz w:val="16"/>
                <w:szCs w:val="16"/>
                <w:lang w:val="en-GB" w:eastAsia="nl-NL"/>
              </w:rPr>
              <w:t>Adequate accident database, with data collated over the past 20+ years. Unified approach for improved flooding risk models and cost-effective RCO</w:t>
            </w:r>
            <w:r>
              <w:rPr>
                <w:color w:val="000000"/>
                <w:sz w:val="16"/>
                <w:szCs w:val="16"/>
                <w:lang w:val="en-GB" w:eastAsia="nl-NL"/>
              </w:rPr>
              <w:t>s</w:t>
            </w:r>
            <w:r w:rsidRPr="002E44CC">
              <w:rPr>
                <w:color w:val="000000"/>
                <w:sz w:val="16"/>
                <w:szCs w:val="16"/>
                <w:lang w:val="en-GB" w:eastAsia="nl-NL"/>
              </w:rPr>
              <w:t>.</w:t>
            </w:r>
          </w:p>
        </w:tc>
      </w:tr>
      <w:tr w:rsidR="001C485A" w:rsidRPr="002E44CC" w14:paraId="64D596B7" w14:textId="77777777" w:rsidTr="001F4722">
        <w:trPr>
          <w:jc w:val="center"/>
        </w:trPr>
        <w:tc>
          <w:tcPr>
            <w:tcW w:w="3261" w:type="dxa"/>
          </w:tcPr>
          <w:p w14:paraId="2DC3EFEA" w14:textId="77777777" w:rsidR="001C485A" w:rsidRPr="002E44CC" w:rsidRDefault="001C485A" w:rsidP="001F4722">
            <w:pPr>
              <w:tabs>
                <w:tab w:val="decimal" w:pos="1026"/>
              </w:tabs>
              <w:ind w:firstLine="0"/>
              <w:rPr>
                <w:color w:val="000000"/>
                <w:sz w:val="16"/>
                <w:szCs w:val="16"/>
                <w:lang w:val="en-GB" w:eastAsia="nl-NL"/>
              </w:rPr>
            </w:pPr>
          </w:p>
          <w:p w14:paraId="50D79F80" w14:textId="77777777" w:rsidR="001C485A" w:rsidRPr="002E44CC" w:rsidRDefault="001C485A" w:rsidP="001F4722">
            <w:pPr>
              <w:tabs>
                <w:tab w:val="left" w:pos="174"/>
                <w:tab w:val="decimal" w:pos="1026"/>
              </w:tabs>
              <w:ind w:firstLine="0"/>
              <w:jc w:val="left"/>
              <w:rPr>
                <w:sz w:val="16"/>
                <w:szCs w:val="16"/>
              </w:rPr>
            </w:pPr>
            <w:r w:rsidRPr="002E44CC">
              <w:rPr>
                <w:color w:val="000000"/>
                <w:sz w:val="16"/>
                <w:szCs w:val="16"/>
                <w:lang w:val="en-GB" w:eastAsia="nl-NL"/>
              </w:rPr>
              <w:t>Susceptibility to flooding models used to evaluate accident probabilities in fairways, but not the ensuing scenario post-accident.</w:t>
            </w:r>
          </w:p>
        </w:tc>
        <w:tc>
          <w:tcPr>
            <w:tcW w:w="3897" w:type="dxa"/>
          </w:tcPr>
          <w:p w14:paraId="7B0ED3E1" w14:textId="77777777" w:rsidR="001C485A" w:rsidRPr="002E44CC" w:rsidRDefault="001C485A" w:rsidP="001F4722">
            <w:pPr>
              <w:ind w:firstLine="0"/>
              <w:rPr>
                <w:color w:val="000000"/>
                <w:sz w:val="16"/>
                <w:szCs w:val="16"/>
                <w:lang w:val="en-GB" w:eastAsia="nl-NL"/>
              </w:rPr>
            </w:pPr>
          </w:p>
          <w:p w14:paraId="02E34B8A" w14:textId="77777777" w:rsidR="001C485A" w:rsidRPr="002E44CC" w:rsidRDefault="001C485A" w:rsidP="001F4722">
            <w:pPr>
              <w:ind w:firstLine="0"/>
              <w:rPr>
                <w:color w:val="000000"/>
                <w:sz w:val="16"/>
                <w:szCs w:val="16"/>
                <w:lang w:val="en-GB" w:eastAsia="nl-NL"/>
              </w:rPr>
            </w:pPr>
            <w:r w:rsidRPr="002E44CC">
              <w:rPr>
                <w:color w:val="000000"/>
                <w:sz w:val="16"/>
                <w:szCs w:val="16"/>
                <w:lang w:val="en-GB" w:eastAsia="nl-NL"/>
              </w:rPr>
              <w:t>Quantification of pertinent parameters post-accident (e.g., extent of damage). Fast and accurate flooding risk estimation</w:t>
            </w:r>
            <w:r>
              <w:rPr>
                <w:color w:val="000000"/>
                <w:sz w:val="16"/>
                <w:szCs w:val="16"/>
                <w:lang w:val="en-GB" w:eastAsia="nl-NL"/>
              </w:rPr>
              <w:t>,</w:t>
            </w:r>
            <w:r w:rsidRPr="002E44CC">
              <w:rPr>
                <w:color w:val="000000"/>
                <w:sz w:val="16"/>
                <w:szCs w:val="16"/>
                <w:lang w:val="en-GB" w:eastAsia="nl-NL"/>
              </w:rPr>
              <w:t xml:space="preserve"> effective crisis management and control.</w:t>
            </w:r>
          </w:p>
        </w:tc>
      </w:tr>
      <w:tr w:rsidR="001C485A" w:rsidRPr="002E44CC" w14:paraId="749390A1" w14:textId="77777777" w:rsidTr="001F4722">
        <w:trPr>
          <w:jc w:val="center"/>
        </w:trPr>
        <w:tc>
          <w:tcPr>
            <w:tcW w:w="3261" w:type="dxa"/>
          </w:tcPr>
          <w:p w14:paraId="7103E36A" w14:textId="77777777" w:rsidR="001C485A" w:rsidRPr="002E44CC" w:rsidRDefault="001C485A" w:rsidP="001F4722">
            <w:pPr>
              <w:ind w:firstLine="0"/>
              <w:rPr>
                <w:color w:val="000000"/>
                <w:sz w:val="16"/>
                <w:szCs w:val="16"/>
                <w:lang w:val="en-GB" w:eastAsia="nl-NL"/>
              </w:rPr>
            </w:pPr>
          </w:p>
          <w:p w14:paraId="34805C2E" w14:textId="3978AA27" w:rsidR="001C485A" w:rsidRPr="002E44CC" w:rsidRDefault="001C485A" w:rsidP="008465BB">
            <w:pPr>
              <w:ind w:firstLine="0"/>
              <w:rPr>
                <w:color w:val="000000"/>
                <w:sz w:val="16"/>
                <w:szCs w:val="16"/>
                <w:lang w:val="en-GB" w:eastAsia="nl-NL"/>
              </w:rPr>
            </w:pPr>
            <w:r w:rsidRPr="002E44CC">
              <w:rPr>
                <w:color w:val="000000"/>
                <w:sz w:val="16"/>
                <w:szCs w:val="16"/>
                <w:lang w:val="en-GB" w:eastAsia="nl-NL"/>
              </w:rPr>
              <w:t xml:space="preserve">Few flooding </w:t>
            </w:r>
            <w:proofErr w:type="gramStart"/>
            <w:r w:rsidRPr="002E44CC">
              <w:rPr>
                <w:color w:val="000000"/>
                <w:sz w:val="16"/>
                <w:szCs w:val="16"/>
                <w:lang w:val="en-GB" w:eastAsia="nl-NL"/>
              </w:rPr>
              <w:t>simulation</w:t>
            </w:r>
            <w:proofErr w:type="gramEnd"/>
            <w:r w:rsidRPr="002E44CC">
              <w:rPr>
                <w:color w:val="000000"/>
                <w:sz w:val="16"/>
                <w:szCs w:val="16"/>
                <w:lang w:val="en-GB" w:eastAsia="nl-NL"/>
              </w:rPr>
              <w:t xml:space="preserve"> tools</w:t>
            </w:r>
            <w:r w:rsidR="008465BB">
              <w:rPr>
                <w:color w:val="000000"/>
                <w:sz w:val="16"/>
                <w:szCs w:val="16"/>
                <w:lang w:val="en-GB" w:eastAsia="nl-NL"/>
              </w:rPr>
              <w:t xml:space="preserve"> </w:t>
            </w:r>
            <w:r w:rsidR="00C320A0">
              <w:rPr>
                <w:color w:val="000000"/>
                <w:sz w:val="16"/>
                <w:szCs w:val="16"/>
                <w:lang w:val="en-GB" w:eastAsia="nl-NL"/>
              </w:rPr>
              <w:t>–</w:t>
            </w:r>
            <w:r w:rsidR="008465BB">
              <w:rPr>
                <w:color w:val="000000"/>
                <w:sz w:val="16"/>
                <w:szCs w:val="16"/>
                <w:lang w:val="en-GB" w:eastAsia="nl-NL"/>
              </w:rPr>
              <w:t xml:space="preserve"> </w:t>
            </w:r>
            <w:r w:rsidR="00C320A0">
              <w:rPr>
                <w:color w:val="000000"/>
                <w:sz w:val="16"/>
                <w:szCs w:val="16"/>
                <w:lang w:val="en-GB" w:eastAsia="nl-NL"/>
              </w:rPr>
              <w:t>Lack of</w:t>
            </w:r>
            <w:r w:rsidRPr="002E44CC">
              <w:rPr>
                <w:color w:val="000000"/>
                <w:sz w:val="16"/>
                <w:szCs w:val="16"/>
                <w:lang w:val="en-GB" w:eastAsia="nl-NL"/>
              </w:rPr>
              <w:t xml:space="preserve"> rigorous verification.</w:t>
            </w:r>
          </w:p>
        </w:tc>
        <w:tc>
          <w:tcPr>
            <w:tcW w:w="3897" w:type="dxa"/>
          </w:tcPr>
          <w:p w14:paraId="3B5D21C9" w14:textId="77777777" w:rsidR="001C485A" w:rsidRPr="002E44CC" w:rsidRDefault="001C485A" w:rsidP="001F4722">
            <w:pPr>
              <w:ind w:firstLine="0"/>
              <w:rPr>
                <w:color w:val="000000"/>
                <w:sz w:val="16"/>
                <w:szCs w:val="16"/>
                <w:lang w:val="en-GB" w:eastAsia="nl-NL"/>
              </w:rPr>
            </w:pPr>
          </w:p>
          <w:p w14:paraId="5469A95F" w14:textId="387D6947" w:rsidR="001C485A" w:rsidRPr="002E44CC" w:rsidRDefault="001C485A" w:rsidP="001F4722">
            <w:pPr>
              <w:ind w:firstLine="0"/>
              <w:rPr>
                <w:color w:val="000000"/>
                <w:sz w:val="16"/>
                <w:szCs w:val="16"/>
                <w:lang w:val="en-GB" w:eastAsia="nl-NL"/>
              </w:rPr>
            </w:pPr>
            <w:r w:rsidRPr="002E44CC">
              <w:rPr>
                <w:color w:val="000000"/>
                <w:sz w:val="16"/>
                <w:szCs w:val="16"/>
                <w:lang w:val="en-GB" w:eastAsia="nl-NL"/>
              </w:rPr>
              <w:t xml:space="preserve">Rigorous verification of tools by model experiment </w:t>
            </w:r>
            <w:r>
              <w:rPr>
                <w:color w:val="000000"/>
                <w:sz w:val="16"/>
                <w:szCs w:val="16"/>
                <w:lang w:val="en-GB" w:eastAsia="nl-NL"/>
              </w:rPr>
              <w:t xml:space="preserve">and CFD </w:t>
            </w:r>
            <w:r w:rsidRPr="002E44CC">
              <w:rPr>
                <w:color w:val="000000"/>
                <w:sz w:val="16"/>
                <w:szCs w:val="16"/>
                <w:lang w:val="en-GB" w:eastAsia="nl-NL"/>
              </w:rPr>
              <w:t>results.</w:t>
            </w:r>
            <w:r w:rsidR="008465BB">
              <w:rPr>
                <w:color w:val="000000"/>
                <w:sz w:val="16"/>
                <w:szCs w:val="16"/>
                <w:lang w:val="en-GB" w:eastAsia="nl-NL"/>
              </w:rPr>
              <w:t xml:space="preserve"> </w:t>
            </w:r>
            <w:r w:rsidRPr="002E44CC">
              <w:rPr>
                <w:color w:val="000000"/>
                <w:sz w:val="16"/>
                <w:szCs w:val="16"/>
                <w:lang w:val="en-GB" w:eastAsia="nl-NL"/>
              </w:rPr>
              <w:t>Development / verification of a “toolset” to support ship design and operation</w:t>
            </w:r>
            <w:r>
              <w:rPr>
                <w:color w:val="000000"/>
                <w:sz w:val="16"/>
                <w:szCs w:val="16"/>
                <w:lang w:val="en-GB" w:eastAsia="nl-NL"/>
              </w:rPr>
              <w:t>,</w:t>
            </w:r>
          </w:p>
        </w:tc>
      </w:tr>
      <w:tr w:rsidR="001C485A" w:rsidRPr="002E44CC" w14:paraId="487C0EA3" w14:textId="77777777" w:rsidTr="001F4722">
        <w:trPr>
          <w:jc w:val="center"/>
        </w:trPr>
        <w:tc>
          <w:tcPr>
            <w:tcW w:w="3261" w:type="dxa"/>
          </w:tcPr>
          <w:p w14:paraId="5C2058A3" w14:textId="77777777" w:rsidR="001C485A" w:rsidRDefault="001C485A" w:rsidP="001F4722">
            <w:pPr>
              <w:ind w:firstLine="0"/>
              <w:rPr>
                <w:color w:val="000000"/>
                <w:sz w:val="16"/>
                <w:szCs w:val="16"/>
                <w:lang w:val="en-GB" w:eastAsia="nl-NL"/>
              </w:rPr>
            </w:pPr>
          </w:p>
          <w:p w14:paraId="5FF551A2" w14:textId="77777777" w:rsidR="001C485A" w:rsidRPr="002E44CC" w:rsidRDefault="001C485A" w:rsidP="001F4722">
            <w:pPr>
              <w:ind w:firstLine="0"/>
              <w:rPr>
                <w:color w:val="000000"/>
                <w:sz w:val="16"/>
                <w:szCs w:val="16"/>
                <w:lang w:val="en-GB" w:eastAsia="nl-NL"/>
              </w:rPr>
            </w:pPr>
            <w:r w:rsidRPr="002E44CC">
              <w:rPr>
                <w:color w:val="000000"/>
                <w:sz w:val="16"/>
                <w:szCs w:val="16"/>
                <w:lang w:val="en-GB" w:eastAsia="nl-NL"/>
              </w:rPr>
              <w:t>Flooding risk models address collision and grounding separately</w:t>
            </w:r>
            <w:r>
              <w:rPr>
                <w:color w:val="000000"/>
                <w:sz w:val="16"/>
                <w:szCs w:val="16"/>
                <w:lang w:val="en-GB" w:eastAsia="nl-NL"/>
              </w:rPr>
              <w:t>, the latter simplistically</w:t>
            </w:r>
            <w:r w:rsidRPr="002E44CC">
              <w:rPr>
                <w:color w:val="000000"/>
                <w:sz w:val="16"/>
                <w:szCs w:val="16"/>
                <w:lang w:val="en-GB" w:eastAsia="nl-NL"/>
              </w:rPr>
              <w:t>.</w:t>
            </w:r>
          </w:p>
        </w:tc>
        <w:tc>
          <w:tcPr>
            <w:tcW w:w="3897" w:type="dxa"/>
          </w:tcPr>
          <w:p w14:paraId="6149ADAF" w14:textId="77777777" w:rsidR="001C485A" w:rsidRDefault="001C485A" w:rsidP="001F4722">
            <w:pPr>
              <w:ind w:firstLine="0"/>
              <w:rPr>
                <w:color w:val="000000"/>
                <w:sz w:val="16"/>
                <w:szCs w:val="16"/>
                <w:lang w:val="en-GB" w:eastAsia="nl-NL"/>
              </w:rPr>
            </w:pPr>
          </w:p>
          <w:p w14:paraId="6298F9C0" w14:textId="77777777" w:rsidR="001C485A" w:rsidRPr="002E44CC" w:rsidRDefault="001C485A" w:rsidP="001F4722">
            <w:pPr>
              <w:ind w:firstLine="0"/>
              <w:rPr>
                <w:color w:val="000000"/>
                <w:sz w:val="16"/>
                <w:szCs w:val="16"/>
                <w:lang w:val="en-GB" w:eastAsia="nl-NL"/>
              </w:rPr>
            </w:pPr>
            <w:r w:rsidRPr="002E44CC">
              <w:rPr>
                <w:color w:val="000000"/>
                <w:sz w:val="16"/>
                <w:szCs w:val="16"/>
                <w:lang w:val="en-GB" w:eastAsia="nl-NL"/>
              </w:rPr>
              <w:t>Holistic risk model for any serious flooding event.</w:t>
            </w:r>
          </w:p>
          <w:p w14:paraId="21B21929" w14:textId="77777777" w:rsidR="001C485A" w:rsidRPr="002E44CC" w:rsidRDefault="001C485A" w:rsidP="001F4722">
            <w:pPr>
              <w:ind w:firstLine="0"/>
              <w:rPr>
                <w:color w:val="000000"/>
                <w:sz w:val="16"/>
                <w:szCs w:val="16"/>
                <w:lang w:val="en-GB" w:eastAsia="nl-NL"/>
              </w:rPr>
            </w:pPr>
            <w:r w:rsidRPr="002E44CC">
              <w:rPr>
                <w:color w:val="000000"/>
                <w:sz w:val="16"/>
                <w:szCs w:val="16"/>
                <w:lang w:val="en-GB" w:eastAsia="nl-NL"/>
              </w:rPr>
              <w:t>Cost-effective risk management and post-flooding control.</w:t>
            </w:r>
          </w:p>
        </w:tc>
      </w:tr>
      <w:tr w:rsidR="001C485A" w:rsidRPr="002E44CC" w14:paraId="6F22AB40" w14:textId="77777777" w:rsidTr="001F4722">
        <w:trPr>
          <w:jc w:val="center"/>
        </w:trPr>
        <w:tc>
          <w:tcPr>
            <w:tcW w:w="3261" w:type="dxa"/>
          </w:tcPr>
          <w:p w14:paraId="5A4A6DC3" w14:textId="77777777" w:rsidR="001C485A" w:rsidRPr="002E44CC" w:rsidRDefault="001C485A" w:rsidP="001F4722">
            <w:pPr>
              <w:ind w:firstLine="0"/>
              <w:rPr>
                <w:color w:val="000000"/>
                <w:sz w:val="16"/>
                <w:szCs w:val="16"/>
                <w:lang w:val="en-GB" w:eastAsia="nl-NL"/>
              </w:rPr>
            </w:pPr>
          </w:p>
          <w:p w14:paraId="7461B6EA" w14:textId="77777777" w:rsidR="001C485A" w:rsidRPr="002E44CC" w:rsidRDefault="001C485A" w:rsidP="001F4722">
            <w:pPr>
              <w:ind w:firstLine="0"/>
              <w:rPr>
                <w:color w:val="000000"/>
                <w:sz w:val="16"/>
                <w:szCs w:val="16"/>
                <w:lang w:val="en-GB" w:eastAsia="nl-NL"/>
              </w:rPr>
            </w:pPr>
            <w:r w:rsidRPr="002E44CC">
              <w:rPr>
                <w:color w:val="000000"/>
                <w:sz w:val="16"/>
                <w:szCs w:val="16"/>
                <w:lang w:val="en-GB" w:eastAsia="nl-NL"/>
              </w:rPr>
              <w:t>“Static” flooding risk addressed only by design measures</w:t>
            </w:r>
          </w:p>
        </w:tc>
        <w:tc>
          <w:tcPr>
            <w:tcW w:w="3897" w:type="dxa"/>
          </w:tcPr>
          <w:p w14:paraId="63B3307B" w14:textId="77777777" w:rsidR="001C485A" w:rsidRPr="002E44CC" w:rsidRDefault="001C485A" w:rsidP="001F4722">
            <w:pPr>
              <w:ind w:firstLine="0"/>
              <w:rPr>
                <w:color w:val="000000"/>
                <w:sz w:val="16"/>
                <w:szCs w:val="16"/>
                <w:lang w:val="en-GB" w:eastAsia="nl-NL"/>
              </w:rPr>
            </w:pPr>
          </w:p>
          <w:p w14:paraId="0156846B" w14:textId="36046EC0" w:rsidR="001C485A" w:rsidRPr="002E44CC" w:rsidRDefault="001C485A" w:rsidP="001F4722">
            <w:pPr>
              <w:ind w:firstLine="0"/>
              <w:rPr>
                <w:color w:val="000000"/>
                <w:sz w:val="16"/>
                <w:szCs w:val="16"/>
                <w:lang w:val="en-GB" w:eastAsia="nl-NL"/>
              </w:rPr>
            </w:pPr>
            <w:r w:rsidRPr="002E44CC">
              <w:rPr>
                <w:color w:val="000000"/>
                <w:sz w:val="16"/>
                <w:szCs w:val="16"/>
                <w:lang w:val="en-GB" w:eastAsia="nl-NL"/>
              </w:rPr>
              <w:t>Real-time “live” risk estimation in actual operational conditions.</w:t>
            </w:r>
            <w:r w:rsidR="008465BB">
              <w:rPr>
                <w:color w:val="000000"/>
                <w:sz w:val="16"/>
                <w:szCs w:val="16"/>
                <w:lang w:val="en-GB" w:eastAsia="nl-NL"/>
              </w:rPr>
              <w:t xml:space="preserve"> </w:t>
            </w:r>
            <w:r w:rsidRPr="002E44CC">
              <w:rPr>
                <w:color w:val="000000"/>
                <w:sz w:val="16"/>
                <w:szCs w:val="16"/>
                <w:lang w:val="en-GB" w:eastAsia="nl-NL"/>
              </w:rPr>
              <w:t>Cost-effective risk-management in flooding emergencies.</w:t>
            </w:r>
          </w:p>
        </w:tc>
      </w:tr>
      <w:tr w:rsidR="001C485A" w:rsidRPr="002E44CC" w14:paraId="0AFA1543" w14:textId="77777777" w:rsidTr="001F4722">
        <w:trPr>
          <w:jc w:val="center"/>
        </w:trPr>
        <w:tc>
          <w:tcPr>
            <w:tcW w:w="3261" w:type="dxa"/>
          </w:tcPr>
          <w:p w14:paraId="2010A0CD" w14:textId="77777777" w:rsidR="001C485A" w:rsidRPr="002E44CC" w:rsidRDefault="001C485A" w:rsidP="001F4722">
            <w:pPr>
              <w:ind w:firstLine="0"/>
              <w:rPr>
                <w:color w:val="000000"/>
                <w:sz w:val="16"/>
                <w:szCs w:val="16"/>
                <w:lang w:val="en-GB" w:eastAsia="nl-NL"/>
              </w:rPr>
            </w:pPr>
          </w:p>
          <w:p w14:paraId="38F5A2BA" w14:textId="77777777" w:rsidR="001C485A" w:rsidRPr="002E44CC" w:rsidRDefault="001C485A" w:rsidP="001F4722">
            <w:pPr>
              <w:ind w:firstLine="0"/>
              <w:rPr>
                <w:color w:val="000000"/>
                <w:sz w:val="16"/>
                <w:szCs w:val="16"/>
                <w:lang w:val="en-GB" w:eastAsia="nl-NL"/>
              </w:rPr>
            </w:pPr>
            <w:r w:rsidRPr="002E44CC">
              <w:rPr>
                <w:color w:val="000000"/>
                <w:sz w:val="16"/>
                <w:szCs w:val="16"/>
                <w:lang w:val="en-GB" w:eastAsia="nl-NL"/>
              </w:rPr>
              <w:t>Post-flooding incident response based upon arbitrary phases.</w:t>
            </w:r>
          </w:p>
        </w:tc>
        <w:tc>
          <w:tcPr>
            <w:tcW w:w="3897" w:type="dxa"/>
          </w:tcPr>
          <w:p w14:paraId="427093A2" w14:textId="77777777" w:rsidR="001C485A" w:rsidRPr="002E44CC" w:rsidRDefault="001C485A" w:rsidP="001F4722">
            <w:pPr>
              <w:ind w:firstLine="0"/>
              <w:rPr>
                <w:color w:val="000000"/>
                <w:sz w:val="16"/>
                <w:szCs w:val="16"/>
                <w:lang w:val="en-GB" w:eastAsia="nl-NL"/>
              </w:rPr>
            </w:pPr>
          </w:p>
          <w:p w14:paraId="73DC946D" w14:textId="77777777" w:rsidR="001C485A" w:rsidRPr="002E44CC" w:rsidRDefault="001C485A" w:rsidP="001F4722">
            <w:pPr>
              <w:ind w:firstLine="0"/>
              <w:rPr>
                <w:color w:val="000000"/>
                <w:sz w:val="16"/>
                <w:szCs w:val="16"/>
                <w:lang w:val="en-GB" w:eastAsia="nl-NL"/>
              </w:rPr>
            </w:pPr>
            <w:r w:rsidRPr="002E44CC">
              <w:rPr>
                <w:color w:val="000000"/>
                <w:sz w:val="16"/>
                <w:szCs w:val="16"/>
                <w:lang w:val="en-GB" w:eastAsia="nl-NL"/>
              </w:rPr>
              <w:t>A holistic approach to mustering and abandonment in extreme scenarios</w:t>
            </w:r>
            <w:r>
              <w:rPr>
                <w:color w:val="000000"/>
                <w:sz w:val="16"/>
                <w:szCs w:val="16"/>
                <w:lang w:val="en-GB" w:eastAsia="nl-NL"/>
              </w:rPr>
              <w:t>.</w:t>
            </w:r>
            <w:r w:rsidRPr="002E44CC">
              <w:rPr>
                <w:color w:val="000000"/>
                <w:sz w:val="16"/>
                <w:szCs w:val="16"/>
                <w:lang w:val="en-GB" w:eastAsia="nl-NL"/>
              </w:rPr>
              <w:t xml:space="preserve"> DSS for effective crisis management.</w:t>
            </w:r>
          </w:p>
          <w:p w14:paraId="70370CFC" w14:textId="77777777" w:rsidR="001C485A" w:rsidRPr="002E44CC" w:rsidRDefault="001C485A" w:rsidP="001F4722">
            <w:pPr>
              <w:ind w:firstLine="0"/>
              <w:rPr>
                <w:color w:val="000000"/>
                <w:sz w:val="16"/>
                <w:szCs w:val="16"/>
                <w:lang w:val="en-GB" w:eastAsia="nl-NL"/>
              </w:rPr>
            </w:pPr>
          </w:p>
        </w:tc>
      </w:tr>
      <w:tr w:rsidR="001C485A" w:rsidRPr="002E44CC" w14:paraId="74A502FD" w14:textId="77777777" w:rsidTr="001F4722">
        <w:trPr>
          <w:jc w:val="center"/>
        </w:trPr>
        <w:tc>
          <w:tcPr>
            <w:tcW w:w="3261" w:type="dxa"/>
          </w:tcPr>
          <w:p w14:paraId="3F6931CD" w14:textId="63DADE13" w:rsidR="001C485A" w:rsidRPr="002E44CC" w:rsidRDefault="001C485A" w:rsidP="001F4722">
            <w:pPr>
              <w:ind w:firstLine="0"/>
              <w:rPr>
                <w:color w:val="000000"/>
                <w:sz w:val="16"/>
                <w:szCs w:val="16"/>
                <w:lang w:val="en-GB" w:eastAsia="nl-NL"/>
              </w:rPr>
            </w:pPr>
            <w:r w:rsidRPr="002E44CC">
              <w:rPr>
                <w:color w:val="000000"/>
                <w:sz w:val="16"/>
                <w:szCs w:val="16"/>
                <w:lang w:val="en-GB" w:eastAsia="nl-NL"/>
              </w:rPr>
              <w:t>Crashworthiness unexploited.</w:t>
            </w:r>
            <w:r w:rsidR="008465BB">
              <w:rPr>
                <w:color w:val="000000"/>
                <w:sz w:val="16"/>
                <w:szCs w:val="16"/>
                <w:lang w:val="en-GB" w:eastAsia="nl-NL"/>
              </w:rPr>
              <w:t xml:space="preserve"> </w:t>
            </w:r>
            <w:r w:rsidRPr="002E44CC">
              <w:rPr>
                <w:color w:val="000000"/>
                <w:sz w:val="16"/>
                <w:szCs w:val="16"/>
                <w:lang w:val="en-GB" w:eastAsia="nl-NL"/>
              </w:rPr>
              <w:t>No emphasis on active risk measures.</w:t>
            </w:r>
          </w:p>
        </w:tc>
        <w:tc>
          <w:tcPr>
            <w:tcW w:w="3897" w:type="dxa"/>
          </w:tcPr>
          <w:p w14:paraId="41A867DB" w14:textId="5F4B1F4D" w:rsidR="001C485A" w:rsidRPr="002E44CC" w:rsidRDefault="001C485A" w:rsidP="001F4722">
            <w:pPr>
              <w:ind w:firstLine="0"/>
              <w:rPr>
                <w:color w:val="000000"/>
                <w:sz w:val="16"/>
                <w:szCs w:val="16"/>
                <w:lang w:val="en-GB" w:eastAsia="nl-NL"/>
              </w:rPr>
            </w:pPr>
            <w:r w:rsidRPr="002E44CC">
              <w:rPr>
                <w:color w:val="000000"/>
                <w:sz w:val="16"/>
                <w:szCs w:val="16"/>
                <w:lang w:val="en-GB" w:eastAsia="nl-NL"/>
              </w:rPr>
              <w:t>Use cost-effective measure for flooding risk mitigation and post-flooding accident control.</w:t>
            </w:r>
            <w:r>
              <w:rPr>
                <w:color w:val="000000"/>
                <w:sz w:val="16"/>
                <w:szCs w:val="16"/>
                <w:lang w:val="en-GB" w:eastAsia="nl-NL"/>
              </w:rPr>
              <w:t xml:space="preserve"> </w:t>
            </w:r>
            <w:r w:rsidRPr="002E44CC">
              <w:rPr>
                <w:color w:val="000000"/>
                <w:sz w:val="16"/>
                <w:szCs w:val="16"/>
                <w:lang w:val="en-GB" w:eastAsia="nl-NL"/>
              </w:rPr>
              <w:t>Influence of crashworthiness, watertight door management, buoyancy.</w:t>
            </w:r>
          </w:p>
        </w:tc>
      </w:tr>
      <w:tr w:rsidR="001C485A" w:rsidRPr="002E44CC" w14:paraId="36225F0F" w14:textId="77777777" w:rsidTr="001F4722">
        <w:trPr>
          <w:jc w:val="center"/>
        </w:trPr>
        <w:tc>
          <w:tcPr>
            <w:tcW w:w="3261" w:type="dxa"/>
            <w:tcBorders>
              <w:bottom w:val="single" w:sz="4" w:space="0" w:color="auto"/>
            </w:tcBorders>
          </w:tcPr>
          <w:p w14:paraId="79709A38" w14:textId="77777777" w:rsidR="001C485A" w:rsidRPr="002E44CC" w:rsidRDefault="001C485A" w:rsidP="001F4722">
            <w:pPr>
              <w:ind w:firstLine="0"/>
              <w:rPr>
                <w:color w:val="000000"/>
                <w:sz w:val="16"/>
                <w:szCs w:val="16"/>
                <w:lang w:val="en-GB" w:eastAsia="nl-NL"/>
              </w:rPr>
            </w:pPr>
          </w:p>
          <w:p w14:paraId="6FD94F5A" w14:textId="77777777" w:rsidR="001C485A" w:rsidRPr="002E44CC" w:rsidRDefault="001C485A" w:rsidP="001F4722">
            <w:pPr>
              <w:ind w:firstLine="0"/>
              <w:rPr>
                <w:color w:val="000000"/>
                <w:sz w:val="16"/>
                <w:szCs w:val="16"/>
                <w:lang w:val="en-GB" w:eastAsia="nl-NL"/>
              </w:rPr>
            </w:pPr>
            <w:r w:rsidRPr="002E44CC">
              <w:rPr>
                <w:color w:val="000000"/>
                <w:sz w:val="16"/>
                <w:szCs w:val="16"/>
                <w:lang w:val="en-GB" w:eastAsia="nl-NL"/>
              </w:rPr>
              <w:t>Rule-based approach</w:t>
            </w:r>
          </w:p>
          <w:p w14:paraId="7EC61705" w14:textId="77777777" w:rsidR="001C485A" w:rsidRPr="002E44CC" w:rsidRDefault="001C485A" w:rsidP="001F4722">
            <w:pPr>
              <w:ind w:firstLine="0"/>
              <w:rPr>
                <w:color w:val="000000"/>
                <w:sz w:val="16"/>
                <w:szCs w:val="16"/>
                <w:lang w:val="en-GB" w:eastAsia="nl-NL"/>
              </w:rPr>
            </w:pPr>
            <w:r w:rsidRPr="002E44CC">
              <w:rPr>
                <w:color w:val="000000"/>
                <w:sz w:val="16"/>
                <w:szCs w:val="16"/>
                <w:lang w:val="en-GB" w:eastAsia="nl-NL"/>
              </w:rPr>
              <w:t>Average but unknown level of damage survivability.</w:t>
            </w:r>
          </w:p>
        </w:tc>
        <w:tc>
          <w:tcPr>
            <w:tcW w:w="3897" w:type="dxa"/>
            <w:tcBorders>
              <w:bottom w:val="single" w:sz="4" w:space="0" w:color="auto"/>
            </w:tcBorders>
          </w:tcPr>
          <w:p w14:paraId="106E073E" w14:textId="77777777" w:rsidR="001C485A" w:rsidRPr="002E44CC" w:rsidRDefault="001C485A" w:rsidP="001F4722">
            <w:pPr>
              <w:ind w:firstLine="0"/>
              <w:rPr>
                <w:color w:val="000000"/>
                <w:sz w:val="16"/>
                <w:szCs w:val="16"/>
                <w:lang w:val="en-GB" w:eastAsia="nl-NL"/>
              </w:rPr>
            </w:pPr>
          </w:p>
          <w:p w14:paraId="681882B4" w14:textId="77777777" w:rsidR="001C485A" w:rsidRDefault="001C485A" w:rsidP="001F4722">
            <w:pPr>
              <w:ind w:firstLine="0"/>
              <w:rPr>
                <w:color w:val="000000"/>
                <w:sz w:val="16"/>
                <w:szCs w:val="16"/>
                <w:lang w:val="en-GB" w:eastAsia="nl-NL"/>
              </w:rPr>
            </w:pPr>
            <w:r w:rsidRPr="002E44CC">
              <w:rPr>
                <w:color w:val="000000"/>
                <w:sz w:val="16"/>
                <w:szCs w:val="16"/>
                <w:lang w:val="en-GB" w:eastAsia="nl-NL"/>
              </w:rPr>
              <w:t>Risk-based integrated active and passive measures to control serious flooding risk.</w:t>
            </w:r>
          </w:p>
          <w:p w14:paraId="0F5B218A" w14:textId="77777777" w:rsidR="001C485A" w:rsidRPr="002E44CC" w:rsidRDefault="001C485A" w:rsidP="001F4722">
            <w:pPr>
              <w:ind w:firstLine="0"/>
              <w:rPr>
                <w:color w:val="000000"/>
                <w:sz w:val="16"/>
                <w:szCs w:val="16"/>
                <w:lang w:val="en-GB" w:eastAsia="nl-NL"/>
              </w:rPr>
            </w:pPr>
            <w:r w:rsidRPr="002E44CC">
              <w:rPr>
                <w:color w:val="000000"/>
                <w:sz w:val="16"/>
                <w:szCs w:val="16"/>
                <w:lang w:val="en-GB" w:eastAsia="nl-NL"/>
              </w:rPr>
              <w:t>Quantifiable risk level for each design.</w:t>
            </w:r>
          </w:p>
        </w:tc>
      </w:tr>
    </w:tbl>
    <w:p w14:paraId="7F40E410" w14:textId="77777777" w:rsidR="00D8533A" w:rsidRPr="00837D05" w:rsidRDefault="00D8533A" w:rsidP="00833E51">
      <w:pPr>
        <w:ind w:firstLine="0"/>
        <w:rPr>
          <w:szCs w:val="20"/>
        </w:rPr>
      </w:pPr>
    </w:p>
    <w:p w14:paraId="7B07B95B" w14:textId="77777777" w:rsidR="009F0E5A" w:rsidRDefault="008465BB" w:rsidP="00C320A0">
      <w:pPr>
        <w:ind w:firstLine="0"/>
        <w:rPr>
          <w:szCs w:val="20"/>
          <w:lang w:val="en-GB"/>
        </w:rPr>
      </w:pPr>
      <w:r>
        <w:rPr>
          <w:rFonts w:eastAsia="Times New Roman"/>
          <w:szCs w:val="20"/>
        </w:rPr>
        <w:t xml:space="preserve">against values currently incorporated in </w:t>
      </w:r>
      <w:r w:rsidRPr="00FF04E4">
        <w:rPr>
          <w:rFonts w:eastAsia="Times New Roman"/>
          <w:szCs w:val="20"/>
        </w:rPr>
        <w:t>SOLA</w:t>
      </w:r>
      <w:r>
        <w:rPr>
          <w:rFonts w:eastAsia="Times New Roman"/>
          <w:szCs w:val="20"/>
        </w:rPr>
        <w:t>S; (ii) t</w:t>
      </w:r>
      <w:r w:rsidRPr="00FF04E4">
        <w:rPr>
          <w:rFonts w:eastAsia="Times New Roman"/>
          <w:szCs w:val="20"/>
        </w:rPr>
        <w:t xml:space="preserve">he analysis of </w:t>
      </w:r>
      <w:r>
        <w:rPr>
          <w:rFonts w:eastAsia="Times New Roman"/>
          <w:szCs w:val="20"/>
        </w:rPr>
        <w:t xml:space="preserve">ship </w:t>
      </w:r>
      <w:r w:rsidRPr="00FF04E4">
        <w:rPr>
          <w:rFonts w:eastAsia="Times New Roman"/>
          <w:szCs w:val="20"/>
        </w:rPr>
        <w:t>operational patterns</w:t>
      </w:r>
      <w:r>
        <w:rPr>
          <w:rFonts w:eastAsia="Times New Roman"/>
          <w:szCs w:val="20"/>
        </w:rPr>
        <w:t xml:space="preserve"> using big data</w:t>
      </w:r>
      <w:r w:rsidRPr="00FF04E4">
        <w:rPr>
          <w:rFonts w:eastAsia="Times New Roman"/>
          <w:szCs w:val="20"/>
        </w:rPr>
        <w:t>.</w:t>
      </w:r>
      <w:r>
        <w:rPr>
          <w:szCs w:val="20"/>
          <w:lang w:val="en-GB"/>
        </w:rPr>
        <w:t xml:space="preserve"> </w:t>
      </w:r>
      <w:r w:rsidR="00863AEA" w:rsidRPr="00FF04E4">
        <w:rPr>
          <w:szCs w:val="20"/>
          <w:lang w:val="en-GB"/>
        </w:rPr>
        <w:t xml:space="preserve">Five cruise ships (11,800-230,000 GT) and three </w:t>
      </w:r>
      <w:r w:rsidR="00863AEA">
        <w:rPr>
          <w:szCs w:val="20"/>
          <w:lang w:val="en-GB"/>
        </w:rPr>
        <w:t>R</w:t>
      </w:r>
      <w:r w:rsidR="00863AEA" w:rsidRPr="00FF04E4">
        <w:rPr>
          <w:szCs w:val="20"/>
          <w:lang w:val="en-GB"/>
        </w:rPr>
        <w:t xml:space="preserve">o-pax ships (28,500-70,000 GT) have been designed and selected as sample ships. The analysis of onboard data included ship operational loading condition histories and optimal draft </w:t>
      </w:r>
      <w:r w:rsidR="00863AEA">
        <w:rPr>
          <w:szCs w:val="20"/>
          <w:lang w:val="en-GB"/>
        </w:rPr>
        <w:t xml:space="preserve">/ </w:t>
      </w:r>
      <w:r w:rsidR="00863AEA" w:rsidRPr="00FF04E4">
        <w:rPr>
          <w:szCs w:val="20"/>
          <w:lang w:val="en-GB"/>
        </w:rPr>
        <w:t xml:space="preserve">weight factor </w:t>
      </w:r>
      <w:r w:rsidR="00CB09FB" w:rsidRPr="00FF04E4">
        <w:rPr>
          <w:szCs w:val="20"/>
          <w:lang w:val="en-GB"/>
        </w:rPr>
        <w:t>distributions</w:t>
      </w:r>
      <w:r w:rsidR="00CB09FB">
        <w:rPr>
          <w:szCs w:val="20"/>
          <w:lang w:val="en-GB"/>
        </w:rPr>
        <w:t xml:space="preserve"> </w:t>
      </w:r>
      <w:r w:rsidR="00CB09FB" w:rsidRPr="00FF04E4">
        <w:rPr>
          <w:szCs w:val="20"/>
          <w:lang w:val="en-GB"/>
        </w:rPr>
        <w:t>relative</w:t>
      </w:r>
      <w:r w:rsidR="003C5E60" w:rsidRPr="00FF04E4">
        <w:rPr>
          <w:szCs w:val="20"/>
          <w:lang w:val="en-GB"/>
        </w:rPr>
        <w:t xml:space="preserve"> to </w:t>
      </w:r>
      <w:r w:rsidR="00852FED" w:rsidRPr="00FF04E4">
        <w:rPr>
          <w:szCs w:val="20"/>
          <w:lang w:val="en-GB"/>
        </w:rPr>
        <w:t xml:space="preserve">IMO </w:t>
      </w:r>
      <w:r w:rsidR="003C5E60" w:rsidRPr="00FF04E4">
        <w:rPr>
          <w:szCs w:val="20"/>
          <w:lang w:val="en-GB"/>
        </w:rPr>
        <w:t>SOLAS range</w:t>
      </w:r>
      <w:r w:rsidR="00852FED" w:rsidRPr="00FF04E4">
        <w:rPr>
          <w:szCs w:val="20"/>
          <w:lang w:val="en-GB"/>
        </w:rPr>
        <w:t>s</w:t>
      </w:r>
      <w:r w:rsidR="00A34BEA" w:rsidRPr="00FF04E4">
        <w:rPr>
          <w:szCs w:val="20"/>
          <w:lang w:val="en-GB"/>
        </w:rPr>
        <w:t xml:space="preserve"> (Figure 1)</w:t>
      </w:r>
      <w:r w:rsidR="00852FED" w:rsidRPr="00FF04E4">
        <w:rPr>
          <w:szCs w:val="20"/>
          <w:lang w:val="en-GB"/>
        </w:rPr>
        <w:t>.</w:t>
      </w:r>
      <w:r w:rsidR="003C5E60" w:rsidRPr="00FF04E4">
        <w:rPr>
          <w:szCs w:val="20"/>
          <w:lang w:val="en-GB"/>
        </w:rPr>
        <w:t xml:space="preserve"> </w:t>
      </w:r>
    </w:p>
    <w:p w14:paraId="7E9A1964" w14:textId="66197E1B" w:rsidR="00C320A0" w:rsidRPr="00AF7D5D" w:rsidRDefault="00852FED" w:rsidP="009F0E5A">
      <w:pPr>
        <w:ind w:firstLine="284"/>
        <w:rPr>
          <w:szCs w:val="20"/>
          <w:lang w:val="en-GB"/>
        </w:rPr>
      </w:pPr>
      <w:r w:rsidRPr="00FF04E4">
        <w:rPr>
          <w:szCs w:val="20"/>
          <w:lang w:val="en-GB"/>
        </w:rPr>
        <w:t>The a</w:t>
      </w:r>
      <w:r w:rsidR="003C5E60" w:rsidRPr="00FF04E4">
        <w:rPr>
          <w:szCs w:val="20"/>
          <w:lang w:val="en-GB"/>
        </w:rPr>
        <w:t>ssessment of impact of passenger vessel loading behaviour</w:t>
      </w:r>
      <w:r w:rsidRPr="00FF04E4">
        <w:rPr>
          <w:szCs w:val="20"/>
          <w:lang w:val="en-GB"/>
        </w:rPr>
        <w:t xml:space="preserve"> </w:t>
      </w:r>
      <w:r w:rsidR="00206080" w:rsidRPr="00FF04E4">
        <w:rPr>
          <w:szCs w:val="20"/>
          <w:lang w:val="en-GB"/>
        </w:rPr>
        <w:t>encompassed 2 years of operational data</w:t>
      </w:r>
      <w:r w:rsidR="00F270B3">
        <w:rPr>
          <w:szCs w:val="20"/>
          <w:lang w:val="en-GB"/>
        </w:rPr>
        <w:t xml:space="preserve"> and considered </w:t>
      </w:r>
      <w:r w:rsidR="00F270B3" w:rsidRPr="00AF7D5D">
        <w:rPr>
          <w:szCs w:val="20"/>
          <w:lang w:val="en-GB"/>
        </w:rPr>
        <w:t xml:space="preserve">36 passenger vessels, comprising 27 cruise ships, 6 </w:t>
      </w:r>
      <w:r w:rsidR="00F270B3">
        <w:rPr>
          <w:szCs w:val="20"/>
          <w:lang w:val="en-GB"/>
        </w:rPr>
        <w:t>R</w:t>
      </w:r>
      <w:r w:rsidR="00F270B3" w:rsidRPr="00AF7D5D">
        <w:rPr>
          <w:szCs w:val="20"/>
          <w:lang w:val="en-GB"/>
        </w:rPr>
        <w:t>o-pax and 3 cruise ferries</w:t>
      </w:r>
      <w:r w:rsidR="00F270B3">
        <w:rPr>
          <w:szCs w:val="20"/>
          <w:lang w:val="en-GB"/>
        </w:rPr>
        <w:t xml:space="preserve"> with age</w:t>
      </w:r>
      <w:r w:rsidR="00F270B3" w:rsidRPr="00AF7D5D">
        <w:rPr>
          <w:szCs w:val="20"/>
          <w:lang w:val="en-GB"/>
        </w:rPr>
        <w:t xml:space="preserve"> rang</w:t>
      </w:r>
      <w:r w:rsidR="00F270B3">
        <w:rPr>
          <w:szCs w:val="20"/>
          <w:lang w:val="en-GB"/>
        </w:rPr>
        <w:t>e</w:t>
      </w:r>
      <w:r w:rsidR="00F270B3" w:rsidRPr="00AF7D5D">
        <w:rPr>
          <w:szCs w:val="20"/>
          <w:lang w:val="en-GB"/>
        </w:rPr>
        <w:t xml:space="preserve"> between 2 and 38 years</w:t>
      </w:r>
      <w:r w:rsidR="00F270B3">
        <w:rPr>
          <w:szCs w:val="20"/>
          <w:lang w:val="en-GB"/>
        </w:rPr>
        <w:t xml:space="preserve"> and capacity between </w:t>
      </w:r>
      <w:r w:rsidR="00F270B3" w:rsidRPr="00AF7D5D">
        <w:rPr>
          <w:szCs w:val="20"/>
          <w:lang w:val="en-GB"/>
        </w:rPr>
        <w:t>19,800– 227,000 GT</w:t>
      </w:r>
      <w:r w:rsidR="00F270B3">
        <w:rPr>
          <w:szCs w:val="20"/>
          <w:lang w:val="en-GB"/>
        </w:rPr>
        <w:t xml:space="preserve">. </w:t>
      </w:r>
      <w:r w:rsidR="00206080" w:rsidRPr="00FF04E4">
        <w:rPr>
          <w:szCs w:val="20"/>
          <w:lang w:val="en-GB"/>
        </w:rPr>
        <w:t>Consequently, a</w:t>
      </w:r>
      <w:r w:rsidR="00E95186" w:rsidRPr="00FF04E4">
        <w:rPr>
          <w:szCs w:val="20"/>
          <w:lang w:val="en-GB"/>
        </w:rPr>
        <w:t xml:space="preserve"> n</w:t>
      </w:r>
      <w:r w:rsidR="00B23014" w:rsidRPr="00FF04E4">
        <w:rPr>
          <w:szCs w:val="20"/>
          <w:lang w:val="en-GB"/>
        </w:rPr>
        <w:t>ew proposal for weighting of draughts</w:t>
      </w:r>
      <w:r w:rsidR="005070C5" w:rsidRPr="00FF04E4">
        <w:rPr>
          <w:szCs w:val="20"/>
          <w:lang w:val="en-GB"/>
        </w:rPr>
        <w:t>,</w:t>
      </w:r>
      <w:r w:rsidR="00B23014" w:rsidRPr="00FF04E4">
        <w:rPr>
          <w:szCs w:val="20"/>
          <w:lang w:val="en-GB"/>
        </w:rPr>
        <w:t xml:space="preserve"> for operational loading conditions and for SOLAS draught range</w:t>
      </w:r>
      <w:r w:rsidR="00206080" w:rsidRPr="00FF04E4">
        <w:rPr>
          <w:szCs w:val="20"/>
          <w:lang w:val="en-GB"/>
        </w:rPr>
        <w:t xml:space="preserve"> </w:t>
      </w:r>
      <w:r w:rsidRPr="00FF04E4">
        <w:rPr>
          <w:szCs w:val="20"/>
          <w:lang w:val="en-GB"/>
        </w:rPr>
        <w:t xml:space="preserve">was developed. </w:t>
      </w:r>
      <w:r w:rsidR="00C320A0" w:rsidRPr="00AF7D5D">
        <w:rPr>
          <w:szCs w:val="20"/>
          <w:lang w:val="en-GB"/>
        </w:rPr>
        <w:t xml:space="preserve">The </w:t>
      </w:r>
      <w:r w:rsidR="00C320A0">
        <w:rPr>
          <w:szCs w:val="20"/>
          <w:lang w:val="en-GB"/>
        </w:rPr>
        <w:t>analysis</w:t>
      </w:r>
      <w:r w:rsidR="00C320A0" w:rsidRPr="00AF7D5D">
        <w:rPr>
          <w:szCs w:val="20"/>
          <w:lang w:val="en-GB"/>
        </w:rPr>
        <w:t xml:space="preserve"> showed that passenger vessels, in general, operate within a much narrower draught range </w:t>
      </w:r>
      <w:r w:rsidR="00C320A0">
        <w:rPr>
          <w:szCs w:val="20"/>
          <w:lang w:val="en-GB"/>
        </w:rPr>
        <w:t xml:space="preserve">as </w:t>
      </w:r>
      <w:r w:rsidR="00C320A0" w:rsidRPr="00AF7D5D">
        <w:rPr>
          <w:szCs w:val="20"/>
          <w:lang w:val="en-GB"/>
        </w:rPr>
        <w:t>compared to SOLAS assumptions</w:t>
      </w:r>
      <w:r w:rsidR="00C320A0">
        <w:rPr>
          <w:szCs w:val="20"/>
          <w:lang w:val="en-GB"/>
        </w:rPr>
        <w:t xml:space="preserve"> and hence existing regulations </w:t>
      </w:r>
      <w:r w:rsidR="00C320A0" w:rsidRPr="00AF7D5D">
        <w:rPr>
          <w:szCs w:val="20"/>
          <w:lang w:val="en-GB"/>
        </w:rPr>
        <w:t xml:space="preserve">are not optimal </w:t>
      </w:r>
      <w:r w:rsidR="00C320A0">
        <w:rPr>
          <w:szCs w:val="20"/>
          <w:lang w:val="en-GB"/>
        </w:rPr>
        <w:t>in terms of assuring safety in operations</w:t>
      </w:r>
      <w:r w:rsidR="00C320A0" w:rsidRPr="00AF7D5D">
        <w:rPr>
          <w:szCs w:val="20"/>
          <w:lang w:val="en-GB"/>
        </w:rPr>
        <w:t xml:space="preserve">. </w:t>
      </w:r>
      <w:r w:rsidR="00C320A0">
        <w:rPr>
          <w:szCs w:val="20"/>
          <w:lang w:val="en-GB"/>
        </w:rPr>
        <w:t xml:space="preserve">Since passenger vessels rarely operate at their extreme draft range hence </w:t>
      </w:r>
      <w:r w:rsidR="00C320A0" w:rsidRPr="00AF7D5D">
        <w:rPr>
          <w:szCs w:val="20"/>
          <w:lang w:val="en-GB"/>
        </w:rPr>
        <w:t>two calculation dra</w:t>
      </w:r>
      <w:r w:rsidR="00C320A0">
        <w:rPr>
          <w:szCs w:val="20"/>
          <w:lang w:val="en-GB"/>
        </w:rPr>
        <w:t>ughts</w:t>
      </w:r>
      <w:r w:rsidR="00C320A0" w:rsidRPr="00AF7D5D">
        <w:rPr>
          <w:szCs w:val="20"/>
          <w:lang w:val="en-GB"/>
        </w:rPr>
        <w:t xml:space="preserve"> should be considered at intermediate locations within the vessel dra</w:t>
      </w:r>
      <w:r w:rsidR="00C320A0">
        <w:rPr>
          <w:szCs w:val="20"/>
          <w:lang w:val="en-GB"/>
        </w:rPr>
        <w:t>ught</w:t>
      </w:r>
      <w:r w:rsidR="00C320A0" w:rsidRPr="00AF7D5D">
        <w:rPr>
          <w:szCs w:val="20"/>
          <w:lang w:val="en-GB"/>
        </w:rPr>
        <w:t xml:space="preserve"> range. The optimal non-dimensional calculation draught values for vessels in operation, relative to the operational draught range, </w:t>
      </w:r>
      <w:r w:rsidR="00C320A0">
        <w:rPr>
          <w:szCs w:val="20"/>
          <w:lang w:val="en-GB"/>
        </w:rPr>
        <w:t>were estimated between</w:t>
      </w:r>
      <w:r w:rsidR="00C320A0" w:rsidRPr="00AF7D5D">
        <w:rPr>
          <w:szCs w:val="20"/>
          <w:lang w:val="en-GB"/>
        </w:rPr>
        <w:t xml:space="preserve"> 0.35 and 0.75.</w:t>
      </w:r>
      <w:r w:rsidR="00C320A0">
        <w:rPr>
          <w:szCs w:val="20"/>
          <w:lang w:val="en-GB"/>
        </w:rPr>
        <w:t xml:space="preserve"> </w:t>
      </w:r>
      <w:r w:rsidR="00C320A0" w:rsidRPr="00AF7D5D">
        <w:rPr>
          <w:szCs w:val="20"/>
          <w:lang w:val="en-GB"/>
        </w:rPr>
        <w:t>For vessels at design stage, the optimal non-dimensional calculation draughts were found to be 0.45-0.75</w:t>
      </w:r>
      <w:r w:rsidR="00C320A0">
        <w:rPr>
          <w:szCs w:val="20"/>
          <w:lang w:val="en-GB"/>
        </w:rPr>
        <w:t xml:space="preserve"> as</w:t>
      </w:r>
      <w:r w:rsidR="00C320A0" w:rsidRPr="00AF7D5D">
        <w:rPr>
          <w:szCs w:val="20"/>
          <w:lang w:val="en-GB"/>
        </w:rPr>
        <w:t xml:space="preserve"> compared to the </w:t>
      </w:r>
      <w:r w:rsidR="00C320A0" w:rsidRPr="00AF7D5D">
        <w:rPr>
          <w:szCs w:val="20"/>
          <w:lang w:val="en-GB"/>
        </w:rPr>
        <w:lastRenderedPageBreak/>
        <w:t>currently SOLAS range.</w:t>
      </w:r>
      <w:r w:rsidR="00C320A0">
        <w:rPr>
          <w:szCs w:val="20"/>
          <w:lang w:val="en-GB"/>
        </w:rPr>
        <w:t xml:space="preserve"> </w:t>
      </w:r>
      <w:r w:rsidR="00C320A0" w:rsidRPr="00AF7D5D">
        <w:rPr>
          <w:szCs w:val="20"/>
          <w:lang w:val="en-GB"/>
        </w:rPr>
        <w:t>In both cases the optimal weighting factors applicable to the calculation was 0.5</w:t>
      </w:r>
      <w:r w:rsidR="00C320A0">
        <w:rPr>
          <w:szCs w:val="20"/>
          <w:lang w:val="en-GB"/>
        </w:rPr>
        <w:t>.</w:t>
      </w:r>
    </w:p>
    <w:p w14:paraId="11611BFE" w14:textId="674029AD" w:rsidR="00C320A0" w:rsidRDefault="00C320A0" w:rsidP="00653362">
      <w:pPr>
        <w:ind w:firstLine="0"/>
        <w:rPr>
          <w:szCs w:val="20"/>
          <w:lang w:val="en-GB"/>
        </w:rPr>
      </w:pPr>
    </w:p>
    <w:p w14:paraId="1C3DAF6F" w14:textId="14B3AAFA" w:rsidR="00C320A0" w:rsidRDefault="00C320A0" w:rsidP="00653362">
      <w:pPr>
        <w:ind w:firstLine="0"/>
        <w:rPr>
          <w:szCs w:val="20"/>
          <w:lang w:val="en-GB"/>
        </w:rPr>
      </w:pPr>
    </w:p>
    <w:p w14:paraId="1AC1B33B" w14:textId="01BA437A" w:rsidR="00C320A0" w:rsidRPr="008465BB" w:rsidRDefault="00C320A0" w:rsidP="00653362">
      <w:pPr>
        <w:ind w:firstLine="0"/>
        <w:rPr>
          <w:szCs w:val="20"/>
          <w:lang w:val="en-GB"/>
        </w:rPr>
      </w:pPr>
      <w:r w:rsidRPr="00AF7D5D">
        <w:rPr>
          <w:noProof/>
          <w:sz w:val="16"/>
          <w:szCs w:val="16"/>
          <w:lang w:val="fr-FR" w:eastAsia="fr-FR"/>
        </w:rPr>
        <w:drawing>
          <wp:anchor distT="0" distB="0" distL="114300" distR="114300" simplePos="0" relativeHeight="251664384" behindDoc="0" locked="0" layoutInCell="1" allowOverlap="1" wp14:anchorId="751F173B" wp14:editId="0BC2570D">
            <wp:simplePos x="0" y="0"/>
            <wp:positionH relativeFrom="margin">
              <wp:posOffset>2652351</wp:posOffset>
            </wp:positionH>
            <wp:positionV relativeFrom="paragraph">
              <wp:posOffset>63116</wp:posOffset>
            </wp:positionV>
            <wp:extent cx="1887648" cy="1475105"/>
            <wp:effectExtent l="0" t="0" r="0" b="0"/>
            <wp:wrapNone/>
            <wp:docPr id="4" name="Picture 13"/>
            <wp:cNvGraphicFramePr/>
            <a:graphic xmlns:a="http://schemas.openxmlformats.org/drawingml/2006/main">
              <a:graphicData uri="http://schemas.openxmlformats.org/drawingml/2006/picture">
                <pic:pic xmlns:pic="http://schemas.openxmlformats.org/drawingml/2006/picture">
                  <pic:nvPicPr>
                    <pic:cNvPr id="4" name="Picture 13"/>
                    <pic:cNvPicPr/>
                  </pic:nvPicPr>
                  <pic:blipFill rotWithShape="1">
                    <a:blip r:embed="rId8" cstate="print">
                      <a:extLst>
                        <a:ext uri="{28A0092B-C50C-407E-A947-70E740481C1C}">
                          <a14:useLocalDpi xmlns:a14="http://schemas.microsoft.com/office/drawing/2010/main" val="0"/>
                        </a:ext>
                      </a:extLst>
                    </a:blip>
                    <a:srcRect l="2297" r="1573" b="6234"/>
                    <a:stretch/>
                  </pic:blipFill>
                  <pic:spPr bwMode="auto">
                    <a:xfrm>
                      <a:off x="0" y="0"/>
                      <a:ext cx="1892737" cy="1479082"/>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AF7D5D">
        <w:rPr>
          <w:noProof/>
          <w:sz w:val="16"/>
          <w:szCs w:val="16"/>
          <w:lang w:val="fr-FR" w:eastAsia="fr-FR"/>
        </w:rPr>
        <w:drawing>
          <wp:anchor distT="0" distB="0" distL="114300" distR="114300" simplePos="0" relativeHeight="251666432" behindDoc="0" locked="0" layoutInCell="1" allowOverlap="1" wp14:anchorId="6056110B" wp14:editId="4778D0CE">
            <wp:simplePos x="0" y="0"/>
            <wp:positionH relativeFrom="margin">
              <wp:posOffset>316557</wp:posOffset>
            </wp:positionH>
            <wp:positionV relativeFrom="paragraph">
              <wp:posOffset>4269</wp:posOffset>
            </wp:positionV>
            <wp:extent cx="2005330" cy="1534562"/>
            <wp:effectExtent l="0" t="0" r="0" b="8890"/>
            <wp:wrapNone/>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rotWithShape="1">
                    <a:blip r:embed="rId9" cstate="print">
                      <a:extLst>
                        <a:ext uri="{28A0092B-C50C-407E-A947-70E740481C1C}">
                          <a14:useLocalDpi xmlns:a14="http://schemas.microsoft.com/office/drawing/2010/main" val="0"/>
                        </a:ext>
                      </a:extLst>
                    </a:blip>
                    <a:srcRect l="1927" b="6769"/>
                    <a:stretch/>
                  </pic:blipFill>
                  <pic:spPr bwMode="auto">
                    <a:xfrm>
                      <a:off x="0" y="0"/>
                      <a:ext cx="2009557" cy="1537797"/>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62FACF1" w14:textId="2B6999FE" w:rsidR="008A013D" w:rsidRPr="00AF7D5D" w:rsidRDefault="00C320A0" w:rsidP="00653362">
      <w:pPr>
        <w:ind w:firstLine="0"/>
        <w:rPr>
          <w:sz w:val="16"/>
          <w:szCs w:val="16"/>
          <w:lang w:val="en-GB"/>
        </w:rPr>
      </w:pPr>
      <w:r w:rsidRPr="00AF7D5D">
        <w:rPr>
          <w:noProof/>
          <w:sz w:val="16"/>
          <w:szCs w:val="16"/>
          <w:lang w:val="fr-FR" w:eastAsia="fr-FR"/>
        </w:rPr>
        <mc:AlternateContent>
          <mc:Choice Requires="wps">
            <w:drawing>
              <wp:anchor distT="0" distB="0" distL="114300" distR="114300" simplePos="0" relativeHeight="251667456" behindDoc="0" locked="0" layoutInCell="1" allowOverlap="1" wp14:anchorId="74B030CC" wp14:editId="1CEE25EB">
                <wp:simplePos x="0" y="0"/>
                <wp:positionH relativeFrom="column">
                  <wp:posOffset>2146784</wp:posOffset>
                </wp:positionH>
                <wp:positionV relativeFrom="paragraph">
                  <wp:posOffset>-377133</wp:posOffset>
                </wp:positionV>
                <wp:extent cx="2463384" cy="369332"/>
                <wp:effectExtent l="0" t="0" r="0" b="0"/>
                <wp:wrapNone/>
                <wp:docPr id="9" name="Textfeld 8"/>
                <wp:cNvGraphicFramePr/>
                <a:graphic xmlns:a="http://schemas.openxmlformats.org/drawingml/2006/main">
                  <a:graphicData uri="http://schemas.microsoft.com/office/word/2010/wordprocessingShape">
                    <wps:wsp>
                      <wps:cNvSpPr txBox="1"/>
                      <wps:spPr>
                        <a:xfrm>
                          <a:off x="0" y="0"/>
                          <a:ext cx="2463384" cy="369332"/>
                        </a:xfrm>
                        <a:prstGeom prst="rect">
                          <a:avLst/>
                        </a:prstGeom>
                        <a:noFill/>
                      </wps:spPr>
                      <wps:txbx>
                        <w:txbxContent>
                          <w:p w14:paraId="0EA5A4DF" w14:textId="05D76BCD" w:rsidR="00B23014" w:rsidRPr="00852FED" w:rsidRDefault="00852FED" w:rsidP="00852FED">
                            <w:pPr>
                              <w:jc w:val="center"/>
                              <w:rPr>
                                <w:color w:val="000000" w:themeColor="text1"/>
                                <w:kern w:val="24"/>
                                <w:sz w:val="16"/>
                                <w:szCs w:val="16"/>
                                <w:lang w:val="de-DE"/>
                              </w:rPr>
                            </w:pPr>
                            <w:r w:rsidRPr="00852FED">
                              <w:rPr>
                                <w:color w:val="000000" w:themeColor="text1"/>
                                <w:kern w:val="24"/>
                                <w:sz w:val="16"/>
                                <w:szCs w:val="16"/>
                                <w:lang w:val="de-DE"/>
                              </w:rPr>
                              <w:t xml:space="preserve">(b) </w:t>
                            </w:r>
                            <w:r w:rsidR="00B23014" w:rsidRPr="00852FED">
                              <w:rPr>
                                <w:color w:val="000000" w:themeColor="text1"/>
                                <w:kern w:val="24"/>
                                <w:sz w:val="16"/>
                                <w:szCs w:val="16"/>
                                <w:lang w:val="de-DE"/>
                              </w:rPr>
                              <w:t>SOLAS draught range</w:t>
                            </w:r>
                          </w:p>
                        </w:txbxContent>
                      </wps:txbx>
                      <wps:bodyPr wrap="square" rtlCol="0">
                        <a:spAutoFit/>
                      </wps:bodyPr>
                    </wps:wsp>
                  </a:graphicData>
                </a:graphic>
                <wp14:sizeRelH relativeFrom="margin">
                  <wp14:pctWidth>0</wp14:pctWidth>
                </wp14:sizeRelH>
              </wp:anchor>
            </w:drawing>
          </mc:Choice>
          <mc:Fallback>
            <w:pict>
              <v:shapetype w14:anchorId="74B030CC" id="_x0000_t202" coordsize="21600,21600" o:spt="202" path="m,l,21600r21600,l21600,xe">
                <v:stroke joinstyle="miter"/>
                <v:path gradientshapeok="t" o:connecttype="rect"/>
              </v:shapetype>
              <v:shape id="Textfeld 8" o:spid="_x0000_s1026" type="#_x0000_t202" style="position:absolute;left:0;text-align:left;margin-left:169.05pt;margin-top:-29.7pt;width:193.95pt;height:29.1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" filled="f" stroked="f">
                <v:textbox style="mso-fit-shape-to-text:t">
                  <w:txbxContent>
                    <w:p w14:paraId="0EA5A4DF" w14:textId="05D76BCD" w:rsidR="00B23014" w:rsidRPr="00852FED" w:rsidRDefault="00852FED" w:rsidP="00852FED">
                      <w:pPr>
                        <w:jc w:val="center"/>
                        <w:rPr>
                          <w:color w:val="000000" w:themeColor="text1"/>
                          <w:kern w:val="24"/>
                          <w:sz w:val="16"/>
                          <w:szCs w:val="16"/>
                          <w:lang w:val="de-DE"/>
                        </w:rPr>
                      </w:pPr>
                      <w:r w:rsidRPr="00852FED">
                        <w:rPr>
                          <w:color w:val="000000" w:themeColor="text1"/>
                          <w:kern w:val="24"/>
                          <w:sz w:val="16"/>
                          <w:szCs w:val="16"/>
                          <w:lang w:val="de-DE"/>
                        </w:rPr>
                        <w:t xml:space="preserve">(b) </w:t>
                      </w:r>
                      <w:r w:rsidR="00B23014" w:rsidRPr="00852FED">
                        <w:rPr>
                          <w:color w:val="000000" w:themeColor="text1"/>
                          <w:kern w:val="24"/>
                          <w:sz w:val="16"/>
                          <w:szCs w:val="16"/>
                          <w:lang w:val="de-DE"/>
                        </w:rPr>
                        <w:t xml:space="preserve">SOLAS </w:t>
                      </w:r>
                      <w:proofErr w:type="spellStart"/>
                      <w:r w:rsidR="00B23014" w:rsidRPr="00852FED">
                        <w:rPr>
                          <w:color w:val="000000" w:themeColor="text1"/>
                          <w:kern w:val="24"/>
                          <w:sz w:val="16"/>
                          <w:szCs w:val="16"/>
                          <w:lang w:val="de-DE"/>
                        </w:rPr>
                        <w:t>draught</w:t>
                      </w:r>
                      <w:proofErr w:type="spellEnd"/>
                      <w:r w:rsidR="00B23014" w:rsidRPr="00852FED">
                        <w:rPr>
                          <w:color w:val="000000" w:themeColor="text1"/>
                          <w:kern w:val="24"/>
                          <w:sz w:val="16"/>
                          <w:szCs w:val="16"/>
                          <w:lang w:val="de-DE"/>
                        </w:rPr>
                        <w:t xml:space="preserve"> </w:t>
                      </w:r>
                      <w:proofErr w:type="spellStart"/>
                      <w:r w:rsidR="00B23014" w:rsidRPr="00852FED">
                        <w:rPr>
                          <w:color w:val="000000" w:themeColor="text1"/>
                          <w:kern w:val="24"/>
                          <w:sz w:val="16"/>
                          <w:szCs w:val="16"/>
                          <w:lang w:val="de-DE"/>
                        </w:rPr>
                        <w:t>range</w:t>
                      </w:r>
                      <w:proofErr w:type="spellEnd"/>
                    </w:p>
                  </w:txbxContent>
                </v:textbox>
              </v:shape>
            </w:pict>
          </mc:Fallback>
        </mc:AlternateContent>
      </w:r>
      <w:r w:rsidRPr="00AF7D5D">
        <w:rPr>
          <w:noProof/>
          <w:sz w:val="16"/>
          <w:szCs w:val="16"/>
          <w:lang w:val="fr-FR" w:eastAsia="fr-FR"/>
        </w:rPr>
        <mc:AlternateContent>
          <mc:Choice Requires="wps">
            <w:drawing>
              <wp:anchor distT="0" distB="0" distL="114300" distR="114300" simplePos="0" relativeHeight="251668480" behindDoc="0" locked="0" layoutInCell="1" allowOverlap="1" wp14:anchorId="728132D7" wp14:editId="5FBE90DD">
                <wp:simplePos x="0" y="0"/>
                <wp:positionH relativeFrom="column">
                  <wp:posOffset>123240</wp:posOffset>
                </wp:positionH>
                <wp:positionV relativeFrom="paragraph">
                  <wp:posOffset>-405482</wp:posOffset>
                </wp:positionV>
                <wp:extent cx="2218544" cy="368935"/>
                <wp:effectExtent l="0" t="0" r="0" b="0"/>
                <wp:wrapNone/>
                <wp:docPr id="11" name="Textfeld 10"/>
                <wp:cNvGraphicFramePr/>
                <a:graphic xmlns:a="http://schemas.openxmlformats.org/drawingml/2006/main">
                  <a:graphicData uri="http://schemas.microsoft.com/office/word/2010/wordprocessingShape">
                    <wps:wsp>
                      <wps:cNvSpPr txBox="1"/>
                      <wps:spPr>
                        <a:xfrm>
                          <a:off x="0" y="0"/>
                          <a:ext cx="2218544" cy="368935"/>
                        </a:xfrm>
                        <a:prstGeom prst="rect">
                          <a:avLst/>
                        </a:prstGeom>
                        <a:noFill/>
                      </wps:spPr>
                      <wps:txbx>
                        <w:txbxContent>
                          <w:p w14:paraId="03B2BB09" w14:textId="44541E36" w:rsidR="00B23014" w:rsidRPr="00852FED" w:rsidRDefault="00B23014" w:rsidP="00A24C78">
                            <w:pPr>
                              <w:pStyle w:val="ListParagraph"/>
                              <w:numPr>
                                <w:ilvl w:val="0"/>
                                <w:numId w:val="11"/>
                              </w:numPr>
                              <w:jc w:val="center"/>
                              <w:rPr>
                                <w:color w:val="000000" w:themeColor="text1"/>
                                <w:kern w:val="24"/>
                                <w:sz w:val="16"/>
                                <w:szCs w:val="16"/>
                                <w:lang w:val="de-DE"/>
                              </w:rPr>
                            </w:pPr>
                            <w:r w:rsidRPr="00852FED">
                              <w:rPr>
                                <w:color w:val="000000" w:themeColor="text1"/>
                                <w:kern w:val="24"/>
                                <w:sz w:val="16"/>
                                <w:szCs w:val="16"/>
                                <w:lang w:val="de-DE"/>
                              </w:rPr>
                              <w:t>operational draught range</w:t>
                            </w:r>
                          </w:p>
                        </w:txbxContent>
                      </wps:txbx>
                      <wps:bodyPr wrap="square" rtlCol="0">
                        <a:spAutoFit/>
                      </wps:bodyPr>
                    </wps:wsp>
                  </a:graphicData>
                </a:graphic>
                <wp14:sizeRelH relativeFrom="margin">
                  <wp14:pctWidth>0</wp14:pctWidth>
                </wp14:sizeRelH>
              </wp:anchor>
            </w:drawing>
          </mc:Choice>
          <mc:Fallback>
            <w:pict>
              <v:shape w14:anchorId="728132D7" id="Textfeld 10" o:spid="_x0000_s1027" type="#_x0000_t202" style="position:absolute;left:0;text-align:left;margin-left:9.7pt;margin-top:-31.95pt;width:174.7pt;height:29.0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" filled="f" stroked="f">
                <v:textbox style="mso-fit-shape-to-text:t">
                  <w:txbxContent>
                    <w:p w14:paraId="03B2BB09" w14:textId="44541E36" w:rsidR="00B23014" w:rsidRPr="00852FED" w:rsidRDefault="00B23014" w:rsidP="00A24C78">
                      <w:pPr>
                        <w:pStyle w:val="ListParagraph"/>
                        <w:numPr>
                          <w:ilvl w:val="0"/>
                          <w:numId w:val="11"/>
                        </w:numPr>
                        <w:jc w:val="center"/>
                        <w:rPr>
                          <w:color w:val="000000" w:themeColor="text1"/>
                          <w:kern w:val="24"/>
                          <w:sz w:val="16"/>
                          <w:szCs w:val="16"/>
                          <w:lang w:val="de-DE"/>
                        </w:rPr>
                      </w:pPr>
                      <w:r w:rsidRPr="00852FED">
                        <w:rPr>
                          <w:color w:val="000000" w:themeColor="text1"/>
                          <w:kern w:val="24"/>
                          <w:sz w:val="16"/>
                          <w:szCs w:val="16"/>
                          <w:lang w:val="de-DE"/>
                        </w:rPr>
                        <w:t xml:space="preserve">operational </w:t>
                      </w:r>
                      <w:proofErr w:type="spellStart"/>
                      <w:r w:rsidRPr="00852FED">
                        <w:rPr>
                          <w:color w:val="000000" w:themeColor="text1"/>
                          <w:kern w:val="24"/>
                          <w:sz w:val="16"/>
                          <w:szCs w:val="16"/>
                          <w:lang w:val="de-DE"/>
                        </w:rPr>
                        <w:t>draught</w:t>
                      </w:r>
                      <w:proofErr w:type="spellEnd"/>
                      <w:r w:rsidRPr="00852FED">
                        <w:rPr>
                          <w:color w:val="000000" w:themeColor="text1"/>
                          <w:kern w:val="24"/>
                          <w:sz w:val="16"/>
                          <w:szCs w:val="16"/>
                          <w:lang w:val="de-DE"/>
                        </w:rPr>
                        <w:t xml:space="preserve"> </w:t>
                      </w:r>
                      <w:proofErr w:type="spellStart"/>
                      <w:r w:rsidRPr="00852FED">
                        <w:rPr>
                          <w:color w:val="000000" w:themeColor="text1"/>
                          <w:kern w:val="24"/>
                          <w:sz w:val="16"/>
                          <w:szCs w:val="16"/>
                          <w:lang w:val="de-DE"/>
                        </w:rPr>
                        <w:t>range</w:t>
                      </w:r>
                      <w:proofErr w:type="spellEnd"/>
                    </w:p>
                  </w:txbxContent>
                </v:textbox>
              </v:shape>
            </w:pict>
          </mc:Fallback>
        </mc:AlternateContent>
      </w:r>
    </w:p>
    <w:p w14:paraId="738C02E4" w14:textId="66EE8AA2" w:rsidR="008A013D" w:rsidRPr="00AF7D5D" w:rsidRDefault="008A013D" w:rsidP="00653362">
      <w:pPr>
        <w:ind w:firstLine="0"/>
        <w:rPr>
          <w:sz w:val="16"/>
          <w:szCs w:val="16"/>
          <w:lang w:val="en-GB"/>
        </w:rPr>
      </w:pPr>
    </w:p>
    <w:p w14:paraId="0FB538C3" w14:textId="04FD114C" w:rsidR="008A013D" w:rsidRPr="00AF7D5D" w:rsidRDefault="008A013D" w:rsidP="00653362">
      <w:pPr>
        <w:ind w:firstLine="0"/>
        <w:rPr>
          <w:sz w:val="16"/>
          <w:szCs w:val="16"/>
          <w:lang w:val="en-GB"/>
        </w:rPr>
      </w:pPr>
    </w:p>
    <w:p w14:paraId="1889D9C9" w14:textId="084C4F50" w:rsidR="008A013D" w:rsidRPr="00AF7D5D" w:rsidRDefault="008A013D" w:rsidP="00653362">
      <w:pPr>
        <w:ind w:firstLine="0"/>
        <w:rPr>
          <w:sz w:val="16"/>
          <w:szCs w:val="16"/>
          <w:lang w:val="en-GB"/>
        </w:rPr>
      </w:pPr>
    </w:p>
    <w:p w14:paraId="44676F06" w14:textId="71087B28" w:rsidR="008A013D" w:rsidRPr="00AF7D5D" w:rsidRDefault="008A013D" w:rsidP="00653362">
      <w:pPr>
        <w:ind w:firstLine="0"/>
        <w:rPr>
          <w:sz w:val="16"/>
          <w:szCs w:val="16"/>
          <w:lang w:val="en-GB"/>
        </w:rPr>
      </w:pPr>
    </w:p>
    <w:p w14:paraId="5878CFBC" w14:textId="5A53EC99" w:rsidR="008A013D" w:rsidRPr="00AF7D5D" w:rsidRDefault="008A013D" w:rsidP="00653362">
      <w:pPr>
        <w:ind w:firstLine="0"/>
        <w:rPr>
          <w:sz w:val="16"/>
          <w:szCs w:val="16"/>
          <w:lang w:val="en-GB"/>
        </w:rPr>
      </w:pPr>
    </w:p>
    <w:p w14:paraId="2BB2810C" w14:textId="5F64C1CE" w:rsidR="008A013D" w:rsidRPr="00AF7D5D" w:rsidRDefault="008A013D" w:rsidP="00653362">
      <w:pPr>
        <w:ind w:firstLine="0"/>
        <w:rPr>
          <w:sz w:val="16"/>
          <w:szCs w:val="16"/>
          <w:lang w:val="en-GB"/>
        </w:rPr>
      </w:pPr>
    </w:p>
    <w:p w14:paraId="0687CCCE" w14:textId="6A063AF5" w:rsidR="00C320A0" w:rsidRDefault="00C320A0" w:rsidP="008465BB">
      <w:pPr>
        <w:pStyle w:val="CaptionShort"/>
        <w:jc w:val="both"/>
        <w:rPr>
          <w:b/>
        </w:rPr>
      </w:pPr>
    </w:p>
    <w:p w14:paraId="0636175C" w14:textId="0C10A6E4" w:rsidR="00C320A0" w:rsidRDefault="00C320A0" w:rsidP="008465BB">
      <w:pPr>
        <w:pStyle w:val="CaptionShort"/>
        <w:jc w:val="both"/>
        <w:rPr>
          <w:b/>
        </w:rPr>
      </w:pPr>
      <w:r w:rsidRPr="00AF7D5D">
        <w:rPr>
          <w:noProof/>
          <w:szCs w:val="16"/>
          <w:lang w:val="fr-FR" w:eastAsia="fr-FR"/>
        </w:rPr>
        <w:drawing>
          <wp:anchor distT="0" distB="0" distL="114300" distR="114300" simplePos="0" relativeHeight="251670528" behindDoc="0" locked="0" layoutInCell="1" allowOverlap="1" wp14:anchorId="65C63BCA" wp14:editId="0637FB6C">
            <wp:simplePos x="0" y="0"/>
            <wp:positionH relativeFrom="margin">
              <wp:posOffset>1669786</wp:posOffset>
            </wp:positionH>
            <wp:positionV relativeFrom="paragraph">
              <wp:posOffset>32385</wp:posOffset>
            </wp:positionV>
            <wp:extent cx="1622425" cy="661670"/>
            <wp:effectExtent l="0" t="0" r="0" b="0"/>
            <wp:wrapNone/>
            <wp:docPr id="5" name="table" descr="Shape&#10;&#10;Description automatically generated with medium confidence">
              <a:extLst xmlns:a="http://schemas.openxmlformats.org/drawingml/2006/main">
                <a:ext uri="{FF2B5EF4-FFF2-40B4-BE49-F238E27FC236}">
                  <a16:creationId xmlns:a16="http://schemas.microsoft.com/office/drawing/2014/main" id="{2A38CE25-6D6F-4159-AAA2-378A3EAB58A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able" descr="Shape&#10;&#10;Description automatically generated with medium confidence">
                      <a:extLst>
                        <a:ext uri="{FF2B5EF4-FFF2-40B4-BE49-F238E27FC236}">
                          <a16:creationId xmlns:a16="http://schemas.microsoft.com/office/drawing/2014/main" id="{2A38CE25-6D6F-4159-AAA2-378A3EAB58A1}"/>
                        </a:ext>
                      </a:extLst>
                    </pic:cNvPr>
                    <pic:cNvPicPr>
                      <a:picLocks noChangeAspect="1"/>
                    </pic:cNvPicPr>
                  </pic:nvPicPr>
                  <pic:blipFill>
                    <a:blip r:embed="rId10"/>
                    <a:stretch>
                      <a:fillRect/>
                    </a:stretch>
                  </pic:blipFill>
                  <pic:spPr>
                    <a:xfrm>
                      <a:off x="0" y="0"/>
                      <a:ext cx="1622425" cy="661670"/>
                    </a:xfrm>
                    <a:prstGeom prst="rect">
                      <a:avLst/>
                    </a:prstGeom>
                  </pic:spPr>
                </pic:pic>
              </a:graphicData>
            </a:graphic>
            <wp14:sizeRelH relativeFrom="margin">
              <wp14:pctWidth>0</wp14:pctWidth>
            </wp14:sizeRelH>
            <wp14:sizeRelV relativeFrom="margin">
              <wp14:pctHeight>0</wp14:pctHeight>
            </wp14:sizeRelV>
          </wp:anchor>
        </w:drawing>
      </w:r>
    </w:p>
    <w:p w14:paraId="5D4A05F6" w14:textId="2C7A2642" w:rsidR="00C320A0" w:rsidRDefault="00C320A0" w:rsidP="008465BB">
      <w:pPr>
        <w:pStyle w:val="CaptionShort"/>
        <w:jc w:val="both"/>
        <w:rPr>
          <w:b/>
        </w:rPr>
      </w:pPr>
    </w:p>
    <w:p w14:paraId="0202728B" w14:textId="651A6B8F" w:rsidR="00C320A0" w:rsidRDefault="00C320A0" w:rsidP="008465BB">
      <w:pPr>
        <w:pStyle w:val="CaptionShort"/>
        <w:jc w:val="both"/>
        <w:rPr>
          <w:b/>
        </w:rPr>
      </w:pPr>
      <w:r w:rsidRPr="00AF7D5D">
        <w:rPr>
          <w:noProof/>
          <w:szCs w:val="16"/>
          <w:lang w:val="fr-FR" w:eastAsia="fr-FR"/>
        </w:rPr>
        <w:drawing>
          <wp:anchor distT="0" distB="0" distL="114300" distR="114300" simplePos="0" relativeHeight="251665408" behindDoc="0" locked="0" layoutInCell="1" allowOverlap="1" wp14:anchorId="3EA5341A" wp14:editId="4060F2B8">
            <wp:simplePos x="0" y="0"/>
            <wp:positionH relativeFrom="column">
              <wp:posOffset>2976471</wp:posOffset>
            </wp:positionH>
            <wp:positionV relativeFrom="paragraph">
              <wp:posOffset>2540</wp:posOffset>
            </wp:positionV>
            <wp:extent cx="1262380" cy="203200"/>
            <wp:effectExtent l="0" t="0" r="0" b="6350"/>
            <wp:wrapNone/>
            <wp:docPr id="2" name="table" descr="Shape&#10;&#10;Description automatically generated with medium confidence">
              <a:extLst xmlns:a="http://schemas.openxmlformats.org/drawingml/2006/main">
                <a:ext uri="{FF2B5EF4-FFF2-40B4-BE49-F238E27FC236}">
                  <a16:creationId xmlns:a16="http://schemas.microsoft.com/office/drawing/2014/main" id="{40E073EF-FA37-4479-ADEB-D10D5EF4DB3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ble" descr="Shape&#10;&#10;Description automatically generated with medium confidence">
                      <a:extLst>
                        <a:ext uri="{FF2B5EF4-FFF2-40B4-BE49-F238E27FC236}">
                          <a16:creationId xmlns:a16="http://schemas.microsoft.com/office/drawing/2014/main" id="{40E073EF-FA37-4479-ADEB-D10D5EF4DB34}"/>
                        </a:ext>
                      </a:extLst>
                    </pic:cNvPr>
                    <pic:cNvPicPr>
                      <a:picLocks noChangeAspect="1"/>
                    </pic:cNvPicPr>
                  </pic:nvPicPr>
                  <pic:blipFill>
                    <a:blip r:embed="rId11"/>
                    <a:stretch>
                      <a:fillRect/>
                    </a:stretch>
                  </pic:blipFill>
                  <pic:spPr>
                    <a:xfrm>
                      <a:off x="0" y="0"/>
                      <a:ext cx="1262380" cy="203200"/>
                    </a:xfrm>
                    <a:prstGeom prst="rect">
                      <a:avLst/>
                    </a:prstGeom>
                  </pic:spPr>
                </pic:pic>
              </a:graphicData>
            </a:graphic>
            <wp14:sizeRelH relativeFrom="margin">
              <wp14:pctWidth>0</wp14:pctWidth>
            </wp14:sizeRelH>
            <wp14:sizeRelV relativeFrom="margin">
              <wp14:pctHeight>0</wp14:pctHeight>
            </wp14:sizeRelV>
          </wp:anchor>
        </w:drawing>
      </w:r>
      <w:r w:rsidRPr="00AF7D5D">
        <w:rPr>
          <w:noProof/>
          <w:szCs w:val="16"/>
          <w:lang w:val="fr-FR" w:eastAsia="fr-FR"/>
        </w:rPr>
        <w:drawing>
          <wp:anchor distT="0" distB="0" distL="114300" distR="114300" simplePos="0" relativeHeight="251669504" behindDoc="0" locked="0" layoutInCell="1" allowOverlap="1" wp14:anchorId="46057B7B" wp14:editId="685ADFAC">
            <wp:simplePos x="0" y="0"/>
            <wp:positionH relativeFrom="column">
              <wp:posOffset>568614</wp:posOffset>
            </wp:positionH>
            <wp:positionV relativeFrom="paragraph">
              <wp:posOffset>2943</wp:posOffset>
            </wp:positionV>
            <wp:extent cx="1385180" cy="204058"/>
            <wp:effectExtent l="0" t="0" r="5715" b="5715"/>
            <wp:wrapNone/>
            <wp:docPr id="10" name="table" descr="Shape&#10;&#10;Description automatically generated with medium confidence">
              <a:extLst xmlns:a="http://schemas.openxmlformats.org/drawingml/2006/main">
                <a:ext uri="{FF2B5EF4-FFF2-40B4-BE49-F238E27FC236}">
                  <a16:creationId xmlns:a16="http://schemas.microsoft.com/office/drawing/2014/main" id="{6BB58AB6-3BB7-4571-B903-3ACD1B11334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table" descr="Shape&#10;&#10;Description automatically generated with medium confidence">
                      <a:extLst>
                        <a:ext uri="{FF2B5EF4-FFF2-40B4-BE49-F238E27FC236}">
                          <a16:creationId xmlns:a16="http://schemas.microsoft.com/office/drawing/2014/main" id="{6BB58AB6-3BB7-4571-B903-3ACD1B113344}"/>
                        </a:ext>
                      </a:extLst>
                    </pic:cNvPr>
                    <pic:cNvPicPr>
                      <a:picLocks noChangeAspect="1"/>
                    </pic:cNvPicPr>
                  </pic:nvPicPr>
                  <pic:blipFill>
                    <a:blip r:embed="rId12"/>
                    <a:stretch>
                      <a:fillRect/>
                    </a:stretch>
                  </pic:blipFill>
                  <pic:spPr>
                    <a:xfrm>
                      <a:off x="0" y="0"/>
                      <a:ext cx="1385180" cy="204058"/>
                    </a:xfrm>
                    <a:prstGeom prst="rect">
                      <a:avLst/>
                    </a:prstGeom>
                  </pic:spPr>
                </pic:pic>
              </a:graphicData>
            </a:graphic>
            <wp14:sizeRelH relativeFrom="margin">
              <wp14:pctWidth>0</wp14:pctWidth>
            </wp14:sizeRelH>
            <wp14:sizeRelV relativeFrom="margin">
              <wp14:pctHeight>0</wp14:pctHeight>
            </wp14:sizeRelV>
          </wp:anchor>
        </w:drawing>
      </w:r>
    </w:p>
    <w:p w14:paraId="52A93F95" w14:textId="77777777" w:rsidR="00C320A0" w:rsidRDefault="00C320A0" w:rsidP="008465BB">
      <w:pPr>
        <w:pStyle w:val="CaptionShort"/>
        <w:jc w:val="both"/>
        <w:rPr>
          <w:b/>
        </w:rPr>
      </w:pPr>
    </w:p>
    <w:p w14:paraId="3596F590" w14:textId="2FC92550" w:rsidR="00852FED" w:rsidRDefault="00852FED" w:rsidP="008465BB">
      <w:pPr>
        <w:pStyle w:val="CaptionShort"/>
        <w:jc w:val="both"/>
      </w:pPr>
      <w:r>
        <w:rPr>
          <w:b/>
        </w:rPr>
        <w:t>Figure 1.</w:t>
      </w:r>
      <w:r>
        <w:t xml:space="preserve"> Non dimensional distributions of operational versus SOLAS draft distributions for passenger ships.</w:t>
      </w:r>
    </w:p>
    <w:p w14:paraId="79A0C290" w14:textId="46CA6566" w:rsidR="00AC6C30" w:rsidRDefault="00AC6C30" w:rsidP="00AC6C30">
      <w:pPr>
        <w:ind w:left="284" w:firstLine="0"/>
        <w:rPr>
          <w:szCs w:val="20"/>
          <w:lang w:val="en-GB"/>
        </w:rPr>
      </w:pPr>
    </w:p>
    <w:p w14:paraId="53E4C59D" w14:textId="4D4C546B" w:rsidR="009C0CE5" w:rsidRDefault="00F270B3" w:rsidP="00CD45C6">
      <w:pPr>
        <w:ind w:firstLine="284"/>
        <w:rPr>
          <w:szCs w:val="20"/>
          <w:lang w:val="en-GB"/>
        </w:rPr>
      </w:pPr>
      <w:r>
        <w:rPr>
          <w:szCs w:val="20"/>
          <w:lang w:val="en-GB"/>
        </w:rPr>
        <w:t xml:space="preserve">Analysis of the </w:t>
      </w:r>
      <w:r w:rsidR="00FF04E4" w:rsidRPr="00AF7D5D">
        <w:rPr>
          <w:szCs w:val="20"/>
          <w:lang w:val="en-GB"/>
        </w:rPr>
        <w:t>permeability of cargo holds for one year</w:t>
      </w:r>
      <w:r>
        <w:rPr>
          <w:szCs w:val="20"/>
          <w:lang w:val="en-GB"/>
        </w:rPr>
        <w:t xml:space="preserve"> confirmed </w:t>
      </w:r>
      <w:r w:rsidR="00FF04E4" w:rsidRPr="00AF7D5D">
        <w:rPr>
          <w:szCs w:val="20"/>
          <w:lang w:val="en-GB"/>
        </w:rPr>
        <w:t>SOLAS default values</w:t>
      </w:r>
      <w:r>
        <w:rPr>
          <w:szCs w:val="20"/>
          <w:lang w:val="en-GB"/>
        </w:rPr>
        <w:t>.</w:t>
      </w:r>
      <w:r w:rsidR="00FF04E4" w:rsidRPr="00AF7D5D">
        <w:rPr>
          <w:szCs w:val="20"/>
          <w:lang w:val="en-GB"/>
        </w:rPr>
        <w:t xml:space="preserve"> </w:t>
      </w:r>
      <w:r>
        <w:rPr>
          <w:szCs w:val="20"/>
          <w:lang w:val="en-GB"/>
        </w:rPr>
        <w:t>On the other hand, t</w:t>
      </w:r>
      <w:r w:rsidR="00FF04E4" w:rsidRPr="00AF7D5D">
        <w:rPr>
          <w:szCs w:val="20"/>
          <w:lang w:val="en-GB"/>
        </w:rPr>
        <w:t xml:space="preserve">he analysis on the permeability of engine rooms and cabin areas of existing ships indicated that </w:t>
      </w:r>
      <w:r w:rsidR="00FF04E4">
        <w:rPr>
          <w:szCs w:val="20"/>
          <w:lang w:val="en-GB"/>
        </w:rPr>
        <w:t xml:space="preserve">mean </w:t>
      </w:r>
      <w:r w:rsidR="00FF04E4" w:rsidRPr="00AF7D5D">
        <w:rPr>
          <w:szCs w:val="20"/>
          <w:lang w:val="en-GB"/>
        </w:rPr>
        <w:t xml:space="preserve">permeability </w:t>
      </w:r>
      <w:r w:rsidR="00FF04E4">
        <w:rPr>
          <w:szCs w:val="20"/>
          <w:lang w:val="en-GB"/>
        </w:rPr>
        <w:t xml:space="preserve">value </w:t>
      </w:r>
      <w:r w:rsidR="00FF04E4" w:rsidRPr="00AF7D5D">
        <w:rPr>
          <w:szCs w:val="20"/>
          <w:lang w:val="en-GB"/>
        </w:rPr>
        <w:t>should be set at 0.9</w:t>
      </w:r>
      <w:r w:rsidR="00FF04E4">
        <w:rPr>
          <w:szCs w:val="20"/>
          <w:lang w:val="en-GB"/>
        </w:rPr>
        <w:t xml:space="preserve"> (Table 2)</w:t>
      </w:r>
      <w:r w:rsidR="00FF04E4" w:rsidRPr="00AF7D5D">
        <w:rPr>
          <w:szCs w:val="20"/>
          <w:lang w:val="en-GB"/>
        </w:rPr>
        <w:t>.</w:t>
      </w:r>
      <w:r w:rsidR="00FF04E4">
        <w:rPr>
          <w:szCs w:val="20"/>
          <w:lang w:val="en-GB"/>
        </w:rPr>
        <w:t xml:space="preserve"> This was also confirmed by a</w:t>
      </w:r>
      <w:r w:rsidR="00FF04E4" w:rsidRPr="00AF7D5D">
        <w:rPr>
          <w:szCs w:val="20"/>
          <w:lang w:val="en-GB"/>
        </w:rPr>
        <w:t xml:space="preserve"> similar </w:t>
      </w:r>
      <w:r w:rsidR="00FF04E4">
        <w:rPr>
          <w:szCs w:val="20"/>
          <w:lang w:val="en-GB"/>
        </w:rPr>
        <w:t xml:space="preserve">type of </w:t>
      </w:r>
      <w:r w:rsidR="00FF04E4" w:rsidRPr="00AF7D5D">
        <w:rPr>
          <w:szCs w:val="20"/>
          <w:lang w:val="en-GB"/>
        </w:rPr>
        <w:t>analysis on the permeability of sto</w:t>
      </w:r>
      <w:r w:rsidR="00FF04E4">
        <w:rPr>
          <w:szCs w:val="20"/>
          <w:lang w:val="en-GB"/>
        </w:rPr>
        <w:t>r</w:t>
      </w:r>
      <w:r w:rsidR="00FF04E4" w:rsidRPr="00AF7D5D">
        <w:rPr>
          <w:szCs w:val="20"/>
          <w:lang w:val="en-GB"/>
        </w:rPr>
        <w:t xml:space="preserve">es (42 stores analysed on </w:t>
      </w:r>
      <w:r>
        <w:rPr>
          <w:szCs w:val="20"/>
          <w:lang w:val="en-GB"/>
        </w:rPr>
        <w:t>a</w:t>
      </w:r>
      <w:r w:rsidR="00FF04E4" w:rsidRPr="00AF7D5D">
        <w:rPr>
          <w:szCs w:val="20"/>
          <w:lang w:val="en-GB"/>
        </w:rPr>
        <w:t xml:space="preserve"> cruise</w:t>
      </w:r>
      <w:r>
        <w:rPr>
          <w:szCs w:val="20"/>
          <w:lang w:val="en-GB"/>
        </w:rPr>
        <w:t xml:space="preserve"> ship and a</w:t>
      </w:r>
      <w:r w:rsidR="00FF04E4" w:rsidRPr="00AF7D5D">
        <w:rPr>
          <w:szCs w:val="20"/>
          <w:lang w:val="en-GB"/>
        </w:rPr>
        <w:t xml:space="preserve"> </w:t>
      </w:r>
      <w:r>
        <w:rPr>
          <w:szCs w:val="20"/>
          <w:lang w:val="en-GB"/>
        </w:rPr>
        <w:t>R</w:t>
      </w:r>
      <w:r w:rsidR="00FF04E4" w:rsidRPr="00AF7D5D">
        <w:rPr>
          <w:szCs w:val="20"/>
          <w:lang w:val="en-GB"/>
        </w:rPr>
        <w:t>o-</w:t>
      </w:r>
      <w:r>
        <w:rPr>
          <w:szCs w:val="20"/>
          <w:lang w:val="en-GB"/>
        </w:rPr>
        <w:t>P</w:t>
      </w:r>
      <w:r w:rsidR="00FF04E4" w:rsidRPr="00AF7D5D">
        <w:rPr>
          <w:szCs w:val="20"/>
          <w:lang w:val="en-GB"/>
        </w:rPr>
        <w:t>ax</w:t>
      </w:r>
      <w:r>
        <w:rPr>
          <w:szCs w:val="20"/>
          <w:lang w:val="en-GB"/>
        </w:rPr>
        <w:t xml:space="preserve"> vessel</w:t>
      </w:r>
      <w:r w:rsidR="00FF04E4" w:rsidRPr="00AF7D5D">
        <w:rPr>
          <w:szCs w:val="20"/>
          <w:lang w:val="en-GB"/>
        </w:rPr>
        <w:t>).</w:t>
      </w:r>
      <w:r w:rsidR="00FF04E4">
        <w:rPr>
          <w:szCs w:val="20"/>
          <w:lang w:val="en-GB"/>
        </w:rPr>
        <w:t xml:space="preserve"> Analysis of the tank permeability confirmed that cruise ship d</w:t>
      </w:r>
      <w:r w:rsidR="00FF04E4" w:rsidRPr="00FF04E4">
        <w:rPr>
          <w:szCs w:val="20"/>
          <w:lang w:val="en-GB"/>
        </w:rPr>
        <w:t xml:space="preserve">raught change is dominated by </w:t>
      </w:r>
      <w:r w:rsidR="00FF04E4">
        <w:rPr>
          <w:szCs w:val="20"/>
          <w:lang w:val="en-GB"/>
        </w:rPr>
        <w:t xml:space="preserve">the </w:t>
      </w:r>
      <w:r w:rsidR="00FF04E4" w:rsidRPr="00FF04E4">
        <w:rPr>
          <w:szCs w:val="20"/>
          <w:lang w:val="en-GB"/>
        </w:rPr>
        <w:t>range of filling in consumable tanks</w:t>
      </w:r>
      <w:r w:rsidR="00FF04E4">
        <w:rPr>
          <w:szCs w:val="20"/>
          <w:lang w:val="en-GB"/>
        </w:rPr>
        <w:t xml:space="preserve"> and therefore the SOLAS approach is not realistic </w:t>
      </w:r>
      <w:r w:rsidR="009C0CE5">
        <w:rPr>
          <w:szCs w:val="20"/>
          <w:lang w:val="en-GB"/>
        </w:rPr>
        <w:t>(Table 3).</w:t>
      </w:r>
      <w:r w:rsidR="009C0CE5" w:rsidRPr="009C0CE5">
        <w:rPr>
          <w:szCs w:val="20"/>
          <w:lang w:val="en-GB"/>
        </w:rPr>
        <w:t xml:space="preserve"> </w:t>
      </w:r>
      <w:r w:rsidR="009C0CE5">
        <w:rPr>
          <w:szCs w:val="20"/>
          <w:lang w:val="en-GB"/>
        </w:rPr>
        <w:t>Key r</w:t>
      </w:r>
      <w:r w:rsidR="009C0CE5" w:rsidRPr="00AF7D5D">
        <w:rPr>
          <w:szCs w:val="20"/>
          <w:lang w:val="en-GB"/>
        </w:rPr>
        <w:t>esults have been included in a document which will be submitted to</w:t>
      </w:r>
      <w:r w:rsidR="00C320A0">
        <w:rPr>
          <w:szCs w:val="20"/>
          <w:lang w:val="en-GB"/>
        </w:rPr>
        <w:t xml:space="preserve"> the</w:t>
      </w:r>
      <w:r w:rsidR="009C0CE5" w:rsidRPr="00AF7D5D">
        <w:rPr>
          <w:szCs w:val="20"/>
          <w:lang w:val="en-GB"/>
        </w:rPr>
        <w:t xml:space="preserve"> IMO SDC</w:t>
      </w:r>
      <w:r w:rsidR="00C320A0">
        <w:rPr>
          <w:szCs w:val="20"/>
          <w:lang w:val="en-GB"/>
        </w:rPr>
        <w:t xml:space="preserve"> (Ship Design and Construction)</w:t>
      </w:r>
      <w:r w:rsidR="009C0CE5" w:rsidRPr="00AF7D5D">
        <w:rPr>
          <w:szCs w:val="20"/>
          <w:lang w:val="en-GB"/>
        </w:rPr>
        <w:t xml:space="preserve"> sub-committee, proposing amendments to improve SOLAS </w:t>
      </w:r>
      <w:r w:rsidR="00B04FB6">
        <w:rPr>
          <w:szCs w:val="20"/>
          <w:lang w:val="en-GB"/>
        </w:rPr>
        <w:t>C</w:t>
      </w:r>
      <w:r w:rsidR="009C0CE5" w:rsidRPr="00AF7D5D">
        <w:rPr>
          <w:szCs w:val="20"/>
          <w:lang w:val="en-GB"/>
        </w:rPr>
        <w:t>hapter II-1.</w:t>
      </w:r>
    </w:p>
    <w:p w14:paraId="679E4927" w14:textId="77777777" w:rsidR="00863AEA" w:rsidRPr="00AF7D5D" w:rsidRDefault="00863AEA" w:rsidP="00863AEA">
      <w:pPr>
        <w:ind w:firstLine="0"/>
        <w:rPr>
          <w:szCs w:val="20"/>
          <w:lang w:val="en-GB"/>
        </w:rPr>
      </w:pPr>
    </w:p>
    <w:p w14:paraId="4C09B1CD" w14:textId="27F04019" w:rsidR="00FF04E4" w:rsidRDefault="00FF04E4" w:rsidP="00FF04E4">
      <w:pPr>
        <w:pStyle w:val="CaptionLong"/>
        <w:jc w:val="center"/>
      </w:pPr>
      <w:r>
        <w:rPr>
          <w:b/>
        </w:rPr>
        <w:t>Table 2.</w:t>
      </w:r>
      <w:r>
        <w:t xml:space="preserve"> Summary of permeability values</w:t>
      </w:r>
      <w:r w:rsidR="009C0CE5">
        <w:t xml:space="preserve"> for cargo holds</w:t>
      </w:r>
    </w:p>
    <w:tbl>
      <w:tblPr>
        <w:tblW w:w="4679" w:type="dxa"/>
        <w:jc w:val="center"/>
        <w:tblLook w:val="00A0" w:firstRow="1" w:lastRow="0" w:firstColumn="1" w:lastColumn="0" w:noHBand="0" w:noVBand="0"/>
      </w:tblPr>
      <w:tblGrid>
        <w:gridCol w:w="2340"/>
        <w:gridCol w:w="2339"/>
      </w:tblGrid>
      <w:tr w:rsidR="00FF04E4" w:rsidRPr="002E44CC" w14:paraId="73F8463A" w14:textId="77777777" w:rsidTr="00885553">
        <w:trPr>
          <w:jc w:val="center"/>
        </w:trPr>
        <w:tc>
          <w:tcPr>
            <w:tcW w:w="2340" w:type="dxa"/>
            <w:tcBorders>
              <w:top w:val="single" w:sz="4" w:space="0" w:color="auto"/>
              <w:bottom w:val="single" w:sz="4" w:space="0" w:color="auto"/>
            </w:tcBorders>
          </w:tcPr>
          <w:p w14:paraId="4F80CB49" w14:textId="36D79539" w:rsidR="00FF04E4" w:rsidRPr="002E44CC" w:rsidRDefault="00FF04E4" w:rsidP="00885553">
            <w:pPr>
              <w:ind w:firstLine="0"/>
              <w:jc w:val="center"/>
              <w:rPr>
                <w:b/>
                <w:sz w:val="16"/>
                <w:szCs w:val="16"/>
              </w:rPr>
            </w:pPr>
            <w:r>
              <w:rPr>
                <w:b/>
                <w:sz w:val="16"/>
                <w:szCs w:val="16"/>
              </w:rPr>
              <w:t>Description</w:t>
            </w:r>
          </w:p>
        </w:tc>
        <w:tc>
          <w:tcPr>
            <w:tcW w:w="2339" w:type="dxa"/>
            <w:tcBorders>
              <w:top w:val="single" w:sz="4" w:space="0" w:color="auto"/>
              <w:bottom w:val="single" w:sz="4" w:space="0" w:color="auto"/>
            </w:tcBorders>
          </w:tcPr>
          <w:p w14:paraId="1B039859" w14:textId="1E2CEEA0" w:rsidR="00FF04E4" w:rsidRPr="002E44CC" w:rsidRDefault="00FF04E4" w:rsidP="00885553">
            <w:pPr>
              <w:ind w:firstLine="0"/>
              <w:jc w:val="center"/>
              <w:rPr>
                <w:b/>
                <w:sz w:val="16"/>
                <w:szCs w:val="16"/>
              </w:rPr>
            </w:pPr>
            <w:r>
              <w:rPr>
                <w:b/>
                <w:sz w:val="16"/>
                <w:szCs w:val="16"/>
              </w:rPr>
              <w:t>Permeability value</w:t>
            </w:r>
          </w:p>
        </w:tc>
      </w:tr>
      <w:tr w:rsidR="00FF04E4" w:rsidRPr="002E44CC" w14:paraId="41A6987A" w14:textId="77777777" w:rsidTr="00885553">
        <w:trPr>
          <w:jc w:val="center"/>
        </w:trPr>
        <w:tc>
          <w:tcPr>
            <w:tcW w:w="2340" w:type="dxa"/>
            <w:tcBorders>
              <w:top w:val="single" w:sz="4" w:space="0" w:color="auto"/>
            </w:tcBorders>
          </w:tcPr>
          <w:p w14:paraId="16AB0C3E" w14:textId="72098702" w:rsidR="00FF04E4" w:rsidRPr="00FF04E4" w:rsidRDefault="00FF04E4" w:rsidP="00FF04E4">
            <w:pPr>
              <w:ind w:firstLine="0"/>
              <w:jc w:val="center"/>
              <w:rPr>
                <w:color w:val="000000"/>
                <w:sz w:val="16"/>
                <w:szCs w:val="16"/>
                <w:lang w:val="en-GB" w:eastAsia="nl-NL"/>
              </w:rPr>
            </w:pPr>
            <w:r w:rsidRPr="00FF04E4">
              <w:rPr>
                <w:color w:val="000000"/>
                <w:sz w:val="16"/>
                <w:szCs w:val="16"/>
                <w:lang w:val="en-GB" w:eastAsia="nl-NL"/>
              </w:rPr>
              <w:t>Machinery spaces SOLAS.</w:t>
            </w:r>
          </w:p>
        </w:tc>
        <w:tc>
          <w:tcPr>
            <w:tcW w:w="2339" w:type="dxa"/>
            <w:tcBorders>
              <w:top w:val="single" w:sz="4" w:space="0" w:color="auto"/>
            </w:tcBorders>
          </w:tcPr>
          <w:p w14:paraId="3B017307" w14:textId="14A71228" w:rsidR="00FF04E4" w:rsidRPr="00FF04E4" w:rsidRDefault="00FF04E4" w:rsidP="00FF04E4">
            <w:pPr>
              <w:ind w:firstLine="0"/>
              <w:jc w:val="center"/>
              <w:rPr>
                <w:color w:val="000000"/>
                <w:sz w:val="16"/>
                <w:szCs w:val="16"/>
                <w:lang w:val="en-GB" w:eastAsia="nl-NL"/>
              </w:rPr>
            </w:pPr>
            <w:r w:rsidRPr="00FF04E4">
              <w:rPr>
                <w:color w:val="000000"/>
                <w:sz w:val="16"/>
                <w:szCs w:val="16"/>
                <w:lang w:val="en-GB" w:eastAsia="nl-NL"/>
              </w:rPr>
              <w:t>0.85</w:t>
            </w:r>
          </w:p>
        </w:tc>
      </w:tr>
      <w:tr w:rsidR="00FF04E4" w:rsidRPr="002E44CC" w14:paraId="5F2785D5" w14:textId="77777777" w:rsidTr="00885553">
        <w:trPr>
          <w:jc w:val="center"/>
        </w:trPr>
        <w:tc>
          <w:tcPr>
            <w:tcW w:w="2340" w:type="dxa"/>
          </w:tcPr>
          <w:p w14:paraId="0714A154" w14:textId="19F11B52" w:rsidR="00FF04E4" w:rsidRPr="00FF04E4" w:rsidRDefault="00FF04E4" w:rsidP="00FF04E4">
            <w:pPr>
              <w:ind w:firstLine="0"/>
              <w:jc w:val="center"/>
              <w:rPr>
                <w:color w:val="000000"/>
                <w:sz w:val="16"/>
                <w:szCs w:val="16"/>
                <w:lang w:val="en-GB" w:eastAsia="nl-NL"/>
              </w:rPr>
            </w:pPr>
            <w:r w:rsidRPr="00FF04E4">
              <w:rPr>
                <w:sz w:val="16"/>
                <w:szCs w:val="16"/>
                <w:lang w:val="en-GB"/>
              </w:rPr>
              <w:t>Main Engine room #1</w:t>
            </w:r>
          </w:p>
        </w:tc>
        <w:tc>
          <w:tcPr>
            <w:tcW w:w="2339" w:type="dxa"/>
          </w:tcPr>
          <w:p w14:paraId="1D1F91C2" w14:textId="51B1D28F" w:rsidR="00FF04E4" w:rsidRPr="00FF04E4" w:rsidRDefault="00FF04E4" w:rsidP="00FF04E4">
            <w:pPr>
              <w:ind w:firstLine="0"/>
              <w:jc w:val="center"/>
              <w:rPr>
                <w:color w:val="000000"/>
                <w:sz w:val="16"/>
                <w:szCs w:val="16"/>
                <w:lang w:val="en-GB" w:eastAsia="nl-NL"/>
              </w:rPr>
            </w:pPr>
            <w:r w:rsidRPr="00FF04E4">
              <w:rPr>
                <w:sz w:val="16"/>
                <w:szCs w:val="16"/>
                <w:lang w:val="en-GB"/>
              </w:rPr>
              <w:t>0.92</w:t>
            </w:r>
          </w:p>
        </w:tc>
      </w:tr>
      <w:tr w:rsidR="00FF04E4" w:rsidRPr="002E44CC" w14:paraId="47CE6D65" w14:textId="77777777" w:rsidTr="00885553">
        <w:trPr>
          <w:jc w:val="center"/>
        </w:trPr>
        <w:tc>
          <w:tcPr>
            <w:tcW w:w="2340" w:type="dxa"/>
          </w:tcPr>
          <w:p w14:paraId="41082EE6" w14:textId="2DE79383" w:rsidR="00FF04E4" w:rsidRPr="00FF04E4" w:rsidRDefault="00FF04E4" w:rsidP="00FF04E4">
            <w:pPr>
              <w:tabs>
                <w:tab w:val="left" w:pos="174"/>
                <w:tab w:val="decimal" w:pos="1026"/>
              </w:tabs>
              <w:ind w:firstLine="0"/>
              <w:jc w:val="center"/>
              <w:rPr>
                <w:sz w:val="16"/>
                <w:szCs w:val="16"/>
              </w:rPr>
            </w:pPr>
            <w:r w:rsidRPr="00FF04E4">
              <w:rPr>
                <w:sz w:val="16"/>
                <w:szCs w:val="16"/>
                <w:lang w:val="en-GB"/>
              </w:rPr>
              <w:t>Main Engine room #2</w:t>
            </w:r>
          </w:p>
        </w:tc>
        <w:tc>
          <w:tcPr>
            <w:tcW w:w="2339" w:type="dxa"/>
          </w:tcPr>
          <w:p w14:paraId="6D9D54E3" w14:textId="2812E115" w:rsidR="00FF04E4" w:rsidRPr="00FF04E4" w:rsidRDefault="00FF04E4" w:rsidP="00FF04E4">
            <w:pPr>
              <w:ind w:firstLine="0"/>
              <w:jc w:val="center"/>
              <w:rPr>
                <w:color w:val="000000"/>
                <w:sz w:val="16"/>
                <w:szCs w:val="16"/>
                <w:lang w:val="en-GB" w:eastAsia="nl-NL"/>
              </w:rPr>
            </w:pPr>
            <w:r w:rsidRPr="00FF04E4">
              <w:rPr>
                <w:sz w:val="16"/>
                <w:szCs w:val="16"/>
                <w:lang w:val="en-GB"/>
              </w:rPr>
              <w:t>0.916</w:t>
            </w:r>
          </w:p>
        </w:tc>
      </w:tr>
      <w:tr w:rsidR="00FF04E4" w:rsidRPr="002E44CC" w14:paraId="73590893" w14:textId="77777777" w:rsidTr="00885553">
        <w:trPr>
          <w:jc w:val="center"/>
        </w:trPr>
        <w:tc>
          <w:tcPr>
            <w:tcW w:w="2340" w:type="dxa"/>
          </w:tcPr>
          <w:p w14:paraId="7EB0DF05" w14:textId="7751A9F5" w:rsidR="00FF04E4" w:rsidRPr="00FF04E4" w:rsidRDefault="00FF04E4" w:rsidP="00FF04E4">
            <w:pPr>
              <w:tabs>
                <w:tab w:val="decimal" w:pos="1026"/>
              </w:tabs>
              <w:ind w:firstLine="0"/>
              <w:jc w:val="center"/>
              <w:rPr>
                <w:color w:val="000000"/>
                <w:sz w:val="16"/>
                <w:szCs w:val="16"/>
                <w:lang w:val="en-GB" w:eastAsia="nl-NL"/>
              </w:rPr>
            </w:pPr>
            <w:r w:rsidRPr="00FF04E4">
              <w:rPr>
                <w:sz w:val="16"/>
                <w:szCs w:val="16"/>
                <w:lang w:val="en-GB"/>
              </w:rPr>
              <w:t>Main Engine room #3</w:t>
            </w:r>
          </w:p>
        </w:tc>
        <w:tc>
          <w:tcPr>
            <w:tcW w:w="2339" w:type="dxa"/>
          </w:tcPr>
          <w:p w14:paraId="09C55BA2" w14:textId="12F21936" w:rsidR="00FF04E4" w:rsidRPr="00FF04E4" w:rsidRDefault="00FF04E4" w:rsidP="00FF04E4">
            <w:pPr>
              <w:ind w:firstLine="0"/>
              <w:jc w:val="center"/>
              <w:rPr>
                <w:color w:val="000000"/>
                <w:sz w:val="16"/>
                <w:szCs w:val="16"/>
                <w:lang w:val="en-GB" w:eastAsia="nl-NL"/>
              </w:rPr>
            </w:pPr>
            <w:r w:rsidRPr="00FF04E4">
              <w:rPr>
                <w:sz w:val="16"/>
                <w:szCs w:val="16"/>
                <w:lang w:val="en-GB"/>
              </w:rPr>
              <w:t>0.91</w:t>
            </w:r>
          </w:p>
        </w:tc>
      </w:tr>
      <w:tr w:rsidR="00FF04E4" w:rsidRPr="002E44CC" w14:paraId="1D7A83B0" w14:textId="77777777" w:rsidTr="00885553">
        <w:trPr>
          <w:jc w:val="center"/>
        </w:trPr>
        <w:tc>
          <w:tcPr>
            <w:tcW w:w="2340" w:type="dxa"/>
          </w:tcPr>
          <w:p w14:paraId="6D8BC0EB" w14:textId="6BA6B73A" w:rsidR="00FF04E4" w:rsidRPr="00FF04E4" w:rsidRDefault="00FF04E4" w:rsidP="00FF04E4">
            <w:pPr>
              <w:ind w:firstLine="0"/>
              <w:jc w:val="center"/>
              <w:rPr>
                <w:color w:val="000000"/>
                <w:sz w:val="16"/>
                <w:szCs w:val="16"/>
                <w:lang w:val="en-GB" w:eastAsia="nl-NL"/>
              </w:rPr>
            </w:pPr>
            <w:r w:rsidRPr="00FF04E4">
              <w:rPr>
                <w:sz w:val="16"/>
                <w:szCs w:val="16"/>
                <w:lang w:val="en-GB"/>
              </w:rPr>
              <w:t>Aux. Engine room #1</w:t>
            </w:r>
          </w:p>
        </w:tc>
        <w:tc>
          <w:tcPr>
            <w:tcW w:w="2339" w:type="dxa"/>
          </w:tcPr>
          <w:p w14:paraId="60C26A72" w14:textId="75D01C16" w:rsidR="00FF04E4" w:rsidRPr="00FF04E4" w:rsidRDefault="00FF04E4" w:rsidP="00FF04E4">
            <w:pPr>
              <w:ind w:firstLine="0"/>
              <w:jc w:val="center"/>
              <w:rPr>
                <w:color w:val="000000"/>
                <w:sz w:val="16"/>
                <w:szCs w:val="16"/>
                <w:lang w:val="en-GB" w:eastAsia="nl-NL"/>
              </w:rPr>
            </w:pPr>
            <w:r w:rsidRPr="00FF04E4">
              <w:rPr>
                <w:sz w:val="16"/>
                <w:szCs w:val="16"/>
                <w:lang w:val="en-GB"/>
              </w:rPr>
              <w:t>0.91</w:t>
            </w:r>
          </w:p>
        </w:tc>
      </w:tr>
      <w:tr w:rsidR="00FF04E4" w:rsidRPr="002E44CC" w14:paraId="2651F899" w14:textId="77777777" w:rsidTr="00885553">
        <w:trPr>
          <w:jc w:val="center"/>
        </w:trPr>
        <w:tc>
          <w:tcPr>
            <w:tcW w:w="2340" w:type="dxa"/>
          </w:tcPr>
          <w:p w14:paraId="1CBD3704" w14:textId="4BD2671C" w:rsidR="00FF04E4" w:rsidRPr="00FF04E4" w:rsidRDefault="00FF04E4" w:rsidP="00FF04E4">
            <w:pPr>
              <w:ind w:firstLine="0"/>
              <w:jc w:val="center"/>
              <w:rPr>
                <w:color w:val="000000"/>
                <w:sz w:val="16"/>
                <w:szCs w:val="16"/>
                <w:lang w:val="en-GB" w:eastAsia="nl-NL"/>
              </w:rPr>
            </w:pPr>
            <w:r w:rsidRPr="00FF04E4">
              <w:rPr>
                <w:sz w:val="16"/>
                <w:szCs w:val="16"/>
                <w:lang w:val="en-GB"/>
              </w:rPr>
              <w:t>Aux. Engine room #2</w:t>
            </w:r>
          </w:p>
        </w:tc>
        <w:tc>
          <w:tcPr>
            <w:tcW w:w="2339" w:type="dxa"/>
          </w:tcPr>
          <w:p w14:paraId="227CBC56" w14:textId="61CA8565" w:rsidR="00FF04E4" w:rsidRPr="00FF04E4" w:rsidRDefault="00FF04E4" w:rsidP="00FF04E4">
            <w:pPr>
              <w:ind w:firstLine="0"/>
              <w:jc w:val="center"/>
              <w:rPr>
                <w:color w:val="000000"/>
                <w:sz w:val="16"/>
                <w:szCs w:val="16"/>
                <w:lang w:val="en-GB" w:eastAsia="nl-NL"/>
              </w:rPr>
            </w:pPr>
            <w:r w:rsidRPr="00FF04E4">
              <w:rPr>
                <w:sz w:val="16"/>
                <w:szCs w:val="16"/>
                <w:lang w:val="en-GB"/>
              </w:rPr>
              <w:t>0.933</w:t>
            </w:r>
          </w:p>
        </w:tc>
      </w:tr>
      <w:tr w:rsidR="00FF04E4" w:rsidRPr="002E44CC" w14:paraId="3F4AD951" w14:textId="77777777" w:rsidTr="00885553">
        <w:trPr>
          <w:jc w:val="center"/>
        </w:trPr>
        <w:tc>
          <w:tcPr>
            <w:tcW w:w="2340" w:type="dxa"/>
          </w:tcPr>
          <w:p w14:paraId="681A2F6A" w14:textId="316C66EF" w:rsidR="00FF04E4" w:rsidRPr="00FF04E4" w:rsidRDefault="00FF04E4" w:rsidP="00FF04E4">
            <w:pPr>
              <w:ind w:firstLine="0"/>
              <w:jc w:val="center"/>
              <w:rPr>
                <w:color w:val="000000"/>
                <w:sz w:val="16"/>
                <w:szCs w:val="16"/>
                <w:lang w:val="en-GB" w:eastAsia="nl-NL"/>
              </w:rPr>
            </w:pPr>
            <w:r w:rsidRPr="00FF04E4">
              <w:rPr>
                <w:sz w:val="16"/>
                <w:szCs w:val="16"/>
                <w:lang w:val="en-GB"/>
              </w:rPr>
              <w:t>Mean value</w:t>
            </w:r>
          </w:p>
        </w:tc>
        <w:tc>
          <w:tcPr>
            <w:tcW w:w="2339" w:type="dxa"/>
          </w:tcPr>
          <w:p w14:paraId="5F5E4A07" w14:textId="26B5A03D" w:rsidR="00FF04E4" w:rsidRPr="00FF04E4" w:rsidRDefault="00FF04E4" w:rsidP="00FF04E4">
            <w:pPr>
              <w:ind w:firstLine="0"/>
              <w:jc w:val="center"/>
              <w:rPr>
                <w:color w:val="000000"/>
                <w:sz w:val="16"/>
                <w:szCs w:val="16"/>
                <w:lang w:val="en-GB" w:eastAsia="nl-NL"/>
              </w:rPr>
            </w:pPr>
            <w:r w:rsidRPr="00FF04E4">
              <w:rPr>
                <w:sz w:val="16"/>
                <w:szCs w:val="16"/>
                <w:lang w:val="en-GB"/>
              </w:rPr>
              <w:t>0.918</w:t>
            </w:r>
          </w:p>
        </w:tc>
      </w:tr>
      <w:tr w:rsidR="00FF04E4" w:rsidRPr="002E44CC" w14:paraId="2A3F761A" w14:textId="77777777" w:rsidTr="00885553">
        <w:trPr>
          <w:jc w:val="center"/>
        </w:trPr>
        <w:tc>
          <w:tcPr>
            <w:tcW w:w="2340" w:type="dxa"/>
          </w:tcPr>
          <w:p w14:paraId="02C3B71D" w14:textId="00F27EBA" w:rsidR="00FF04E4" w:rsidRPr="00FF04E4" w:rsidRDefault="00FF04E4" w:rsidP="00FF04E4">
            <w:pPr>
              <w:ind w:firstLine="0"/>
              <w:jc w:val="center"/>
              <w:rPr>
                <w:color w:val="000000"/>
                <w:sz w:val="16"/>
                <w:szCs w:val="16"/>
                <w:lang w:val="en-GB" w:eastAsia="nl-NL"/>
              </w:rPr>
            </w:pPr>
            <w:r w:rsidRPr="00FF04E4">
              <w:rPr>
                <w:sz w:val="16"/>
                <w:szCs w:val="16"/>
                <w:lang w:val="en-GB"/>
              </w:rPr>
              <w:t>Cabin area SOLAS</w:t>
            </w:r>
          </w:p>
        </w:tc>
        <w:tc>
          <w:tcPr>
            <w:tcW w:w="2339" w:type="dxa"/>
          </w:tcPr>
          <w:p w14:paraId="29548357" w14:textId="71F4687B" w:rsidR="00FF04E4" w:rsidRPr="00FF04E4" w:rsidRDefault="00FF04E4" w:rsidP="00FF04E4">
            <w:pPr>
              <w:ind w:firstLine="0"/>
              <w:jc w:val="center"/>
              <w:rPr>
                <w:color w:val="000000"/>
                <w:sz w:val="16"/>
                <w:szCs w:val="16"/>
                <w:lang w:val="en-GB" w:eastAsia="nl-NL"/>
              </w:rPr>
            </w:pPr>
            <w:r w:rsidRPr="00FF04E4">
              <w:rPr>
                <w:sz w:val="16"/>
                <w:szCs w:val="16"/>
                <w:lang w:val="en-GB"/>
              </w:rPr>
              <w:t>0.95</w:t>
            </w:r>
          </w:p>
        </w:tc>
      </w:tr>
      <w:tr w:rsidR="00FF04E4" w:rsidRPr="002E44CC" w14:paraId="3C0F5F60" w14:textId="77777777" w:rsidTr="00885553">
        <w:trPr>
          <w:jc w:val="center"/>
        </w:trPr>
        <w:tc>
          <w:tcPr>
            <w:tcW w:w="2340" w:type="dxa"/>
          </w:tcPr>
          <w:p w14:paraId="7BF95918" w14:textId="38B62009" w:rsidR="00FF04E4" w:rsidRPr="00FF04E4" w:rsidRDefault="00FF04E4" w:rsidP="00FF04E4">
            <w:pPr>
              <w:ind w:firstLine="0"/>
              <w:jc w:val="center"/>
              <w:rPr>
                <w:b/>
                <w:bCs/>
                <w:color w:val="000000"/>
                <w:sz w:val="16"/>
                <w:szCs w:val="16"/>
                <w:lang w:val="en-GB" w:eastAsia="nl-NL"/>
              </w:rPr>
            </w:pPr>
            <w:r w:rsidRPr="00FF04E4">
              <w:rPr>
                <w:sz w:val="16"/>
                <w:szCs w:val="16"/>
                <w:lang w:val="en-GB"/>
              </w:rPr>
              <w:t>Cabin area #1</w:t>
            </w:r>
          </w:p>
        </w:tc>
        <w:tc>
          <w:tcPr>
            <w:tcW w:w="2339" w:type="dxa"/>
          </w:tcPr>
          <w:p w14:paraId="27DBF33E" w14:textId="3DF7CB21" w:rsidR="00FF04E4" w:rsidRPr="00FF04E4" w:rsidRDefault="00FF04E4" w:rsidP="00FF04E4">
            <w:pPr>
              <w:ind w:firstLine="0"/>
              <w:jc w:val="center"/>
              <w:rPr>
                <w:color w:val="000000"/>
                <w:sz w:val="16"/>
                <w:szCs w:val="16"/>
                <w:lang w:val="en-GB" w:eastAsia="nl-NL"/>
              </w:rPr>
            </w:pPr>
            <w:r w:rsidRPr="00FF04E4">
              <w:rPr>
                <w:sz w:val="16"/>
                <w:szCs w:val="16"/>
                <w:lang w:val="en-GB"/>
              </w:rPr>
              <w:t>0.93</w:t>
            </w:r>
          </w:p>
        </w:tc>
      </w:tr>
      <w:tr w:rsidR="00FF04E4" w:rsidRPr="002E44CC" w14:paraId="14331FC1" w14:textId="77777777" w:rsidTr="00885553">
        <w:trPr>
          <w:jc w:val="center"/>
        </w:trPr>
        <w:tc>
          <w:tcPr>
            <w:tcW w:w="2340" w:type="dxa"/>
          </w:tcPr>
          <w:p w14:paraId="4A58B7ED" w14:textId="403B5288" w:rsidR="00FF04E4" w:rsidRPr="00FF04E4" w:rsidRDefault="00FF04E4" w:rsidP="00FF04E4">
            <w:pPr>
              <w:ind w:firstLine="0"/>
              <w:jc w:val="center"/>
              <w:rPr>
                <w:color w:val="000000"/>
                <w:sz w:val="16"/>
                <w:szCs w:val="16"/>
                <w:lang w:val="en-GB" w:eastAsia="nl-NL"/>
              </w:rPr>
            </w:pPr>
            <w:r w:rsidRPr="00FF04E4">
              <w:rPr>
                <w:sz w:val="16"/>
                <w:szCs w:val="16"/>
                <w:lang w:val="en-GB"/>
              </w:rPr>
              <w:t>Cabin area #2</w:t>
            </w:r>
          </w:p>
        </w:tc>
        <w:tc>
          <w:tcPr>
            <w:tcW w:w="2339" w:type="dxa"/>
          </w:tcPr>
          <w:p w14:paraId="4894EC1E" w14:textId="3EDA0971" w:rsidR="00FF04E4" w:rsidRPr="00FF04E4" w:rsidRDefault="00FF04E4" w:rsidP="00FF04E4">
            <w:pPr>
              <w:ind w:firstLine="0"/>
              <w:jc w:val="center"/>
              <w:rPr>
                <w:color w:val="000000"/>
                <w:sz w:val="16"/>
                <w:szCs w:val="16"/>
                <w:lang w:val="en-GB" w:eastAsia="nl-NL"/>
              </w:rPr>
            </w:pPr>
            <w:r w:rsidRPr="00FF04E4">
              <w:rPr>
                <w:sz w:val="16"/>
                <w:szCs w:val="16"/>
                <w:lang w:val="en-GB"/>
              </w:rPr>
              <w:t>0.894</w:t>
            </w:r>
          </w:p>
        </w:tc>
      </w:tr>
      <w:tr w:rsidR="00FF04E4" w:rsidRPr="002E44CC" w14:paraId="7CEC3231" w14:textId="77777777" w:rsidTr="00885553">
        <w:trPr>
          <w:jc w:val="center"/>
        </w:trPr>
        <w:tc>
          <w:tcPr>
            <w:tcW w:w="2340" w:type="dxa"/>
          </w:tcPr>
          <w:p w14:paraId="2FF72182" w14:textId="4DA90C51" w:rsidR="00FF04E4" w:rsidRPr="00FF04E4" w:rsidRDefault="00FF04E4" w:rsidP="00FF04E4">
            <w:pPr>
              <w:ind w:firstLine="0"/>
              <w:jc w:val="center"/>
              <w:rPr>
                <w:color w:val="000000"/>
                <w:sz w:val="16"/>
                <w:szCs w:val="16"/>
                <w:lang w:val="en-GB" w:eastAsia="nl-NL"/>
              </w:rPr>
            </w:pPr>
            <w:r w:rsidRPr="00FF04E4">
              <w:rPr>
                <w:sz w:val="16"/>
                <w:szCs w:val="16"/>
                <w:lang w:val="en-GB"/>
              </w:rPr>
              <w:t>Cabin area #3</w:t>
            </w:r>
          </w:p>
        </w:tc>
        <w:tc>
          <w:tcPr>
            <w:tcW w:w="2339" w:type="dxa"/>
          </w:tcPr>
          <w:p w14:paraId="36CD4C12" w14:textId="694A5837" w:rsidR="00FF04E4" w:rsidRPr="00FF04E4" w:rsidRDefault="00FF04E4" w:rsidP="00FF04E4">
            <w:pPr>
              <w:ind w:firstLine="0"/>
              <w:jc w:val="center"/>
              <w:rPr>
                <w:color w:val="000000"/>
                <w:sz w:val="16"/>
                <w:szCs w:val="16"/>
                <w:lang w:val="en-GB" w:eastAsia="nl-NL"/>
              </w:rPr>
            </w:pPr>
            <w:r w:rsidRPr="00FF04E4">
              <w:rPr>
                <w:sz w:val="16"/>
                <w:szCs w:val="16"/>
                <w:lang w:val="en-GB"/>
              </w:rPr>
              <w:t>0.924</w:t>
            </w:r>
          </w:p>
        </w:tc>
      </w:tr>
      <w:tr w:rsidR="00FF04E4" w:rsidRPr="002E44CC" w14:paraId="32F1BA97" w14:textId="77777777" w:rsidTr="00885553">
        <w:trPr>
          <w:jc w:val="center"/>
        </w:trPr>
        <w:tc>
          <w:tcPr>
            <w:tcW w:w="2340" w:type="dxa"/>
            <w:tcBorders>
              <w:bottom w:val="single" w:sz="4" w:space="0" w:color="auto"/>
            </w:tcBorders>
          </w:tcPr>
          <w:p w14:paraId="04308081" w14:textId="19BAE5D9" w:rsidR="00FF04E4" w:rsidRPr="00FF04E4" w:rsidRDefault="00FF04E4" w:rsidP="00FF04E4">
            <w:pPr>
              <w:ind w:firstLine="0"/>
              <w:jc w:val="center"/>
              <w:rPr>
                <w:color w:val="000000"/>
                <w:sz w:val="16"/>
                <w:szCs w:val="16"/>
                <w:lang w:val="en-GB" w:eastAsia="nl-NL"/>
              </w:rPr>
            </w:pPr>
            <w:r w:rsidRPr="00FF04E4">
              <w:rPr>
                <w:sz w:val="16"/>
                <w:szCs w:val="16"/>
                <w:lang w:val="en-GB"/>
              </w:rPr>
              <w:t>Mean value</w:t>
            </w:r>
          </w:p>
        </w:tc>
        <w:tc>
          <w:tcPr>
            <w:tcW w:w="2339" w:type="dxa"/>
            <w:tcBorders>
              <w:bottom w:val="single" w:sz="4" w:space="0" w:color="auto"/>
            </w:tcBorders>
          </w:tcPr>
          <w:p w14:paraId="4F42061F" w14:textId="32106B1B" w:rsidR="00FF04E4" w:rsidRPr="00FF04E4" w:rsidRDefault="00FF04E4" w:rsidP="00FF04E4">
            <w:pPr>
              <w:ind w:firstLine="0"/>
              <w:jc w:val="center"/>
              <w:rPr>
                <w:color w:val="000000"/>
                <w:sz w:val="16"/>
                <w:szCs w:val="16"/>
                <w:lang w:val="en-GB" w:eastAsia="nl-NL"/>
              </w:rPr>
            </w:pPr>
            <w:r w:rsidRPr="00FF04E4">
              <w:rPr>
                <w:sz w:val="16"/>
                <w:szCs w:val="16"/>
                <w:lang w:val="en-GB"/>
              </w:rPr>
              <w:t>0.916</w:t>
            </w:r>
          </w:p>
        </w:tc>
      </w:tr>
    </w:tbl>
    <w:p w14:paraId="0A114798" w14:textId="624C4B4B" w:rsidR="00FF04E4" w:rsidRDefault="00FF04E4" w:rsidP="00653362">
      <w:pPr>
        <w:ind w:firstLine="0"/>
        <w:rPr>
          <w:b/>
          <w:bCs/>
          <w:szCs w:val="20"/>
          <w:lang w:val="en-GB"/>
        </w:rPr>
      </w:pPr>
    </w:p>
    <w:p w14:paraId="42958663" w14:textId="18778645" w:rsidR="009F0E5A" w:rsidRPr="00527C06" w:rsidRDefault="009F0E5A" w:rsidP="009F0E5A">
      <w:pPr>
        <w:pStyle w:val="OPSOMMING"/>
        <w:numPr>
          <w:ilvl w:val="0"/>
          <w:numId w:val="0"/>
        </w:numPr>
        <w:tabs>
          <w:tab w:val="left" w:pos="142"/>
        </w:tabs>
        <w:spacing w:line="240" w:lineRule="auto"/>
        <w:ind w:firstLine="284"/>
        <w:jc w:val="both"/>
        <w:rPr>
          <w:rFonts w:ascii="Times New Roman" w:hAnsi="Times New Roman" w:cs="Times New Roman"/>
          <w:szCs w:val="20"/>
        </w:rPr>
      </w:pPr>
      <w:bookmarkStart w:id="1" w:name="_Toc491778713"/>
      <w:r w:rsidRPr="00527C06">
        <w:rPr>
          <w:rFonts w:ascii="Times New Roman" w:hAnsi="Times New Roman" w:cs="Times New Roman"/>
          <w:szCs w:val="20"/>
        </w:rPr>
        <w:t>Serious flooding accident response may be sensitive to hydrometeorological conditions and the area of operation. With the later in mind</w:t>
      </w:r>
      <w:r>
        <w:rPr>
          <w:rFonts w:ascii="Times New Roman" w:hAnsi="Times New Roman" w:cs="Times New Roman"/>
          <w:szCs w:val="20"/>
        </w:rPr>
        <w:t>,</w:t>
      </w:r>
      <w:r w:rsidRPr="00527C06">
        <w:rPr>
          <w:rFonts w:ascii="Times New Roman" w:hAnsi="Times New Roman" w:cs="Times New Roman"/>
          <w:szCs w:val="20"/>
        </w:rPr>
        <w:t xml:space="preserve"> work concentrated on understanding operational risks associated with passenger and Ro-Pax vessel encounters by collecting and analysing big data from wave statistics, ship routing and traffic patterns.</w:t>
      </w:r>
      <w:bookmarkEnd w:id="1"/>
      <w:r w:rsidRPr="009F0E5A">
        <w:rPr>
          <w:szCs w:val="20"/>
        </w:rPr>
        <w:t xml:space="preserve"> </w:t>
      </w:r>
      <w:r w:rsidRPr="00527C06">
        <w:rPr>
          <w:rFonts w:ascii="Times New Roman" w:hAnsi="Times New Roman" w:cs="Times New Roman"/>
          <w:szCs w:val="20"/>
          <w:lang w:val="en-US"/>
        </w:rPr>
        <w:t>With reference to vessel encounters that may lead to grounding or collisions</w:t>
      </w:r>
      <w:r>
        <w:rPr>
          <w:rFonts w:ascii="Times New Roman" w:hAnsi="Times New Roman" w:cs="Times New Roman"/>
          <w:szCs w:val="20"/>
          <w:lang w:val="en-US"/>
        </w:rPr>
        <w:t>,</w:t>
      </w:r>
      <w:r w:rsidRPr="00527C06">
        <w:rPr>
          <w:rFonts w:ascii="Times New Roman" w:hAnsi="Times New Roman" w:cs="Times New Roman"/>
          <w:szCs w:val="20"/>
          <w:lang w:val="en-US"/>
        </w:rPr>
        <w:t xml:space="preserve"> special </w:t>
      </w:r>
      <w:r w:rsidRPr="00527C06">
        <w:rPr>
          <w:rFonts w:ascii="Times New Roman" w:hAnsi="Times New Roman" w:cs="Times New Roman"/>
          <w:szCs w:val="20"/>
          <w:lang w:val="en-US"/>
        </w:rPr>
        <w:lastRenderedPageBreak/>
        <w:t xml:space="preserve">emphasis has been attributed to three key </w:t>
      </w:r>
      <w:r w:rsidRPr="00527C06">
        <w:rPr>
          <w:rFonts w:ascii="Times New Roman" w:hAnsi="Times New Roman" w:cs="Times New Roman"/>
          <w:szCs w:val="20"/>
        </w:rPr>
        <w:t>risk areas of operation namely Gulf of Finland, English Channel and Gibraltar Straight. Weather mapping accounted for global environmental conditions such as sea states, currents, wind and swell for which real operational data were made available by commercial providers at 180 min intervals and 1.25</w:t>
      </w:r>
      <w:r w:rsidRPr="00527C06">
        <w:rPr>
          <w:rFonts w:ascii="Times New Roman" w:hAnsi="Times New Roman" w:cs="Times New Roman"/>
          <w:szCs w:val="20"/>
          <w:vertAlign w:val="superscript"/>
        </w:rPr>
        <w:t>0</w:t>
      </w:r>
      <w:r w:rsidRPr="00527C06">
        <w:rPr>
          <w:rFonts w:ascii="Times New Roman" w:hAnsi="Times New Roman" w:cs="Times New Roman"/>
          <w:szCs w:val="20"/>
        </w:rPr>
        <w:t xml:space="preserve"> grid resolution in 8 </w:t>
      </w:r>
      <w:r>
        <w:rPr>
          <w:rFonts w:ascii="Times New Roman" w:hAnsi="Times New Roman" w:cs="Times New Roman"/>
          <w:szCs w:val="20"/>
        </w:rPr>
        <w:t xml:space="preserve">global </w:t>
      </w:r>
      <w:r w:rsidRPr="00527C06">
        <w:rPr>
          <w:rFonts w:ascii="Times New Roman" w:hAnsi="Times New Roman" w:cs="Times New Roman"/>
          <w:szCs w:val="20"/>
        </w:rPr>
        <w:t xml:space="preserve">areas of operation </w:t>
      </w:r>
      <w:r>
        <w:rPr>
          <w:rFonts w:ascii="Times New Roman" w:hAnsi="Times New Roman" w:cs="Times New Roman"/>
          <w:szCs w:val="20"/>
        </w:rPr>
        <w:t>(Figure 2).</w:t>
      </w:r>
      <w:r w:rsidRPr="009F0E5A">
        <w:rPr>
          <w:rFonts w:ascii="Times New Roman" w:hAnsi="Times New Roman" w:cs="Times New Roman"/>
          <w:szCs w:val="20"/>
        </w:rPr>
        <w:t xml:space="preserve"> </w:t>
      </w:r>
      <w:r w:rsidRPr="00527C06">
        <w:rPr>
          <w:rFonts w:ascii="Times New Roman" w:hAnsi="Times New Roman" w:cs="Times New Roman"/>
          <w:szCs w:val="20"/>
        </w:rPr>
        <w:t>Vessel positioning data were made available by AIS (Automatic Identification System) messages within 2 minutes interval sampling from all the cruise and Ro-Pax vessels of interest in the three risk areas. GEBCO bathymetry data and weather data were interpolated for each AIS data point location and time. The information was statistically analysed</w:t>
      </w:r>
      <w:r>
        <w:rPr>
          <w:rFonts w:ascii="Times New Roman" w:hAnsi="Times New Roman" w:cs="Times New Roman"/>
          <w:szCs w:val="20"/>
        </w:rPr>
        <w:t>.</w:t>
      </w:r>
      <w:r w:rsidRPr="00527C06">
        <w:rPr>
          <w:rFonts w:ascii="Times New Roman" w:hAnsi="Times New Roman" w:cs="Times New Roman"/>
          <w:szCs w:val="20"/>
        </w:rPr>
        <w:t xml:space="preserve"> </w:t>
      </w:r>
      <w:r>
        <w:rPr>
          <w:rFonts w:ascii="Times New Roman" w:hAnsi="Times New Roman" w:cs="Times New Roman"/>
          <w:szCs w:val="20"/>
        </w:rPr>
        <w:t>I</w:t>
      </w:r>
      <w:r w:rsidRPr="00527C06">
        <w:rPr>
          <w:rFonts w:ascii="Times New Roman" w:hAnsi="Times New Roman" w:cs="Times New Roman"/>
          <w:szCs w:val="20"/>
        </w:rPr>
        <w:t>t was concluded that big data analytics may lead to improved recommendations in terms of the impact of the hydro-meteorological conditions on passenger or Ro-Pax vessel encounters.</w:t>
      </w:r>
      <w:r w:rsidRPr="00527C06" w:rsidDel="001000C7">
        <w:rPr>
          <w:rFonts w:ascii="Times New Roman" w:hAnsi="Times New Roman" w:cs="Times New Roman"/>
          <w:szCs w:val="20"/>
        </w:rPr>
        <w:t xml:space="preserve"> </w:t>
      </w:r>
      <w:r w:rsidRPr="00527C06">
        <w:rPr>
          <w:rFonts w:ascii="Times New Roman" w:hAnsi="Times New Roman" w:cs="Times New Roman"/>
          <w:szCs w:val="20"/>
        </w:rPr>
        <w:t>These recommendations could be used for the development of grounding and collision probabilistic risk models</w:t>
      </w:r>
      <w:r>
        <w:rPr>
          <w:rFonts w:ascii="Times New Roman" w:hAnsi="Times New Roman" w:cs="Times New Roman"/>
          <w:szCs w:val="20"/>
        </w:rPr>
        <w:t>.</w:t>
      </w:r>
      <w:r w:rsidRPr="00527C06">
        <w:rPr>
          <w:rFonts w:ascii="Times New Roman" w:hAnsi="Times New Roman" w:cs="Times New Roman"/>
          <w:szCs w:val="20"/>
        </w:rPr>
        <w:t xml:space="preserve"> </w:t>
      </w:r>
    </w:p>
    <w:p w14:paraId="6A2027DC" w14:textId="77777777" w:rsidR="00C320A0" w:rsidRDefault="00C320A0" w:rsidP="00653362">
      <w:pPr>
        <w:ind w:firstLine="0"/>
        <w:rPr>
          <w:b/>
          <w:bCs/>
          <w:szCs w:val="20"/>
          <w:lang w:val="en-GB"/>
        </w:rPr>
      </w:pPr>
    </w:p>
    <w:p w14:paraId="61D7A556" w14:textId="349DE6B9" w:rsidR="009C0CE5" w:rsidRDefault="009C0CE5" w:rsidP="00CD45C6">
      <w:pPr>
        <w:pStyle w:val="CaptionLong"/>
      </w:pPr>
      <w:r>
        <w:rPr>
          <w:b/>
        </w:rPr>
        <w:t>Table 3.</w:t>
      </w:r>
      <w:r>
        <w:t xml:space="preserve"> Summary of proposed permeability values for tanks (Standard Deviation – SDV </w:t>
      </w:r>
      <w:r w:rsidR="00CD45C6">
        <w:t xml:space="preserve">based on </w:t>
      </w:r>
      <w:r>
        <w:t>1,000 loading cases</w:t>
      </w:r>
      <w:r w:rsidR="00CD45C6">
        <w:t xml:space="preserve"> considered under FLARE</w:t>
      </w:r>
      <w:r>
        <w:t xml:space="preserve">) </w:t>
      </w:r>
    </w:p>
    <w:tbl>
      <w:tblPr>
        <w:tblW w:w="7399" w:type="dxa"/>
        <w:jc w:val="center"/>
        <w:tblLook w:val="00A0" w:firstRow="1" w:lastRow="0" w:firstColumn="1" w:lastColumn="0" w:noHBand="0" w:noVBand="0"/>
      </w:tblPr>
      <w:tblGrid>
        <w:gridCol w:w="2161"/>
        <w:gridCol w:w="3084"/>
        <w:gridCol w:w="2154"/>
      </w:tblGrid>
      <w:tr w:rsidR="009C0CE5" w:rsidRPr="002E44CC" w14:paraId="471470EC" w14:textId="09CCB1D5" w:rsidTr="009C0CE5">
        <w:trPr>
          <w:jc w:val="center"/>
        </w:trPr>
        <w:tc>
          <w:tcPr>
            <w:tcW w:w="2161" w:type="dxa"/>
            <w:tcBorders>
              <w:top w:val="single" w:sz="4" w:space="0" w:color="auto"/>
              <w:bottom w:val="single" w:sz="4" w:space="0" w:color="auto"/>
            </w:tcBorders>
          </w:tcPr>
          <w:p w14:paraId="58FAF3B2" w14:textId="77777777" w:rsidR="009C0CE5" w:rsidRPr="002E44CC" w:rsidRDefault="009C0CE5" w:rsidP="00885553">
            <w:pPr>
              <w:ind w:firstLine="0"/>
              <w:jc w:val="center"/>
              <w:rPr>
                <w:b/>
                <w:sz w:val="16"/>
                <w:szCs w:val="16"/>
              </w:rPr>
            </w:pPr>
            <w:r>
              <w:rPr>
                <w:b/>
                <w:sz w:val="16"/>
                <w:szCs w:val="16"/>
              </w:rPr>
              <w:t>Description</w:t>
            </w:r>
          </w:p>
        </w:tc>
        <w:tc>
          <w:tcPr>
            <w:tcW w:w="3084" w:type="dxa"/>
            <w:tcBorders>
              <w:top w:val="single" w:sz="4" w:space="0" w:color="auto"/>
              <w:bottom w:val="single" w:sz="4" w:space="0" w:color="auto"/>
            </w:tcBorders>
          </w:tcPr>
          <w:p w14:paraId="2E63D5F9" w14:textId="48D9B290" w:rsidR="009C0CE5" w:rsidRPr="002E44CC" w:rsidRDefault="00CD45C6" w:rsidP="00885553">
            <w:pPr>
              <w:ind w:firstLine="0"/>
              <w:jc w:val="center"/>
              <w:rPr>
                <w:b/>
                <w:sz w:val="16"/>
                <w:szCs w:val="16"/>
              </w:rPr>
            </w:pPr>
            <w:r>
              <w:rPr>
                <w:b/>
                <w:sz w:val="16"/>
                <w:szCs w:val="16"/>
              </w:rPr>
              <w:t>Formulae</w:t>
            </w:r>
          </w:p>
        </w:tc>
        <w:tc>
          <w:tcPr>
            <w:tcW w:w="2154" w:type="dxa"/>
            <w:tcBorders>
              <w:top w:val="single" w:sz="4" w:space="0" w:color="auto"/>
              <w:bottom w:val="single" w:sz="4" w:space="0" w:color="auto"/>
            </w:tcBorders>
          </w:tcPr>
          <w:p w14:paraId="0CCEE8A3" w14:textId="28A922EC" w:rsidR="009C0CE5" w:rsidRDefault="009C0CE5" w:rsidP="00885553">
            <w:pPr>
              <w:ind w:firstLine="0"/>
              <w:jc w:val="center"/>
              <w:rPr>
                <w:b/>
                <w:sz w:val="16"/>
                <w:szCs w:val="16"/>
              </w:rPr>
            </w:pPr>
            <w:r>
              <w:rPr>
                <w:b/>
                <w:sz w:val="16"/>
                <w:szCs w:val="16"/>
              </w:rPr>
              <w:t xml:space="preserve">SDV </w:t>
            </w:r>
          </w:p>
        </w:tc>
      </w:tr>
      <w:tr w:rsidR="009C0CE5" w:rsidRPr="002E44CC" w14:paraId="1D1D0CCA" w14:textId="78BF67CA" w:rsidTr="009C0CE5">
        <w:trPr>
          <w:jc w:val="center"/>
        </w:trPr>
        <w:tc>
          <w:tcPr>
            <w:tcW w:w="2161" w:type="dxa"/>
            <w:tcBorders>
              <w:top w:val="single" w:sz="4" w:space="0" w:color="auto"/>
            </w:tcBorders>
          </w:tcPr>
          <w:p w14:paraId="763CE1CD" w14:textId="6BFC5F0A" w:rsidR="009C0CE5" w:rsidRPr="00FF04E4" w:rsidRDefault="009C0CE5" w:rsidP="00885553">
            <w:pPr>
              <w:ind w:firstLine="0"/>
              <w:jc w:val="center"/>
              <w:rPr>
                <w:color w:val="000000"/>
                <w:sz w:val="16"/>
                <w:szCs w:val="16"/>
                <w:lang w:val="en-GB" w:eastAsia="nl-NL"/>
              </w:rPr>
            </w:pPr>
            <w:r>
              <w:rPr>
                <w:color w:val="000000"/>
                <w:sz w:val="16"/>
                <w:szCs w:val="16"/>
                <w:lang w:val="en-GB" w:eastAsia="nl-NL"/>
              </w:rPr>
              <w:t xml:space="preserve">SOLAS </w:t>
            </w:r>
          </w:p>
        </w:tc>
        <w:tc>
          <w:tcPr>
            <w:tcW w:w="3084" w:type="dxa"/>
            <w:tcBorders>
              <w:top w:val="single" w:sz="4" w:space="0" w:color="auto"/>
            </w:tcBorders>
          </w:tcPr>
          <w:p w14:paraId="6BDBB4C1" w14:textId="77777777" w:rsidR="009C0CE5" w:rsidRDefault="009C0CE5" w:rsidP="00885553">
            <w:pPr>
              <w:ind w:firstLine="0"/>
              <w:jc w:val="center"/>
              <w:rPr>
                <w:color w:val="000000"/>
                <w:sz w:val="16"/>
                <w:szCs w:val="16"/>
                <w:lang w:val="en-GB" w:eastAsia="nl-NL"/>
              </w:rPr>
            </w:pPr>
            <w:r w:rsidRPr="00FF04E4">
              <w:rPr>
                <w:color w:val="000000"/>
                <w:sz w:val="16"/>
                <w:szCs w:val="16"/>
                <w:lang w:val="en-GB" w:eastAsia="nl-NL"/>
              </w:rPr>
              <w:t>0</w:t>
            </w:r>
            <w:r>
              <w:rPr>
                <w:color w:val="000000"/>
                <w:sz w:val="16"/>
                <w:szCs w:val="16"/>
                <w:lang w:val="en-GB" w:eastAsia="nl-NL"/>
              </w:rPr>
              <w:t xml:space="preserve"> to 0.95 </w:t>
            </w:r>
          </w:p>
          <w:p w14:paraId="18AF6E09" w14:textId="5B76ECFD" w:rsidR="009C0CE5" w:rsidRPr="00FF04E4" w:rsidRDefault="009C0CE5" w:rsidP="00885553">
            <w:pPr>
              <w:ind w:firstLine="0"/>
              <w:jc w:val="center"/>
              <w:rPr>
                <w:color w:val="000000"/>
                <w:sz w:val="16"/>
                <w:szCs w:val="16"/>
                <w:lang w:val="en-GB" w:eastAsia="nl-NL"/>
              </w:rPr>
            </w:pPr>
            <w:r>
              <w:rPr>
                <w:color w:val="000000"/>
                <w:sz w:val="16"/>
                <w:szCs w:val="16"/>
                <w:lang w:val="en-GB" w:eastAsia="nl-NL"/>
              </w:rPr>
              <w:t>(most onerous value to be selected)</w:t>
            </w:r>
          </w:p>
        </w:tc>
        <w:tc>
          <w:tcPr>
            <w:tcW w:w="2154" w:type="dxa"/>
            <w:tcBorders>
              <w:top w:val="single" w:sz="4" w:space="0" w:color="auto"/>
            </w:tcBorders>
          </w:tcPr>
          <w:p w14:paraId="61FDA186" w14:textId="4B2E6FA0" w:rsidR="009C0CE5" w:rsidRPr="00FF04E4" w:rsidRDefault="009C0CE5" w:rsidP="00885553">
            <w:pPr>
              <w:ind w:firstLine="0"/>
              <w:jc w:val="center"/>
              <w:rPr>
                <w:color w:val="000000"/>
                <w:sz w:val="16"/>
                <w:szCs w:val="16"/>
                <w:lang w:val="en-GB" w:eastAsia="nl-NL"/>
              </w:rPr>
            </w:pPr>
            <w:r>
              <w:rPr>
                <w:color w:val="000000"/>
                <w:sz w:val="16"/>
                <w:szCs w:val="16"/>
                <w:lang w:val="en-GB" w:eastAsia="nl-NL"/>
              </w:rPr>
              <w:t>0.42</w:t>
            </w:r>
          </w:p>
        </w:tc>
      </w:tr>
      <w:tr w:rsidR="009C0CE5" w:rsidRPr="002E44CC" w14:paraId="03427C95" w14:textId="5A2A764F" w:rsidTr="009C0CE5">
        <w:trPr>
          <w:jc w:val="center"/>
        </w:trPr>
        <w:tc>
          <w:tcPr>
            <w:tcW w:w="2161" w:type="dxa"/>
          </w:tcPr>
          <w:p w14:paraId="7CE79D41" w14:textId="044F65AA" w:rsidR="009C0CE5" w:rsidRDefault="009C0CE5" w:rsidP="00C320A0">
            <w:pPr>
              <w:ind w:firstLine="0"/>
              <w:jc w:val="center"/>
              <w:rPr>
                <w:color w:val="000000"/>
                <w:sz w:val="16"/>
                <w:szCs w:val="16"/>
                <w:lang w:val="en-GB" w:eastAsia="nl-NL"/>
              </w:rPr>
            </w:pPr>
            <w:r>
              <w:rPr>
                <w:color w:val="000000"/>
                <w:sz w:val="16"/>
                <w:szCs w:val="16"/>
                <w:lang w:val="en-GB" w:eastAsia="nl-NL"/>
              </w:rPr>
              <w:t>FLARE</w:t>
            </w:r>
          </w:p>
          <w:p w14:paraId="7E8059BA" w14:textId="1962ECED" w:rsidR="009C0CE5" w:rsidRPr="00FF04E4" w:rsidRDefault="009C0CE5" w:rsidP="00885553">
            <w:pPr>
              <w:ind w:firstLine="0"/>
              <w:jc w:val="center"/>
              <w:rPr>
                <w:color w:val="000000"/>
                <w:sz w:val="16"/>
                <w:szCs w:val="16"/>
                <w:lang w:val="en-GB" w:eastAsia="nl-NL"/>
              </w:rPr>
            </w:pPr>
            <w:r>
              <w:rPr>
                <w:color w:val="000000"/>
                <w:sz w:val="16"/>
                <w:szCs w:val="16"/>
                <w:lang w:val="en-GB" w:eastAsia="nl-NL"/>
              </w:rPr>
              <w:t>(linear regression)</w:t>
            </w:r>
          </w:p>
        </w:tc>
        <w:tc>
          <w:tcPr>
            <w:tcW w:w="3084" w:type="dxa"/>
          </w:tcPr>
          <w:p w14:paraId="1CFF2531" w14:textId="7953C83F" w:rsidR="009C0CE5" w:rsidRPr="00FF04E4" w:rsidRDefault="009C0CE5" w:rsidP="00885553">
            <w:pPr>
              <w:ind w:firstLine="0"/>
              <w:jc w:val="center"/>
              <w:rPr>
                <w:color w:val="000000"/>
                <w:sz w:val="16"/>
                <w:szCs w:val="16"/>
                <w:lang w:val="en-GB" w:eastAsia="nl-NL"/>
              </w:rPr>
            </w:pPr>
            <m:oMathPara>
              <m:oMath>
                <m:r>
                  <w:rPr>
                    <w:rFonts w:ascii="Cambria Math" w:hAnsi="Cambria Math" w:cstheme="minorBidi"/>
                    <w:color w:val="000000" w:themeColor="text1"/>
                    <w:kern w:val="24"/>
                    <w:sz w:val="16"/>
                    <w:szCs w:val="16"/>
                  </w:rPr>
                  <m:t>0.59 -0.11 </m:t>
                </m:r>
                <m:f>
                  <m:fPr>
                    <m:ctrlPr>
                      <w:rPr>
                        <w:rFonts w:ascii="Cambria Math" w:eastAsiaTheme="minorEastAsia" w:hAnsi="Cambria Math" w:cstheme="minorBidi"/>
                        <w:i/>
                        <w:iCs/>
                        <w:color w:val="000000" w:themeColor="text1"/>
                        <w:kern w:val="24"/>
                        <w:sz w:val="16"/>
                        <w:szCs w:val="16"/>
                      </w:rPr>
                    </m:ctrlPr>
                  </m:fPr>
                  <m:num>
                    <m:r>
                      <w:rPr>
                        <w:rFonts w:ascii="Cambria Math" w:hAnsi="Cambria Math" w:cstheme="minorBidi"/>
                        <w:color w:val="000000" w:themeColor="text1"/>
                        <w:kern w:val="24"/>
                        <w:sz w:val="16"/>
                        <w:szCs w:val="16"/>
                      </w:rPr>
                      <m:t>T - </m:t>
                    </m:r>
                    <m:sSub>
                      <m:sSubPr>
                        <m:ctrlPr>
                          <w:rPr>
                            <w:rFonts w:ascii="Cambria Math" w:eastAsiaTheme="minorEastAsia" w:hAnsi="Cambria Math" w:cstheme="minorBidi"/>
                            <w:i/>
                            <w:iCs/>
                            <w:color w:val="000000" w:themeColor="text1"/>
                            <w:kern w:val="24"/>
                            <w:sz w:val="16"/>
                            <w:szCs w:val="16"/>
                          </w:rPr>
                        </m:ctrlPr>
                      </m:sSubPr>
                      <m:e>
                        <m:r>
                          <w:rPr>
                            <w:rFonts w:ascii="Cambria Math" w:hAnsi="Cambria Math" w:cstheme="minorBidi"/>
                            <w:color w:val="000000" w:themeColor="text1"/>
                            <w:kern w:val="24"/>
                            <w:sz w:val="16"/>
                            <w:szCs w:val="16"/>
                          </w:rPr>
                          <m:t>T</m:t>
                        </m:r>
                      </m:e>
                      <m:sub>
                        <m:r>
                          <w:rPr>
                            <w:rFonts w:ascii="Cambria Math" w:hAnsi="Cambria Math" w:cstheme="minorBidi"/>
                            <w:color w:val="000000" w:themeColor="text1"/>
                            <w:kern w:val="24"/>
                            <w:sz w:val="16"/>
                            <w:szCs w:val="16"/>
                          </w:rPr>
                          <m:t>min</m:t>
                        </m:r>
                      </m:sub>
                    </m:sSub>
                  </m:num>
                  <m:den>
                    <m:sSub>
                      <m:sSubPr>
                        <m:ctrlPr>
                          <w:rPr>
                            <w:rFonts w:ascii="Cambria Math" w:eastAsiaTheme="minorEastAsia" w:hAnsi="Cambria Math" w:cstheme="minorBidi"/>
                            <w:i/>
                            <w:iCs/>
                            <w:color w:val="000000" w:themeColor="text1"/>
                            <w:kern w:val="24"/>
                            <w:sz w:val="16"/>
                            <w:szCs w:val="16"/>
                          </w:rPr>
                        </m:ctrlPr>
                      </m:sSubPr>
                      <m:e>
                        <m:r>
                          <w:rPr>
                            <w:rFonts w:ascii="Cambria Math" w:hAnsi="Cambria Math" w:cstheme="minorBidi"/>
                            <w:color w:val="000000" w:themeColor="text1"/>
                            <w:kern w:val="24"/>
                            <w:sz w:val="16"/>
                            <w:szCs w:val="16"/>
                          </w:rPr>
                          <m:t>T</m:t>
                        </m:r>
                      </m:e>
                      <m:sub>
                        <m:r>
                          <w:rPr>
                            <w:rFonts w:ascii="Cambria Math" w:hAnsi="Cambria Math" w:cstheme="minorBidi"/>
                            <w:color w:val="000000" w:themeColor="text1"/>
                            <w:kern w:val="24"/>
                            <w:sz w:val="16"/>
                            <w:szCs w:val="16"/>
                          </w:rPr>
                          <m:t>max</m:t>
                        </m:r>
                      </m:sub>
                    </m:sSub>
                    <m:r>
                      <w:rPr>
                        <w:rFonts w:ascii="Cambria Math" w:hAnsi="Cambria Math" w:cstheme="minorBidi"/>
                        <w:color w:val="000000" w:themeColor="text1"/>
                        <w:kern w:val="24"/>
                        <w:sz w:val="16"/>
                        <w:szCs w:val="16"/>
                      </w:rPr>
                      <m:t>- </m:t>
                    </m:r>
                    <m:sSub>
                      <m:sSubPr>
                        <m:ctrlPr>
                          <w:rPr>
                            <w:rFonts w:ascii="Cambria Math" w:eastAsiaTheme="minorEastAsia" w:hAnsi="Cambria Math" w:cstheme="minorBidi"/>
                            <w:i/>
                            <w:iCs/>
                            <w:color w:val="000000" w:themeColor="text1"/>
                            <w:kern w:val="24"/>
                            <w:sz w:val="16"/>
                            <w:szCs w:val="16"/>
                          </w:rPr>
                        </m:ctrlPr>
                      </m:sSubPr>
                      <m:e>
                        <m:r>
                          <w:rPr>
                            <w:rFonts w:ascii="Cambria Math" w:hAnsi="Cambria Math" w:cstheme="minorBidi"/>
                            <w:color w:val="000000" w:themeColor="text1"/>
                            <w:kern w:val="24"/>
                            <w:sz w:val="16"/>
                            <w:szCs w:val="16"/>
                          </w:rPr>
                          <m:t>T</m:t>
                        </m:r>
                      </m:e>
                      <m:sub>
                        <m:r>
                          <w:rPr>
                            <w:rFonts w:ascii="Cambria Math" w:hAnsi="Cambria Math" w:cstheme="minorBidi"/>
                            <w:color w:val="000000" w:themeColor="text1"/>
                            <w:kern w:val="24"/>
                            <w:sz w:val="16"/>
                            <w:szCs w:val="16"/>
                          </w:rPr>
                          <m:t>min</m:t>
                        </m:r>
                      </m:sub>
                    </m:sSub>
                  </m:den>
                </m:f>
              </m:oMath>
            </m:oMathPara>
          </w:p>
        </w:tc>
        <w:tc>
          <w:tcPr>
            <w:tcW w:w="2154" w:type="dxa"/>
          </w:tcPr>
          <w:p w14:paraId="2A098C5E" w14:textId="39F0AA7E" w:rsidR="009C0CE5" w:rsidRPr="00FF04E4" w:rsidRDefault="009C0CE5" w:rsidP="00885553">
            <w:pPr>
              <w:ind w:firstLine="0"/>
              <w:jc w:val="center"/>
              <w:rPr>
                <w:sz w:val="16"/>
                <w:szCs w:val="16"/>
                <w:lang w:val="en-GB"/>
              </w:rPr>
            </w:pPr>
            <w:r>
              <w:rPr>
                <w:sz w:val="16"/>
                <w:szCs w:val="16"/>
                <w:lang w:val="en-GB"/>
              </w:rPr>
              <w:t>0.06</w:t>
            </w:r>
          </w:p>
        </w:tc>
      </w:tr>
      <w:tr w:rsidR="009C0CE5" w:rsidRPr="002E44CC" w14:paraId="274778CE" w14:textId="4B5AB98E" w:rsidTr="009C0CE5">
        <w:trPr>
          <w:jc w:val="center"/>
        </w:trPr>
        <w:tc>
          <w:tcPr>
            <w:tcW w:w="2161" w:type="dxa"/>
          </w:tcPr>
          <w:p w14:paraId="28B200F3" w14:textId="74C3E202" w:rsidR="009C0CE5" w:rsidRPr="00FF04E4" w:rsidRDefault="009C0CE5" w:rsidP="00885553">
            <w:pPr>
              <w:tabs>
                <w:tab w:val="left" w:pos="174"/>
                <w:tab w:val="decimal" w:pos="1026"/>
              </w:tabs>
              <w:ind w:firstLine="0"/>
              <w:jc w:val="center"/>
              <w:rPr>
                <w:sz w:val="16"/>
                <w:szCs w:val="16"/>
              </w:rPr>
            </w:pPr>
          </w:p>
        </w:tc>
        <w:tc>
          <w:tcPr>
            <w:tcW w:w="3084" w:type="dxa"/>
          </w:tcPr>
          <w:p w14:paraId="4FDB332F" w14:textId="68C1FAEA" w:rsidR="009C0CE5" w:rsidRPr="00FF04E4" w:rsidRDefault="009C0CE5" w:rsidP="00885553">
            <w:pPr>
              <w:ind w:firstLine="0"/>
              <w:jc w:val="center"/>
              <w:rPr>
                <w:color w:val="000000"/>
                <w:sz w:val="16"/>
                <w:szCs w:val="16"/>
                <w:lang w:val="en-GB" w:eastAsia="nl-NL"/>
              </w:rPr>
            </w:pPr>
          </w:p>
        </w:tc>
        <w:tc>
          <w:tcPr>
            <w:tcW w:w="2154" w:type="dxa"/>
          </w:tcPr>
          <w:p w14:paraId="728D5A65" w14:textId="60C97239" w:rsidR="009C0CE5" w:rsidRPr="00FF04E4" w:rsidRDefault="009C0CE5" w:rsidP="009C0CE5">
            <w:pPr>
              <w:ind w:firstLine="0"/>
              <w:rPr>
                <w:sz w:val="16"/>
                <w:szCs w:val="16"/>
                <w:lang w:val="en-GB"/>
              </w:rPr>
            </w:pPr>
          </w:p>
        </w:tc>
      </w:tr>
      <w:tr w:rsidR="009C0CE5" w:rsidRPr="002E44CC" w14:paraId="08050A20" w14:textId="33D1BE6B" w:rsidTr="009C0CE5">
        <w:trPr>
          <w:jc w:val="center"/>
        </w:trPr>
        <w:tc>
          <w:tcPr>
            <w:tcW w:w="2161" w:type="dxa"/>
          </w:tcPr>
          <w:p w14:paraId="4D9BDF28" w14:textId="77777777" w:rsidR="009C0CE5" w:rsidRDefault="009C0CE5" w:rsidP="00C320A0">
            <w:pPr>
              <w:tabs>
                <w:tab w:val="decimal" w:pos="457"/>
              </w:tabs>
              <w:ind w:firstLine="0"/>
              <w:rPr>
                <w:color w:val="000000"/>
                <w:sz w:val="16"/>
                <w:szCs w:val="16"/>
                <w:lang w:val="en-GB" w:eastAsia="nl-NL"/>
              </w:rPr>
            </w:pPr>
            <w:r>
              <w:rPr>
                <w:color w:val="000000"/>
                <w:sz w:val="16"/>
                <w:szCs w:val="16"/>
                <w:lang w:val="en-GB" w:eastAsia="nl-NL"/>
              </w:rPr>
              <w:t>FLARE</w:t>
            </w:r>
          </w:p>
          <w:p w14:paraId="7BF22B6F" w14:textId="25498112" w:rsidR="009C0CE5" w:rsidRPr="00FF04E4" w:rsidRDefault="009C0CE5" w:rsidP="009C0CE5">
            <w:pPr>
              <w:tabs>
                <w:tab w:val="decimal" w:pos="0"/>
              </w:tabs>
              <w:ind w:firstLine="0"/>
              <w:jc w:val="center"/>
              <w:rPr>
                <w:color w:val="000000"/>
                <w:sz w:val="16"/>
                <w:szCs w:val="16"/>
                <w:lang w:val="en-GB" w:eastAsia="nl-NL"/>
              </w:rPr>
            </w:pPr>
            <w:r>
              <w:rPr>
                <w:color w:val="000000"/>
                <w:sz w:val="16"/>
                <w:szCs w:val="16"/>
                <w:lang w:val="en-GB" w:eastAsia="nl-NL"/>
              </w:rPr>
              <w:t>(mathematical formulae)</w:t>
            </w:r>
          </w:p>
        </w:tc>
        <w:tc>
          <w:tcPr>
            <w:tcW w:w="3084" w:type="dxa"/>
          </w:tcPr>
          <w:p w14:paraId="2953D5A6" w14:textId="77777777" w:rsidR="009C0CE5" w:rsidRDefault="009C0CE5" w:rsidP="00885553">
            <w:pPr>
              <w:ind w:firstLine="0"/>
              <w:jc w:val="center"/>
              <w:rPr>
                <w:color w:val="000000"/>
                <w:sz w:val="16"/>
                <w:szCs w:val="16"/>
                <w:lang w:val="en-GB" w:eastAsia="nl-NL"/>
              </w:rPr>
            </w:pPr>
          </w:p>
          <w:p w14:paraId="14792ECC" w14:textId="1037FDA0" w:rsidR="009C0CE5" w:rsidRPr="00FF04E4" w:rsidRDefault="009C0CE5" w:rsidP="00885553">
            <w:pPr>
              <w:ind w:firstLine="0"/>
              <w:jc w:val="center"/>
              <w:rPr>
                <w:color w:val="000000"/>
                <w:sz w:val="16"/>
                <w:szCs w:val="16"/>
                <w:lang w:val="en-GB" w:eastAsia="nl-NL"/>
              </w:rPr>
            </w:pPr>
            <m:oMathPara>
              <m:oMath>
                <m:r>
                  <w:rPr>
                    <w:rFonts w:ascii="Cambria Math" w:hAnsi="Cambria Math" w:cstheme="minorBidi"/>
                    <w:color w:val="000000" w:themeColor="text1"/>
                    <w:kern w:val="24"/>
                    <w:sz w:val="14"/>
                    <w:szCs w:val="14"/>
                  </w:rPr>
                  <m:t>1- </m:t>
                </m:r>
                <m:f>
                  <m:fPr>
                    <m:ctrlPr>
                      <w:rPr>
                        <w:rFonts w:ascii="Cambria Math" w:eastAsiaTheme="minorEastAsia" w:hAnsi="Cambria Math" w:cstheme="minorBidi"/>
                        <w:i/>
                        <w:iCs/>
                        <w:color w:val="000000" w:themeColor="text1"/>
                        <w:kern w:val="24"/>
                        <w:sz w:val="14"/>
                        <w:szCs w:val="14"/>
                      </w:rPr>
                    </m:ctrlPr>
                  </m:fPr>
                  <m:num>
                    <m:r>
                      <w:rPr>
                        <w:rFonts w:ascii="Cambria Math" w:hAnsi="Cambria Math" w:cstheme="minorBidi"/>
                        <w:color w:val="000000" w:themeColor="text1"/>
                        <w:kern w:val="24"/>
                        <w:sz w:val="14"/>
                        <w:szCs w:val="14"/>
                      </w:rPr>
                      <m:t>0.96 </m:t>
                    </m:r>
                    <m:r>
                      <w:rPr>
                        <w:rFonts w:ascii="Cambria Math" w:eastAsia="Cambria Math" w:hAnsi="Cambria Math" w:cstheme="minorBidi"/>
                        <w:color w:val="000000" w:themeColor="text1"/>
                        <w:kern w:val="24"/>
                        <w:sz w:val="14"/>
                        <w:szCs w:val="14"/>
                      </w:rPr>
                      <m:t>× </m:t>
                    </m:r>
                    <m:r>
                      <w:rPr>
                        <w:rFonts w:ascii="Cambria Math" w:hAnsi="Cambria Math" w:cstheme="minorBidi"/>
                        <w:color w:val="000000" w:themeColor="text1"/>
                        <w:kern w:val="24"/>
                        <w:sz w:val="14"/>
                        <w:szCs w:val="14"/>
                      </w:rPr>
                      <m:t>Disp - LWT - 0.5 × HCap </m:t>
                    </m:r>
                  </m:num>
                  <m:den>
                    <m:r>
                      <w:rPr>
                        <w:rFonts w:ascii="Cambria Math" w:eastAsia="Cambria Math" w:hAnsi="Cambria Math" w:cstheme="minorBidi"/>
                        <w:color w:val="000000" w:themeColor="text1"/>
                        <w:kern w:val="24"/>
                        <w:sz w:val="14"/>
                        <w:szCs w:val="14"/>
                      </w:rPr>
                      <m:t>ρ × TCap</m:t>
                    </m:r>
                  </m:den>
                </m:f>
              </m:oMath>
            </m:oMathPara>
          </w:p>
        </w:tc>
        <w:tc>
          <w:tcPr>
            <w:tcW w:w="2154" w:type="dxa"/>
          </w:tcPr>
          <w:p w14:paraId="37E526C6" w14:textId="77777777" w:rsidR="009C0CE5" w:rsidRDefault="009C0CE5" w:rsidP="00885553">
            <w:pPr>
              <w:ind w:firstLine="0"/>
              <w:jc w:val="center"/>
              <w:rPr>
                <w:sz w:val="16"/>
                <w:szCs w:val="16"/>
                <w:lang w:val="en-GB"/>
              </w:rPr>
            </w:pPr>
          </w:p>
          <w:p w14:paraId="1082CDBD" w14:textId="28468631" w:rsidR="009C0CE5" w:rsidRPr="00FF04E4" w:rsidRDefault="009C0CE5" w:rsidP="00885553">
            <w:pPr>
              <w:ind w:firstLine="0"/>
              <w:jc w:val="center"/>
              <w:rPr>
                <w:sz w:val="16"/>
                <w:szCs w:val="16"/>
                <w:lang w:val="en-GB"/>
              </w:rPr>
            </w:pPr>
            <w:r>
              <w:rPr>
                <w:sz w:val="16"/>
                <w:szCs w:val="16"/>
                <w:lang w:val="en-GB"/>
              </w:rPr>
              <w:t>0.04</w:t>
            </w:r>
          </w:p>
        </w:tc>
      </w:tr>
      <w:tr w:rsidR="009C0CE5" w:rsidRPr="002E44CC" w14:paraId="4C58C27C" w14:textId="430F014A" w:rsidTr="009C0CE5">
        <w:trPr>
          <w:jc w:val="center"/>
        </w:trPr>
        <w:tc>
          <w:tcPr>
            <w:tcW w:w="2161" w:type="dxa"/>
            <w:tcBorders>
              <w:bottom w:val="single" w:sz="4" w:space="0" w:color="auto"/>
            </w:tcBorders>
          </w:tcPr>
          <w:p w14:paraId="5F082D20" w14:textId="1C3B7DBC" w:rsidR="009C0CE5" w:rsidRPr="00FF04E4" w:rsidRDefault="009C0CE5" w:rsidP="00CD45C6">
            <w:pPr>
              <w:ind w:firstLine="0"/>
              <w:jc w:val="center"/>
              <w:rPr>
                <w:color w:val="000000"/>
                <w:sz w:val="16"/>
                <w:szCs w:val="16"/>
                <w:lang w:val="en-GB" w:eastAsia="nl-NL"/>
              </w:rPr>
            </w:pPr>
          </w:p>
        </w:tc>
        <w:tc>
          <w:tcPr>
            <w:tcW w:w="3084" w:type="dxa"/>
            <w:tcBorders>
              <w:bottom w:val="single" w:sz="4" w:space="0" w:color="auto"/>
            </w:tcBorders>
          </w:tcPr>
          <w:p w14:paraId="57B8170A" w14:textId="2DAE8BF2" w:rsidR="009C0CE5" w:rsidRPr="00FF04E4" w:rsidRDefault="009C0CE5" w:rsidP="00CD45C6">
            <w:pPr>
              <w:ind w:firstLine="0"/>
              <w:jc w:val="center"/>
              <w:rPr>
                <w:color w:val="000000"/>
                <w:sz w:val="16"/>
                <w:szCs w:val="16"/>
                <w:lang w:val="en-GB" w:eastAsia="nl-NL"/>
              </w:rPr>
            </w:pPr>
          </w:p>
        </w:tc>
        <w:tc>
          <w:tcPr>
            <w:tcW w:w="2154" w:type="dxa"/>
            <w:tcBorders>
              <w:bottom w:val="single" w:sz="4" w:space="0" w:color="auto"/>
            </w:tcBorders>
          </w:tcPr>
          <w:p w14:paraId="31B13F09" w14:textId="77777777" w:rsidR="009C0CE5" w:rsidRPr="00FF04E4" w:rsidRDefault="009C0CE5" w:rsidP="00CD45C6">
            <w:pPr>
              <w:ind w:firstLine="0"/>
              <w:jc w:val="center"/>
              <w:rPr>
                <w:sz w:val="16"/>
                <w:szCs w:val="16"/>
                <w:lang w:val="en-GB"/>
              </w:rPr>
            </w:pPr>
          </w:p>
        </w:tc>
      </w:tr>
    </w:tbl>
    <w:p w14:paraId="5DD191A1" w14:textId="77777777" w:rsidR="00725CEC" w:rsidRPr="009C0CE5" w:rsidRDefault="00725CEC" w:rsidP="009049E2">
      <w:pPr>
        <w:ind w:firstLine="0"/>
        <w:rPr>
          <w:szCs w:val="20"/>
        </w:rPr>
      </w:pPr>
    </w:p>
    <w:p w14:paraId="355115EE" w14:textId="77777777" w:rsidR="001F4B74" w:rsidRPr="00AF7D5D" w:rsidRDefault="001F4B74" w:rsidP="005C527F">
      <w:pPr>
        <w:ind w:firstLine="0"/>
        <w:jc w:val="center"/>
        <w:rPr>
          <w:sz w:val="16"/>
          <w:szCs w:val="16"/>
          <w:lang w:val="en-GB"/>
        </w:rPr>
      </w:pPr>
      <w:r w:rsidRPr="00AF7D5D">
        <w:rPr>
          <w:noProof/>
          <w:sz w:val="16"/>
          <w:szCs w:val="16"/>
          <w:lang w:val="fr-FR" w:eastAsia="fr-FR"/>
        </w:rPr>
        <w:drawing>
          <wp:inline distT="0" distB="0" distL="0" distR="0" wp14:anchorId="68FD7042" wp14:editId="310166E5">
            <wp:extent cx="3159659" cy="2140585"/>
            <wp:effectExtent l="0" t="0" r="3175" b="0"/>
            <wp:docPr id="1026" name="img308836" descr="ef04ea7c-4e51-4ca7-ae25-429269a0c29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img308836" descr="ef04ea7c-4e51-4ca7-ae25-429269a0c29c"/>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179297" cy="2153889"/>
                    </a:xfrm>
                    <a:prstGeom prst="rect">
                      <a:avLst/>
                    </a:prstGeom>
                    <a:noFill/>
                    <a:ln>
                      <a:noFill/>
                    </a:ln>
                  </pic:spPr>
                </pic:pic>
              </a:graphicData>
            </a:graphic>
          </wp:inline>
        </w:drawing>
      </w:r>
    </w:p>
    <w:p w14:paraId="5F299384" w14:textId="5545E6A2" w:rsidR="001F4B74" w:rsidRDefault="001F4B74" w:rsidP="001F4B74">
      <w:pPr>
        <w:pStyle w:val="CaptionShort"/>
        <w:jc w:val="both"/>
      </w:pPr>
      <w:r>
        <w:rPr>
          <w:b/>
        </w:rPr>
        <w:t>Figure 2.</w:t>
      </w:r>
      <w:r>
        <w:t xml:space="preserve"> </w:t>
      </w:r>
      <w:r w:rsidR="003D5EA5">
        <w:t>W</w:t>
      </w:r>
      <w:r w:rsidRPr="001F4B74">
        <w:t>eather data</w:t>
      </w:r>
      <w:r w:rsidR="003D5EA5">
        <w:t xml:space="preserve"> patterns</w:t>
      </w:r>
      <w:r w:rsidRPr="001F4B74">
        <w:t xml:space="preserve"> </w:t>
      </w:r>
      <w:r>
        <w:t>(</w:t>
      </w:r>
      <w:r w:rsidRPr="001F4B74">
        <w:t xml:space="preserve">Red </w:t>
      </w:r>
      <w:r w:rsidR="003D5EA5">
        <w:t xml:space="preserve">and blue </w:t>
      </w:r>
      <w:r w:rsidRPr="001F4B74">
        <w:t xml:space="preserve">patterns show the trajectories of passenger </w:t>
      </w:r>
      <w:r w:rsidR="003D5EA5">
        <w:t xml:space="preserve">and Ro-Pax </w:t>
      </w:r>
      <w:r w:rsidRPr="001F4B74">
        <w:t>ships with weather data; Yellow boxed areas represent 50 areas of interest based on BMT</w:t>
      </w:r>
      <w:r w:rsidR="003D5EA5">
        <w:t xml:space="preserve"> GWS</w:t>
      </w:r>
      <w:r w:rsidRPr="001F4B74">
        <w:t xml:space="preserve">; Blue boxed areas represent 8 areas of interest </w:t>
      </w:r>
      <w:r>
        <w:t xml:space="preserve">namely </w:t>
      </w:r>
      <w:r w:rsidRPr="00AF7D5D">
        <w:rPr>
          <w:szCs w:val="20"/>
          <w:lang w:val="en-GB"/>
        </w:rPr>
        <w:t>North Sea, Baltic Sea, Caribbean, Mediterranean Sea, North Atlantic, Northeast Pacific, South-East Asia, South Pacific</w:t>
      </w:r>
      <w:r w:rsidRPr="001F4B74">
        <w:t>).</w:t>
      </w:r>
    </w:p>
    <w:p w14:paraId="10B2FCDA" w14:textId="707E8658" w:rsidR="00F270B3" w:rsidRPr="007327A8" w:rsidRDefault="00F270B3" w:rsidP="00A24C78">
      <w:pPr>
        <w:pStyle w:val="ListParagraph"/>
        <w:numPr>
          <w:ilvl w:val="0"/>
          <w:numId w:val="10"/>
        </w:numPr>
        <w:ind w:left="284" w:hanging="284"/>
        <w:rPr>
          <w:b/>
          <w:bCs/>
          <w:szCs w:val="20"/>
          <w:lang w:val="en-GB"/>
        </w:rPr>
      </w:pPr>
      <w:r>
        <w:rPr>
          <w:b/>
          <w:bCs/>
          <w:szCs w:val="20"/>
          <w:lang w:val="en-GB"/>
        </w:rPr>
        <w:t xml:space="preserve">Damage </w:t>
      </w:r>
      <w:r w:rsidR="00825C88">
        <w:rPr>
          <w:b/>
          <w:bCs/>
          <w:szCs w:val="20"/>
          <w:lang w:val="en-GB"/>
        </w:rPr>
        <w:t>bre</w:t>
      </w:r>
      <w:r w:rsidR="00364172">
        <w:rPr>
          <w:b/>
          <w:bCs/>
          <w:szCs w:val="20"/>
          <w:lang w:val="en-GB"/>
        </w:rPr>
        <w:t xml:space="preserve">ach </w:t>
      </w:r>
      <w:r>
        <w:rPr>
          <w:b/>
          <w:bCs/>
          <w:szCs w:val="20"/>
          <w:lang w:val="en-GB"/>
        </w:rPr>
        <w:t>modelling beyond current statistics</w:t>
      </w:r>
    </w:p>
    <w:p w14:paraId="5AE9191C" w14:textId="58602F5F" w:rsidR="00863AEA" w:rsidRDefault="005C527F" w:rsidP="005C527F">
      <w:pPr>
        <w:ind w:firstLine="0"/>
        <w:rPr>
          <w:rFonts w:eastAsia="Times New Roman"/>
          <w:szCs w:val="20"/>
        </w:rPr>
      </w:pPr>
      <w:r w:rsidRPr="005C527F">
        <w:rPr>
          <w:color w:val="000000" w:themeColor="text1"/>
          <w:szCs w:val="20"/>
        </w:rPr>
        <w:t xml:space="preserve">Waterway traffic complexity is one of the main reasons behind </w:t>
      </w:r>
      <w:r>
        <w:rPr>
          <w:color w:val="000000" w:themeColor="text1"/>
          <w:szCs w:val="20"/>
        </w:rPr>
        <w:t xml:space="preserve">collision and </w:t>
      </w:r>
      <w:r w:rsidRPr="005C527F">
        <w:rPr>
          <w:color w:val="000000" w:themeColor="text1"/>
          <w:szCs w:val="20"/>
        </w:rPr>
        <w:t xml:space="preserve">grounding accidents. </w:t>
      </w:r>
      <w:r>
        <w:rPr>
          <w:color w:val="000000" w:themeColor="text1"/>
          <w:szCs w:val="20"/>
        </w:rPr>
        <w:t>In FLARE e</w:t>
      </w:r>
      <w:r w:rsidR="003453F9" w:rsidRPr="005C527F">
        <w:rPr>
          <w:rFonts w:eastAsia="Times New Roman"/>
          <w:szCs w:val="20"/>
        </w:rPr>
        <w:t xml:space="preserve">xisting gaps in statistics concerning frequencies of serious flooding accidents </w:t>
      </w:r>
      <w:r>
        <w:rPr>
          <w:rFonts w:eastAsia="Times New Roman"/>
          <w:szCs w:val="20"/>
        </w:rPr>
        <w:t xml:space="preserve">following collision and grounding events </w:t>
      </w:r>
      <w:r w:rsidR="003453F9" w:rsidRPr="005C527F">
        <w:rPr>
          <w:rFonts w:eastAsia="Times New Roman"/>
          <w:szCs w:val="20"/>
        </w:rPr>
        <w:t xml:space="preserve">as well as their impact on </w:t>
      </w:r>
      <w:r w:rsidR="003453F9" w:rsidRPr="005C527F">
        <w:rPr>
          <w:rFonts w:eastAsia="Times New Roman"/>
          <w:szCs w:val="20"/>
        </w:rPr>
        <w:lastRenderedPageBreak/>
        <w:t>novel Risk Control Options (RCOs)</w:t>
      </w:r>
      <w:r w:rsidR="00E629B7" w:rsidRPr="005C527F">
        <w:rPr>
          <w:rFonts w:eastAsia="Times New Roman"/>
          <w:szCs w:val="20"/>
        </w:rPr>
        <w:t xml:space="preserve"> were addressed</w:t>
      </w:r>
      <w:r w:rsidR="003453F9" w:rsidRPr="005C527F">
        <w:rPr>
          <w:rFonts w:eastAsia="Times New Roman"/>
          <w:szCs w:val="20"/>
        </w:rPr>
        <w:t xml:space="preserve"> by </w:t>
      </w:r>
      <w:r w:rsidR="00E629B7" w:rsidRPr="005C527F">
        <w:rPr>
          <w:rFonts w:eastAsia="Times New Roman"/>
          <w:szCs w:val="20"/>
        </w:rPr>
        <w:t>a</w:t>
      </w:r>
      <w:r w:rsidR="003453F9" w:rsidRPr="005C527F">
        <w:rPr>
          <w:rFonts w:eastAsia="Times New Roman"/>
          <w:szCs w:val="20"/>
        </w:rPr>
        <w:t xml:space="preserve"> rapid assessment tool for modelling grounding and collision accidents </w:t>
      </w:r>
      <w:r w:rsidR="00E629B7" w:rsidRPr="005C527F">
        <w:rPr>
          <w:rFonts w:eastAsia="Times New Roman"/>
          <w:szCs w:val="20"/>
        </w:rPr>
        <w:t xml:space="preserve">relevant to cruise and Ro-Pax ships </w:t>
      </w:r>
      <w:r w:rsidR="003453F9" w:rsidRPr="005C527F">
        <w:rPr>
          <w:rFonts w:eastAsia="Times New Roman"/>
          <w:szCs w:val="20"/>
        </w:rPr>
        <w:t>and by establishing the macro-relation between crashworthiness and design</w:t>
      </w:r>
      <w:r w:rsidR="00C320A0">
        <w:rPr>
          <w:rFonts w:eastAsia="Times New Roman"/>
          <w:szCs w:val="20"/>
        </w:rPr>
        <w:t xml:space="preserve"> [3]-[5]</w:t>
      </w:r>
      <w:r w:rsidR="003453F9" w:rsidRPr="005C527F">
        <w:rPr>
          <w:rFonts w:eastAsia="Times New Roman"/>
          <w:szCs w:val="20"/>
        </w:rPr>
        <w:t xml:space="preserve">. </w:t>
      </w:r>
    </w:p>
    <w:p w14:paraId="599545FA" w14:textId="208C8AAD" w:rsidR="0045016C" w:rsidRPr="005C527F" w:rsidRDefault="00E629B7" w:rsidP="00863AEA">
      <w:pPr>
        <w:ind w:firstLine="284"/>
        <w:rPr>
          <w:rFonts w:eastAsia="Times New Roman"/>
          <w:szCs w:val="20"/>
        </w:rPr>
      </w:pPr>
      <w:r w:rsidRPr="005C527F">
        <w:rPr>
          <w:rFonts w:eastAsia="Times New Roman"/>
          <w:szCs w:val="20"/>
        </w:rPr>
        <w:t xml:space="preserve">The analysis considered </w:t>
      </w:r>
      <w:r w:rsidR="003453F9" w:rsidRPr="005C527F">
        <w:rPr>
          <w:rFonts w:eastAsia="Times New Roman"/>
          <w:szCs w:val="20"/>
        </w:rPr>
        <w:t>accidental scenarios that may lead to serious flooding beyond those considered by current statistics</w:t>
      </w:r>
      <w:r w:rsidRPr="005C527F">
        <w:rPr>
          <w:rFonts w:eastAsia="Times New Roman"/>
          <w:szCs w:val="20"/>
        </w:rPr>
        <w:t xml:space="preserve">. </w:t>
      </w:r>
      <w:r w:rsidR="003453F9" w:rsidRPr="005C527F">
        <w:rPr>
          <w:szCs w:val="20"/>
          <w:lang w:val="en-GB"/>
        </w:rPr>
        <w:t>Traffic analysis accounted for the a</w:t>
      </w:r>
      <w:r w:rsidR="0095537F" w:rsidRPr="005C527F">
        <w:rPr>
          <w:szCs w:val="20"/>
          <w:lang w:val="en-GB"/>
        </w:rPr>
        <w:t>rea of o</w:t>
      </w:r>
      <w:r w:rsidR="000F4CEA" w:rsidRPr="005C527F">
        <w:rPr>
          <w:szCs w:val="20"/>
          <w:lang w:val="en-GB"/>
        </w:rPr>
        <w:t>peration</w:t>
      </w:r>
      <w:r w:rsidR="00BA11BB" w:rsidRPr="005C527F">
        <w:rPr>
          <w:szCs w:val="20"/>
          <w:lang w:val="en-GB"/>
        </w:rPr>
        <w:t>, which</w:t>
      </w:r>
      <w:r w:rsidR="000F4CEA" w:rsidRPr="005C527F">
        <w:rPr>
          <w:szCs w:val="20"/>
          <w:lang w:val="en-GB"/>
        </w:rPr>
        <w:t xml:space="preserve"> i</w:t>
      </w:r>
      <w:r w:rsidR="0095537F" w:rsidRPr="005C527F">
        <w:rPr>
          <w:szCs w:val="20"/>
          <w:lang w:val="en-GB"/>
        </w:rPr>
        <w:t>nfluence</w:t>
      </w:r>
      <w:r w:rsidR="00277401" w:rsidRPr="005C527F">
        <w:rPr>
          <w:szCs w:val="20"/>
          <w:lang w:val="en-GB"/>
        </w:rPr>
        <w:t>s</w:t>
      </w:r>
      <w:r w:rsidR="000F4CEA" w:rsidRPr="005C527F">
        <w:rPr>
          <w:szCs w:val="20"/>
          <w:lang w:val="en-GB"/>
        </w:rPr>
        <w:t xml:space="preserve"> the probability </w:t>
      </w:r>
      <w:r w:rsidR="000E27F6" w:rsidRPr="005C527F">
        <w:rPr>
          <w:szCs w:val="20"/>
          <w:lang w:val="en-GB"/>
        </w:rPr>
        <w:t>of</w:t>
      </w:r>
      <w:r w:rsidR="000F4CEA" w:rsidRPr="005C527F">
        <w:rPr>
          <w:szCs w:val="20"/>
          <w:lang w:val="en-GB"/>
        </w:rPr>
        <w:t xml:space="preserve"> </w:t>
      </w:r>
      <w:r w:rsidR="0095537F" w:rsidRPr="005C527F">
        <w:rPr>
          <w:szCs w:val="20"/>
          <w:lang w:val="en-GB"/>
        </w:rPr>
        <w:t>hav</w:t>
      </w:r>
      <w:r w:rsidR="000E27F6" w:rsidRPr="005C527F">
        <w:rPr>
          <w:szCs w:val="20"/>
          <w:lang w:val="en-GB"/>
        </w:rPr>
        <w:t>ing</w:t>
      </w:r>
      <w:r w:rsidR="000F4CEA" w:rsidRPr="005C527F">
        <w:rPr>
          <w:szCs w:val="20"/>
          <w:lang w:val="en-GB"/>
        </w:rPr>
        <w:t xml:space="preserve"> a flooding accident</w:t>
      </w:r>
      <w:r w:rsidR="000E27F6" w:rsidRPr="005C527F">
        <w:rPr>
          <w:szCs w:val="20"/>
          <w:lang w:val="en-GB"/>
        </w:rPr>
        <w:t>,</w:t>
      </w:r>
      <w:r w:rsidR="000F4CEA" w:rsidRPr="005C527F">
        <w:rPr>
          <w:szCs w:val="20"/>
          <w:lang w:val="en-GB"/>
        </w:rPr>
        <w:t xml:space="preserve"> a</w:t>
      </w:r>
      <w:r w:rsidR="00277401" w:rsidRPr="005C527F">
        <w:rPr>
          <w:szCs w:val="20"/>
          <w:lang w:val="en-GB"/>
        </w:rPr>
        <w:t>s well as</w:t>
      </w:r>
      <w:r w:rsidR="0095537F" w:rsidRPr="005C527F">
        <w:rPr>
          <w:szCs w:val="20"/>
          <w:lang w:val="en-GB"/>
        </w:rPr>
        <w:t xml:space="preserve"> the</w:t>
      </w:r>
      <w:r w:rsidR="000F4CEA" w:rsidRPr="005C527F">
        <w:rPr>
          <w:szCs w:val="20"/>
          <w:lang w:val="en-GB"/>
        </w:rPr>
        <w:t xml:space="preserve"> ship survivability after flooding</w:t>
      </w:r>
      <w:r w:rsidR="003453F9" w:rsidRPr="005C527F">
        <w:rPr>
          <w:szCs w:val="20"/>
          <w:lang w:val="en-GB"/>
        </w:rPr>
        <w:t xml:space="preserve">. The analysis </w:t>
      </w:r>
      <w:r w:rsidR="008B367A" w:rsidRPr="005C527F">
        <w:rPr>
          <w:szCs w:val="20"/>
          <w:lang w:val="en-GB"/>
        </w:rPr>
        <w:t>made use of</w:t>
      </w:r>
      <w:r w:rsidR="003453F9" w:rsidRPr="005C527F">
        <w:rPr>
          <w:szCs w:val="20"/>
          <w:lang w:val="en-GB"/>
        </w:rPr>
        <w:t xml:space="preserve"> </w:t>
      </w:r>
      <w:r w:rsidR="008B367A" w:rsidRPr="005C527F">
        <w:rPr>
          <w:szCs w:val="20"/>
          <w:lang w:val="en-GB"/>
        </w:rPr>
        <w:t xml:space="preserve">big </w:t>
      </w:r>
      <w:r w:rsidR="003453F9" w:rsidRPr="005C527F">
        <w:rPr>
          <w:szCs w:val="20"/>
          <w:lang w:val="en-GB"/>
        </w:rPr>
        <w:t xml:space="preserve">data </w:t>
      </w:r>
      <w:r w:rsidR="008B367A" w:rsidRPr="005C527F">
        <w:rPr>
          <w:szCs w:val="20"/>
          <w:lang w:val="en-GB"/>
        </w:rPr>
        <w:t xml:space="preserve">records </w:t>
      </w:r>
      <w:r w:rsidR="003453F9" w:rsidRPr="005C527F">
        <w:rPr>
          <w:szCs w:val="20"/>
          <w:lang w:val="en-GB"/>
        </w:rPr>
        <w:t>accounting for e</w:t>
      </w:r>
      <w:r w:rsidR="000F4CEA" w:rsidRPr="005C527F">
        <w:rPr>
          <w:szCs w:val="20"/>
          <w:lang w:val="en-GB"/>
        </w:rPr>
        <w:t>nvironmental conditions (weather, sea states</w:t>
      </w:r>
      <w:r w:rsidR="00277401" w:rsidRPr="005C527F">
        <w:rPr>
          <w:szCs w:val="20"/>
          <w:lang w:val="en-GB"/>
        </w:rPr>
        <w:t>, visibility</w:t>
      </w:r>
      <w:r w:rsidR="000F4CEA" w:rsidRPr="005C527F">
        <w:rPr>
          <w:szCs w:val="20"/>
          <w:lang w:val="en-GB"/>
        </w:rPr>
        <w:t>)</w:t>
      </w:r>
      <w:r w:rsidR="00B04A27">
        <w:rPr>
          <w:szCs w:val="20"/>
          <w:lang w:val="en-GB"/>
        </w:rPr>
        <w:t xml:space="preserve"> relevant </w:t>
      </w:r>
      <w:r w:rsidR="000F4CEA" w:rsidRPr="005C527F">
        <w:rPr>
          <w:szCs w:val="20"/>
          <w:lang w:val="en-GB"/>
        </w:rPr>
        <w:t>operational scenarios</w:t>
      </w:r>
      <w:r w:rsidR="00B04A27">
        <w:rPr>
          <w:szCs w:val="20"/>
          <w:lang w:val="en-GB"/>
        </w:rPr>
        <w:t xml:space="preserve"> and as applicable bathymetry records</w:t>
      </w:r>
      <w:r w:rsidR="003453F9" w:rsidRPr="005C527F">
        <w:rPr>
          <w:szCs w:val="20"/>
          <w:lang w:val="en-GB"/>
        </w:rPr>
        <w:t xml:space="preserve">. </w:t>
      </w:r>
      <w:r w:rsidR="008B367A" w:rsidRPr="005C527F">
        <w:rPr>
          <w:szCs w:val="20"/>
          <w:lang w:val="en-GB"/>
        </w:rPr>
        <w:t>On this basis a</w:t>
      </w:r>
      <w:r w:rsidR="003453F9" w:rsidRPr="005C527F">
        <w:rPr>
          <w:szCs w:val="20"/>
          <w:lang w:val="en-GB"/>
        </w:rPr>
        <w:t xml:space="preserve"> method for the evaluation of the probability of collision and grounding was </w:t>
      </w:r>
      <w:r w:rsidR="005C527F" w:rsidRPr="005C527F">
        <w:rPr>
          <w:szCs w:val="20"/>
          <w:lang w:val="en-GB"/>
        </w:rPr>
        <w:t xml:space="preserve">developed and </w:t>
      </w:r>
      <w:r w:rsidR="003453F9" w:rsidRPr="005C527F">
        <w:rPr>
          <w:szCs w:val="20"/>
          <w:lang w:val="en-GB"/>
        </w:rPr>
        <w:t xml:space="preserve">validated </w:t>
      </w:r>
      <w:r w:rsidR="005C527F" w:rsidRPr="005C527F">
        <w:rPr>
          <w:szCs w:val="20"/>
          <w:lang w:val="en-GB"/>
        </w:rPr>
        <w:t xml:space="preserve">for the case of a Ro-Pax </w:t>
      </w:r>
      <w:r w:rsidR="009846A1">
        <w:rPr>
          <w:szCs w:val="20"/>
          <w:lang w:val="en-GB"/>
        </w:rPr>
        <w:t>ship</w:t>
      </w:r>
      <w:r w:rsidR="005C527F" w:rsidRPr="005C527F">
        <w:rPr>
          <w:szCs w:val="20"/>
          <w:lang w:val="en-GB"/>
        </w:rPr>
        <w:t xml:space="preserve"> operating </w:t>
      </w:r>
      <w:r w:rsidR="003D5EA5">
        <w:rPr>
          <w:color w:val="000000" w:themeColor="text1"/>
          <w:szCs w:val="20"/>
        </w:rPr>
        <w:t>over a</w:t>
      </w:r>
      <w:r w:rsidR="005C527F" w:rsidRPr="005C527F">
        <w:rPr>
          <w:color w:val="000000" w:themeColor="text1"/>
          <w:szCs w:val="20"/>
        </w:rPr>
        <w:t xml:space="preserve"> three </w:t>
      </w:r>
      <w:r w:rsidR="003D5EA5">
        <w:rPr>
          <w:color w:val="000000" w:themeColor="text1"/>
          <w:szCs w:val="20"/>
        </w:rPr>
        <w:t xml:space="preserve">- </w:t>
      </w:r>
      <w:r w:rsidR="005C527F" w:rsidRPr="005C527F">
        <w:rPr>
          <w:color w:val="000000" w:themeColor="text1"/>
          <w:szCs w:val="20"/>
        </w:rPr>
        <w:t>year period in the Gulf of Finland</w:t>
      </w:r>
      <w:r w:rsidR="005C527F">
        <w:rPr>
          <w:color w:val="000000" w:themeColor="text1"/>
          <w:szCs w:val="20"/>
        </w:rPr>
        <w:t xml:space="preserve"> (Figure 3)</w:t>
      </w:r>
      <w:r w:rsidR="003453F9" w:rsidRPr="005C527F">
        <w:rPr>
          <w:szCs w:val="20"/>
          <w:lang w:val="en-GB"/>
        </w:rPr>
        <w:t>.</w:t>
      </w:r>
    </w:p>
    <w:p w14:paraId="386AA3EC" w14:textId="77777777" w:rsidR="005C527F" w:rsidRDefault="005C527F" w:rsidP="005C527F">
      <w:pPr>
        <w:ind w:firstLine="284"/>
        <w:rPr>
          <w:szCs w:val="20"/>
          <w:lang w:val="en-GB"/>
        </w:rPr>
      </w:pPr>
    </w:p>
    <w:tbl>
      <w:tblPr>
        <w:tblpPr w:leftFromText="180" w:rightFromText="180" w:vertAnchor="text" w:horzAnchor="margin" w:tblpXSpec="center" w:tblpYSpec="center"/>
        <w:tblW w:w="4795" w:type="dxa"/>
        <w:tblCellMar>
          <w:left w:w="0" w:type="dxa"/>
          <w:right w:w="0" w:type="dxa"/>
        </w:tblCellMar>
        <w:tblLook w:val="04A0" w:firstRow="1" w:lastRow="0" w:firstColumn="1" w:lastColumn="0" w:noHBand="0" w:noVBand="1"/>
      </w:tblPr>
      <w:tblGrid>
        <w:gridCol w:w="952"/>
        <w:gridCol w:w="1115"/>
        <w:gridCol w:w="2728"/>
      </w:tblGrid>
      <w:tr w:rsidR="003D5EA5" w:rsidRPr="003D5EA5" w14:paraId="19A99BCF" w14:textId="77777777" w:rsidTr="003D5EA5">
        <w:trPr>
          <w:trHeight w:val="81"/>
        </w:trPr>
        <w:tc>
          <w:tcPr>
            <w:tcW w:w="961" w:type="dxa"/>
            <w:shd w:val="clear" w:color="auto" w:fill="FFFFFF"/>
            <w:tcMar>
              <w:top w:w="15" w:type="dxa"/>
              <w:left w:w="108" w:type="dxa"/>
              <w:bottom w:w="0" w:type="dxa"/>
              <w:right w:w="108" w:type="dxa"/>
            </w:tcMar>
            <w:vAlign w:val="center"/>
            <w:hideMark/>
          </w:tcPr>
          <w:p w14:paraId="4544D95E" w14:textId="77777777" w:rsidR="003D5EA5" w:rsidRDefault="003D5EA5" w:rsidP="003D5EA5">
            <w:pPr>
              <w:snapToGrid w:val="0"/>
              <w:ind w:left="-58" w:firstLine="58"/>
              <w:jc w:val="left"/>
              <w:rPr>
                <w:color w:val="000000" w:themeColor="text1"/>
                <w:sz w:val="16"/>
                <w:szCs w:val="16"/>
              </w:rPr>
            </w:pPr>
          </w:p>
          <w:p w14:paraId="2AA81521" w14:textId="67370843" w:rsidR="005C527F" w:rsidRPr="003D5EA5" w:rsidRDefault="005C527F" w:rsidP="003D5EA5">
            <w:pPr>
              <w:snapToGrid w:val="0"/>
              <w:ind w:left="-58" w:firstLine="58"/>
              <w:jc w:val="left"/>
              <w:rPr>
                <w:color w:val="000000" w:themeColor="text1"/>
                <w:sz w:val="16"/>
                <w:szCs w:val="16"/>
              </w:rPr>
            </w:pPr>
            <w:r w:rsidRPr="003D5EA5">
              <w:rPr>
                <w:color w:val="000000" w:themeColor="text1"/>
                <w:sz w:val="16"/>
                <w:szCs w:val="16"/>
              </w:rPr>
              <w:t>MMSI</w:t>
            </w:r>
          </w:p>
        </w:tc>
        <w:tc>
          <w:tcPr>
            <w:tcW w:w="1103" w:type="dxa"/>
            <w:shd w:val="clear" w:color="auto" w:fill="FFFFFF"/>
            <w:vAlign w:val="center"/>
          </w:tcPr>
          <w:p w14:paraId="4C803941" w14:textId="77777777" w:rsidR="003D5EA5" w:rsidRDefault="003D5EA5" w:rsidP="00885553">
            <w:pPr>
              <w:snapToGrid w:val="0"/>
              <w:ind w:left="38"/>
              <w:jc w:val="center"/>
              <w:rPr>
                <w:color w:val="000000" w:themeColor="text1"/>
                <w:sz w:val="16"/>
                <w:szCs w:val="16"/>
              </w:rPr>
            </w:pPr>
          </w:p>
          <w:p w14:paraId="0D3F602B" w14:textId="39354AB8" w:rsidR="005C527F" w:rsidRPr="003D5EA5" w:rsidRDefault="005C527F" w:rsidP="00885553">
            <w:pPr>
              <w:snapToGrid w:val="0"/>
              <w:ind w:left="38"/>
              <w:jc w:val="center"/>
              <w:rPr>
                <w:color w:val="000000" w:themeColor="text1"/>
                <w:sz w:val="16"/>
                <w:szCs w:val="16"/>
              </w:rPr>
            </w:pPr>
            <w:r w:rsidRPr="003D5EA5">
              <w:rPr>
                <w:color w:val="000000" w:themeColor="text1"/>
                <w:sz w:val="16"/>
                <w:szCs w:val="16"/>
              </w:rPr>
              <w:t>276829000</w:t>
            </w:r>
          </w:p>
        </w:tc>
        <w:tc>
          <w:tcPr>
            <w:tcW w:w="2731" w:type="dxa"/>
            <w:vMerge w:val="restart"/>
            <w:shd w:val="clear" w:color="auto" w:fill="FFFFFF"/>
          </w:tcPr>
          <w:p w14:paraId="5359088B" w14:textId="77777777" w:rsidR="005C527F" w:rsidRPr="003D5EA5" w:rsidRDefault="005C527F" w:rsidP="00885553">
            <w:pPr>
              <w:snapToGrid w:val="0"/>
              <w:ind w:left="57"/>
              <w:rPr>
                <w:rFonts w:eastAsia="Times New Roman"/>
                <w:color w:val="000000" w:themeColor="text1"/>
                <w:sz w:val="16"/>
                <w:szCs w:val="16"/>
              </w:rPr>
            </w:pPr>
            <w:r w:rsidRPr="003D5EA5">
              <w:rPr>
                <w:noProof/>
                <w:color w:val="000000" w:themeColor="text1"/>
                <w:sz w:val="16"/>
                <w:szCs w:val="16"/>
                <w:lang w:val="fr-FR" w:eastAsia="fr-FR"/>
              </w:rPr>
              <w:drawing>
                <wp:inline distT="0" distB="0" distL="0" distR="0" wp14:anchorId="7C720920" wp14:editId="250A59ED">
                  <wp:extent cx="1432340" cy="804472"/>
                  <wp:effectExtent l="0" t="0" r="0" b="0"/>
                  <wp:docPr id="83" name="Picture 83" descr="MEGA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MEGASTA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46574" cy="812467"/>
                          </a:xfrm>
                          <a:prstGeom prst="rect">
                            <a:avLst/>
                          </a:prstGeom>
                          <a:noFill/>
                          <a:ln>
                            <a:noFill/>
                          </a:ln>
                        </pic:spPr>
                      </pic:pic>
                    </a:graphicData>
                  </a:graphic>
                </wp:inline>
              </w:drawing>
            </w:r>
          </w:p>
        </w:tc>
      </w:tr>
      <w:tr w:rsidR="003D5EA5" w:rsidRPr="003D5EA5" w14:paraId="38E20EEC" w14:textId="77777777" w:rsidTr="003D5EA5">
        <w:trPr>
          <w:trHeight w:val="127"/>
        </w:trPr>
        <w:tc>
          <w:tcPr>
            <w:tcW w:w="961" w:type="dxa"/>
            <w:shd w:val="clear" w:color="auto" w:fill="FFFFFF"/>
            <w:tcMar>
              <w:top w:w="15" w:type="dxa"/>
              <w:left w:w="108" w:type="dxa"/>
              <w:bottom w:w="0" w:type="dxa"/>
              <w:right w:w="108" w:type="dxa"/>
            </w:tcMar>
            <w:vAlign w:val="center"/>
            <w:hideMark/>
          </w:tcPr>
          <w:p w14:paraId="1ACB097A" w14:textId="77777777" w:rsidR="005C527F" w:rsidRPr="003D5EA5" w:rsidRDefault="005C527F" w:rsidP="003D5EA5">
            <w:pPr>
              <w:snapToGrid w:val="0"/>
              <w:ind w:left="-58" w:firstLine="58"/>
              <w:jc w:val="left"/>
              <w:rPr>
                <w:color w:val="000000" w:themeColor="text1"/>
                <w:sz w:val="16"/>
                <w:szCs w:val="16"/>
              </w:rPr>
            </w:pPr>
            <w:r w:rsidRPr="003D5EA5">
              <w:rPr>
                <w:color w:val="000000" w:themeColor="text1"/>
                <w:sz w:val="16"/>
                <w:szCs w:val="16"/>
              </w:rPr>
              <w:t>Length</w:t>
            </w:r>
          </w:p>
        </w:tc>
        <w:tc>
          <w:tcPr>
            <w:tcW w:w="1103" w:type="dxa"/>
            <w:shd w:val="clear" w:color="auto" w:fill="FFFFFF"/>
            <w:vAlign w:val="center"/>
          </w:tcPr>
          <w:p w14:paraId="7A37466A" w14:textId="77777777" w:rsidR="005C527F" w:rsidRPr="003D5EA5" w:rsidRDefault="005C527F" w:rsidP="00885553">
            <w:pPr>
              <w:snapToGrid w:val="0"/>
              <w:ind w:left="-58"/>
              <w:jc w:val="center"/>
              <w:rPr>
                <w:color w:val="000000" w:themeColor="text1"/>
                <w:sz w:val="16"/>
                <w:szCs w:val="16"/>
              </w:rPr>
            </w:pPr>
            <w:r w:rsidRPr="003D5EA5">
              <w:rPr>
                <w:color w:val="000000" w:themeColor="text1"/>
                <w:sz w:val="16"/>
                <w:szCs w:val="16"/>
              </w:rPr>
              <w:t>212 m</w:t>
            </w:r>
          </w:p>
        </w:tc>
        <w:tc>
          <w:tcPr>
            <w:tcW w:w="2731" w:type="dxa"/>
            <w:vMerge/>
            <w:shd w:val="clear" w:color="auto" w:fill="FFFFFF"/>
          </w:tcPr>
          <w:p w14:paraId="35953A15" w14:textId="77777777" w:rsidR="005C527F" w:rsidRPr="003D5EA5" w:rsidRDefault="005C527F" w:rsidP="00885553">
            <w:pPr>
              <w:snapToGrid w:val="0"/>
              <w:ind w:left="-58"/>
              <w:rPr>
                <w:rFonts w:eastAsia="Times New Roman"/>
                <w:color w:val="000000" w:themeColor="text1"/>
                <w:sz w:val="16"/>
                <w:szCs w:val="16"/>
              </w:rPr>
            </w:pPr>
          </w:p>
        </w:tc>
      </w:tr>
      <w:tr w:rsidR="003D5EA5" w:rsidRPr="003D5EA5" w14:paraId="4F8F3F1F" w14:textId="77777777" w:rsidTr="003D5EA5">
        <w:trPr>
          <w:trHeight w:val="60"/>
        </w:trPr>
        <w:tc>
          <w:tcPr>
            <w:tcW w:w="961" w:type="dxa"/>
            <w:shd w:val="clear" w:color="auto" w:fill="FFFFFF"/>
            <w:tcMar>
              <w:top w:w="15" w:type="dxa"/>
              <w:left w:w="108" w:type="dxa"/>
              <w:bottom w:w="0" w:type="dxa"/>
              <w:right w:w="108" w:type="dxa"/>
            </w:tcMar>
            <w:vAlign w:val="center"/>
            <w:hideMark/>
          </w:tcPr>
          <w:p w14:paraId="53633EA9" w14:textId="77777777" w:rsidR="005C527F" w:rsidRPr="003D5EA5" w:rsidRDefault="005C527F" w:rsidP="003D5EA5">
            <w:pPr>
              <w:snapToGrid w:val="0"/>
              <w:ind w:left="-58" w:firstLine="58"/>
              <w:jc w:val="left"/>
              <w:rPr>
                <w:color w:val="000000" w:themeColor="text1"/>
                <w:sz w:val="16"/>
                <w:szCs w:val="16"/>
              </w:rPr>
            </w:pPr>
            <w:r w:rsidRPr="003D5EA5">
              <w:rPr>
                <w:color w:val="000000" w:themeColor="text1"/>
                <w:sz w:val="16"/>
                <w:szCs w:val="16"/>
              </w:rPr>
              <w:t>Breath</w:t>
            </w:r>
          </w:p>
        </w:tc>
        <w:tc>
          <w:tcPr>
            <w:tcW w:w="1103" w:type="dxa"/>
            <w:shd w:val="clear" w:color="auto" w:fill="FFFFFF"/>
            <w:vAlign w:val="center"/>
          </w:tcPr>
          <w:p w14:paraId="2167CBD0" w14:textId="77777777" w:rsidR="005C527F" w:rsidRPr="003D5EA5" w:rsidRDefault="005C527F" w:rsidP="00885553">
            <w:pPr>
              <w:snapToGrid w:val="0"/>
              <w:ind w:left="-58"/>
              <w:jc w:val="center"/>
              <w:rPr>
                <w:color w:val="000000" w:themeColor="text1"/>
                <w:sz w:val="16"/>
                <w:szCs w:val="16"/>
              </w:rPr>
            </w:pPr>
            <w:r w:rsidRPr="003D5EA5">
              <w:rPr>
                <w:color w:val="000000" w:themeColor="text1"/>
                <w:sz w:val="16"/>
                <w:szCs w:val="16"/>
              </w:rPr>
              <w:t>30.6 m</w:t>
            </w:r>
          </w:p>
        </w:tc>
        <w:tc>
          <w:tcPr>
            <w:tcW w:w="2731" w:type="dxa"/>
            <w:vMerge/>
            <w:shd w:val="clear" w:color="auto" w:fill="FFFFFF"/>
          </w:tcPr>
          <w:p w14:paraId="2602AC0D" w14:textId="77777777" w:rsidR="005C527F" w:rsidRPr="003D5EA5" w:rsidRDefault="005C527F" w:rsidP="00885553">
            <w:pPr>
              <w:snapToGrid w:val="0"/>
              <w:ind w:left="-58"/>
              <w:rPr>
                <w:rFonts w:eastAsia="Times New Roman"/>
                <w:color w:val="000000" w:themeColor="text1"/>
                <w:sz w:val="16"/>
                <w:szCs w:val="16"/>
              </w:rPr>
            </w:pPr>
          </w:p>
        </w:tc>
      </w:tr>
      <w:tr w:rsidR="003D5EA5" w:rsidRPr="003D5EA5" w14:paraId="51567BC4" w14:textId="77777777" w:rsidTr="003D5EA5">
        <w:trPr>
          <w:trHeight w:val="212"/>
        </w:trPr>
        <w:tc>
          <w:tcPr>
            <w:tcW w:w="961" w:type="dxa"/>
            <w:shd w:val="clear" w:color="auto" w:fill="FFFFFF"/>
            <w:tcMar>
              <w:top w:w="15" w:type="dxa"/>
              <w:left w:w="108" w:type="dxa"/>
              <w:bottom w:w="0" w:type="dxa"/>
              <w:right w:w="108" w:type="dxa"/>
            </w:tcMar>
            <w:vAlign w:val="center"/>
            <w:hideMark/>
          </w:tcPr>
          <w:p w14:paraId="0B73A6FA" w14:textId="77777777" w:rsidR="005C527F" w:rsidRDefault="003D5EA5" w:rsidP="003D5EA5">
            <w:pPr>
              <w:snapToGrid w:val="0"/>
              <w:ind w:firstLine="0"/>
              <w:jc w:val="left"/>
              <w:rPr>
                <w:color w:val="000000" w:themeColor="text1"/>
                <w:sz w:val="16"/>
                <w:szCs w:val="16"/>
              </w:rPr>
            </w:pPr>
            <w:r w:rsidRPr="003D5EA5">
              <w:rPr>
                <w:color w:val="000000" w:themeColor="text1"/>
                <w:sz w:val="16"/>
                <w:szCs w:val="16"/>
              </w:rPr>
              <w:t>D</w:t>
            </w:r>
            <w:r w:rsidR="005C527F" w:rsidRPr="003D5EA5">
              <w:rPr>
                <w:color w:val="000000" w:themeColor="text1"/>
                <w:sz w:val="16"/>
                <w:szCs w:val="16"/>
              </w:rPr>
              <w:t>raught</w:t>
            </w:r>
          </w:p>
          <w:p w14:paraId="45755E48" w14:textId="7861FF6A" w:rsidR="003D5EA5" w:rsidRPr="003D5EA5" w:rsidRDefault="003D5EA5" w:rsidP="003D5EA5">
            <w:pPr>
              <w:snapToGrid w:val="0"/>
              <w:ind w:firstLine="0"/>
              <w:jc w:val="left"/>
              <w:rPr>
                <w:color w:val="000000" w:themeColor="text1"/>
                <w:sz w:val="16"/>
                <w:szCs w:val="16"/>
              </w:rPr>
            </w:pPr>
            <w:r>
              <w:rPr>
                <w:color w:val="000000" w:themeColor="text1"/>
                <w:sz w:val="16"/>
                <w:szCs w:val="16"/>
              </w:rPr>
              <w:t>Gross Ton.</w:t>
            </w:r>
          </w:p>
        </w:tc>
        <w:tc>
          <w:tcPr>
            <w:tcW w:w="1103" w:type="dxa"/>
            <w:shd w:val="clear" w:color="auto" w:fill="FFFFFF"/>
            <w:vAlign w:val="center"/>
          </w:tcPr>
          <w:p w14:paraId="39BD9C43" w14:textId="77777777" w:rsidR="005C527F" w:rsidRDefault="005C527F" w:rsidP="00885553">
            <w:pPr>
              <w:snapToGrid w:val="0"/>
              <w:ind w:left="-58"/>
              <w:jc w:val="center"/>
              <w:rPr>
                <w:color w:val="000000" w:themeColor="text1"/>
                <w:sz w:val="16"/>
                <w:szCs w:val="16"/>
              </w:rPr>
            </w:pPr>
            <w:r w:rsidRPr="003D5EA5">
              <w:rPr>
                <w:color w:val="000000" w:themeColor="text1"/>
                <w:sz w:val="16"/>
                <w:szCs w:val="16"/>
              </w:rPr>
              <w:t>6.9 m</w:t>
            </w:r>
          </w:p>
          <w:p w14:paraId="42AEB7B7" w14:textId="5D1D9754" w:rsidR="003D5EA5" w:rsidRPr="003D5EA5" w:rsidRDefault="003D5EA5" w:rsidP="00885553">
            <w:pPr>
              <w:snapToGrid w:val="0"/>
              <w:ind w:left="-58"/>
              <w:jc w:val="center"/>
              <w:rPr>
                <w:color w:val="000000" w:themeColor="text1"/>
                <w:sz w:val="16"/>
                <w:szCs w:val="16"/>
              </w:rPr>
            </w:pPr>
            <w:r>
              <w:rPr>
                <w:color w:val="000000" w:themeColor="text1"/>
                <w:sz w:val="16"/>
                <w:szCs w:val="16"/>
              </w:rPr>
              <w:t>49,134 t</w:t>
            </w:r>
          </w:p>
        </w:tc>
        <w:tc>
          <w:tcPr>
            <w:tcW w:w="2731" w:type="dxa"/>
            <w:vMerge/>
            <w:shd w:val="clear" w:color="auto" w:fill="FFFFFF"/>
          </w:tcPr>
          <w:p w14:paraId="43CAACDD" w14:textId="77777777" w:rsidR="005C527F" w:rsidRPr="003D5EA5" w:rsidRDefault="005C527F" w:rsidP="00885553">
            <w:pPr>
              <w:snapToGrid w:val="0"/>
              <w:ind w:left="-58"/>
              <w:rPr>
                <w:rFonts w:eastAsia="Times New Roman"/>
                <w:color w:val="000000" w:themeColor="text1"/>
                <w:sz w:val="16"/>
                <w:szCs w:val="16"/>
              </w:rPr>
            </w:pPr>
          </w:p>
        </w:tc>
      </w:tr>
      <w:tr w:rsidR="003D5EA5" w:rsidRPr="003D5EA5" w14:paraId="08BAAC56" w14:textId="77777777" w:rsidTr="003D5EA5">
        <w:trPr>
          <w:trHeight w:val="334"/>
        </w:trPr>
        <w:tc>
          <w:tcPr>
            <w:tcW w:w="961" w:type="dxa"/>
            <w:shd w:val="clear" w:color="auto" w:fill="FFFFFF"/>
            <w:tcMar>
              <w:top w:w="15" w:type="dxa"/>
              <w:left w:w="108" w:type="dxa"/>
              <w:bottom w:w="0" w:type="dxa"/>
              <w:right w:w="108" w:type="dxa"/>
            </w:tcMar>
            <w:vAlign w:val="center"/>
          </w:tcPr>
          <w:p w14:paraId="7DD6F41A" w14:textId="5AFBCDB5" w:rsidR="005C527F" w:rsidRPr="003D5EA5" w:rsidRDefault="005C527F" w:rsidP="003D5EA5">
            <w:pPr>
              <w:snapToGrid w:val="0"/>
              <w:ind w:firstLine="0"/>
              <w:jc w:val="left"/>
              <w:rPr>
                <w:color w:val="000000" w:themeColor="text1"/>
                <w:sz w:val="16"/>
                <w:szCs w:val="16"/>
              </w:rPr>
            </w:pPr>
          </w:p>
        </w:tc>
        <w:tc>
          <w:tcPr>
            <w:tcW w:w="1103" w:type="dxa"/>
            <w:shd w:val="clear" w:color="auto" w:fill="FFFFFF"/>
            <w:vAlign w:val="center"/>
          </w:tcPr>
          <w:p w14:paraId="3A5F8AD9" w14:textId="53436162" w:rsidR="005C527F" w:rsidRPr="003D5EA5" w:rsidRDefault="005C527F" w:rsidP="00885553">
            <w:pPr>
              <w:snapToGrid w:val="0"/>
              <w:ind w:left="-58"/>
              <w:jc w:val="center"/>
              <w:rPr>
                <w:color w:val="000000" w:themeColor="text1"/>
                <w:sz w:val="16"/>
                <w:szCs w:val="16"/>
              </w:rPr>
            </w:pPr>
          </w:p>
        </w:tc>
        <w:tc>
          <w:tcPr>
            <w:tcW w:w="2731" w:type="dxa"/>
            <w:vMerge/>
            <w:shd w:val="clear" w:color="auto" w:fill="FFFFFF"/>
          </w:tcPr>
          <w:p w14:paraId="7E5E74FB" w14:textId="77777777" w:rsidR="005C527F" w:rsidRPr="003D5EA5" w:rsidRDefault="005C527F" w:rsidP="00885553">
            <w:pPr>
              <w:snapToGrid w:val="0"/>
              <w:ind w:left="-58"/>
              <w:rPr>
                <w:rFonts w:eastAsia="Times New Roman"/>
                <w:color w:val="000000" w:themeColor="text1"/>
                <w:sz w:val="16"/>
                <w:szCs w:val="16"/>
              </w:rPr>
            </w:pPr>
          </w:p>
        </w:tc>
      </w:tr>
    </w:tbl>
    <w:p w14:paraId="4F355250" w14:textId="77777777" w:rsidR="005C527F" w:rsidRPr="005C527F" w:rsidRDefault="005C527F" w:rsidP="005C527F">
      <w:pPr>
        <w:ind w:firstLine="284"/>
        <w:rPr>
          <w:szCs w:val="20"/>
          <w:lang w:val="en-GB"/>
        </w:rPr>
      </w:pPr>
    </w:p>
    <w:p w14:paraId="410BB307" w14:textId="77777777" w:rsidR="005C527F" w:rsidRDefault="005C527F" w:rsidP="0045016C">
      <w:pPr>
        <w:spacing w:before="100" w:beforeAutospacing="1" w:after="100" w:afterAutospacing="1"/>
        <w:ind w:firstLine="284"/>
        <w:rPr>
          <w:color w:val="000000" w:themeColor="text1"/>
          <w:szCs w:val="20"/>
        </w:rPr>
      </w:pPr>
    </w:p>
    <w:p w14:paraId="43716574" w14:textId="77777777" w:rsidR="005C527F" w:rsidRDefault="005C527F" w:rsidP="0045016C">
      <w:pPr>
        <w:spacing w:before="100" w:beforeAutospacing="1" w:after="100" w:afterAutospacing="1"/>
        <w:ind w:firstLine="284"/>
        <w:rPr>
          <w:color w:val="000000" w:themeColor="text1"/>
          <w:szCs w:val="20"/>
        </w:rPr>
      </w:pPr>
    </w:p>
    <w:p w14:paraId="527ABA40" w14:textId="77777777" w:rsidR="003D5EA5" w:rsidRDefault="003D5EA5" w:rsidP="003D5EA5">
      <w:pPr>
        <w:spacing w:before="100" w:beforeAutospacing="1" w:after="100" w:afterAutospacing="1"/>
        <w:ind w:firstLine="0"/>
        <w:jc w:val="left"/>
        <w:rPr>
          <w:color w:val="000000" w:themeColor="text1"/>
          <w:sz w:val="16"/>
          <w:szCs w:val="16"/>
        </w:rPr>
      </w:pPr>
      <w:r w:rsidRPr="003D5EA5">
        <w:rPr>
          <w:b/>
          <w:sz w:val="16"/>
          <w:szCs w:val="16"/>
        </w:rPr>
        <w:t>Figure 3.</w:t>
      </w:r>
      <w:r>
        <w:rPr>
          <w:sz w:val="16"/>
          <w:szCs w:val="16"/>
        </w:rPr>
        <w:t xml:space="preserve"> </w:t>
      </w:r>
      <w:r w:rsidRPr="003D5EA5">
        <w:rPr>
          <w:sz w:val="16"/>
          <w:szCs w:val="16"/>
        </w:rPr>
        <w:t>Weather data patterns (Red and blue patterns show the trajectories of passenger and Ro-Pax ships with weather data</w:t>
      </w:r>
    </w:p>
    <w:p w14:paraId="56F19999" w14:textId="7D062201" w:rsidR="00AF2502" w:rsidRDefault="00B04A27" w:rsidP="00AF2502">
      <w:pPr>
        <w:ind w:firstLine="284"/>
        <w:rPr>
          <w:szCs w:val="20"/>
          <w:lang w:eastAsia="ko-KR"/>
        </w:rPr>
      </w:pPr>
      <w:r>
        <w:rPr>
          <w:szCs w:val="20"/>
          <w:lang w:eastAsia="ko-KR"/>
        </w:rPr>
        <w:t>S</w:t>
      </w:r>
      <w:r w:rsidRPr="00B04A27">
        <w:rPr>
          <w:szCs w:val="20"/>
          <w:lang w:eastAsia="ko-KR"/>
        </w:rPr>
        <w:t xml:space="preserve">olvers accounting for the influence of </w:t>
      </w:r>
      <w:r w:rsidR="00AF2502">
        <w:rPr>
          <w:szCs w:val="20"/>
          <w:lang w:eastAsia="ko-KR"/>
        </w:rPr>
        <w:t xml:space="preserve">surrounding water in way of contact </w:t>
      </w:r>
      <w:r>
        <w:rPr>
          <w:szCs w:val="20"/>
          <w:lang w:eastAsia="ko-KR"/>
        </w:rPr>
        <w:t xml:space="preserve">and evasiveness of relevance to collision and </w:t>
      </w:r>
      <w:r w:rsidR="00AF2502">
        <w:rPr>
          <w:szCs w:val="20"/>
          <w:lang w:eastAsia="ko-KR"/>
        </w:rPr>
        <w:t xml:space="preserve">hard </w:t>
      </w:r>
      <w:r>
        <w:rPr>
          <w:szCs w:val="20"/>
          <w:lang w:eastAsia="ko-KR"/>
        </w:rPr>
        <w:t xml:space="preserve">grounding accidents </w:t>
      </w:r>
      <w:r w:rsidR="00AF2502">
        <w:rPr>
          <w:szCs w:val="20"/>
          <w:lang w:eastAsia="ko-KR"/>
        </w:rPr>
        <w:t xml:space="preserve">(pure racking cases) </w:t>
      </w:r>
      <w:r>
        <w:rPr>
          <w:szCs w:val="20"/>
          <w:lang w:eastAsia="ko-KR"/>
        </w:rPr>
        <w:t xml:space="preserve">were thoroughly tested and developed throughout the project. </w:t>
      </w:r>
      <w:proofErr w:type="gramStart"/>
      <w:r w:rsidR="00395465">
        <w:rPr>
          <w:szCs w:val="20"/>
          <w:lang w:eastAsia="ko-KR"/>
        </w:rPr>
        <w:t>In order to</w:t>
      </w:r>
      <w:proofErr w:type="gramEnd"/>
      <w:r w:rsidR="00395465">
        <w:rPr>
          <w:szCs w:val="20"/>
          <w:lang w:eastAsia="ko-KR"/>
        </w:rPr>
        <w:t xml:space="preserve"> be able to simulate large amounts of accident scenarios as required in risk analyses in a limited computation time, the developed solvers were </w:t>
      </w:r>
      <w:r w:rsidR="00610776">
        <w:rPr>
          <w:szCs w:val="20"/>
          <w:lang w:eastAsia="ko-KR"/>
        </w:rPr>
        <w:t>bas</w:t>
      </w:r>
      <w:r w:rsidR="002268A8">
        <w:rPr>
          <w:szCs w:val="20"/>
          <w:lang w:eastAsia="ko-KR"/>
        </w:rPr>
        <w:t xml:space="preserve">ed on the Super-Element method. </w:t>
      </w:r>
    </w:p>
    <w:p w14:paraId="21436E66" w14:textId="07561B5C" w:rsidR="000F0F81" w:rsidRDefault="005E1520" w:rsidP="000F0F81">
      <w:pPr>
        <w:ind w:firstLine="284"/>
        <w:rPr>
          <w:szCs w:val="20"/>
          <w:lang w:eastAsia="ko-KR"/>
        </w:rPr>
      </w:pPr>
      <w:r>
        <w:t xml:space="preserve">To validate </w:t>
      </w:r>
      <w:r w:rsidR="00863AEA">
        <w:t>the method</w:t>
      </w:r>
      <w:r>
        <w:t xml:space="preserve"> special attention has been attributed to breach </w:t>
      </w:r>
      <w:r w:rsidRPr="0098281A">
        <w:t xml:space="preserve">validation </w:t>
      </w:r>
      <w:r>
        <w:t>by comparisons against LS-DYNA</w:t>
      </w:r>
      <w:r w:rsidRPr="0098281A">
        <w:t xml:space="preserve">. </w:t>
      </w:r>
      <w:r w:rsidR="009846A1">
        <w:t>A benchmark study accounting for different scenarios of collision between the NAPA D-RoPax passenger ship and Floodstand Ship B cruise ship demonstrated good agreement between different methods developed by different project partners irrespective to modelling simplifications</w:t>
      </w:r>
      <w:r w:rsidR="00C320A0">
        <w:t xml:space="preserve"> [</w:t>
      </w:r>
      <w:r w:rsidR="00373457">
        <w:t>4</w:t>
      </w:r>
      <w:r w:rsidR="00C320A0">
        <w:t>]</w:t>
      </w:r>
      <w:r w:rsidR="009846A1">
        <w:t xml:space="preserve">. </w:t>
      </w:r>
      <w:r>
        <w:t xml:space="preserve">For </w:t>
      </w:r>
      <w:r w:rsidR="009846A1">
        <w:t xml:space="preserve">both collision and </w:t>
      </w:r>
      <w:r>
        <w:t xml:space="preserve">grounding </w:t>
      </w:r>
      <w:r w:rsidR="009846A1">
        <w:t xml:space="preserve">cases </w:t>
      </w:r>
      <w:r>
        <w:t>comparisons show</w:t>
      </w:r>
      <w:r w:rsidR="009846A1">
        <w:t>ed</w:t>
      </w:r>
      <w:r>
        <w:t xml:space="preserve"> good correlation</w:t>
      </w:r>
      <w:r w:rsidR="009846A1">
        <w:t>.</w:t>
      </w:r>
      <w:r>
        <w:t xml:space="preserve"> </w:t>
      </w:r>
      <w:r w:rsidR="009846A1">
        <w:t>Yet,</w:t>
      </w:r>
      <w:r>
        <w:t xml:space="preserve"> the breach size resulting from analytical </w:t>
      </w:r>
      <w:r w:rsidR="009846A1">
        <w:t xml:space="preserve">grounding </w:t>
      </w:r>
      <w:r>
        <w:t>simulations appear</w:t>
      </w:r>
      <w:r w:rsidR="00863AEA">
        <w:t>ed</w:t>
      </w:r>
      <w:r>
        <w:t xml:space="preserve"> to be quite sensitive to the failure strain values adopted to model the rupture of the ship bottom floors. </w:t>
      </w:r>
    </w:p>
    <w:p w14:paraId="5A533D21" w14:textId="5C4968AD" w:rsidR="009846A1" w:rsidRDefault="00863AEA" w:rsidP="000F0F81">
      <w:pPr>
        <w:pStyle w:val="BodyText"/>
        <w:ind w:firstLine="284"/>
      </w:pPr>
      <w:r>
        <w:t>T</w:t>
      </w:r>
      <w:r w:rsidR="005E1520">
        <w:t>wo independent methodologies</w:t>
      </w:r>
      <w:r w:rsidR="00A7055D">
        <w:t>,</w:t>
      </w:r>
      <w:r w:rsidR="005E1520">
        <w:t xml:space="preserve"> namely direct and comparative methods</w:t>
      </w:r>
      <w:r w:rsidR="00963584">
        <w:t>,</w:t>
      </w:r>
      <w:r w:rsidR="005E1520">
        <w:t xml:space="preserve"> </w:t>
      </w:r>
      <w:r w:rsidR="002268A8">
        <w:t>albeit</w:t>
      </w:r>
      <w:r>
        <w:t xml:space="preserve"> accounting for the influence of grounding and collision accidental loads on dynamic response</w:t>
      </w:r>
      <w:r w:rsidR="00963584">
        <w:t>,</w:t>
      </w:r>
      <w:r>
        <w:t xml:space="preserve"> </w:t>
      </w:r>
      <w:r w:rsidR="009846A1">
        <w:t xml:space="preserve">have been developed. </w:t>
      </w:r>
      <w:r w:rsidR="005E1520">
        <w:t xml:space="preserve">The comparative method </w:t>
      </w:r>
      <w:r w:rsidR="000F0F81">
        <w:t>[</w:t>
      </w:r>
      <w:r w:rsidR="00373457">
        <w:t>5</w:t>
      </w:r>
      <w:r w:rsidR="000F0F81">
        <w:t xml:space="preserve">] </w:t>
      </w:r>
      <w:r w:rsidR="005E1520">
        <w:t xml:space="preserve">enables scaling of the SOLAS damage distributions by comparison between two ship designs (the reference ship and her modified version). The case study using Floodstand ship B considered various reinforcement strategies and demonstrated that the most effective strategies in terms of damage </w:t>
      </w:r>
      <w:r w:rsidR="000302AF">
        <w:t xml:space="preserve">breach </w:t>
      </w:r>
      <w:r w:rsidR="005E1520">
        <w:t xml:space="preserve">reduction over the whole range of SOLAS damages were reinforcement of decks (increased thickness of deck plating and stiffeners) </w:t>
      </w:r>
      <w:r w:rsidR="005E1520" w:rsidRPr="00507213">
        <w:t xml:space="preserve">but especially the addition of a double hull. For the double hull design studied, an average reduction of 30% of penetration and 15% of damage length was obtained. </w:t>
      </w:r>
      <w:proofErr w:type="gramStart"/>
      <w:r w:rsidR="005E1520" w:rsidRPr="00507213">
        <w:t>In order to</w:t>
      </w:r>
      <w:proofErr w:type="gramEnd"/>
      <w:r w:rsidR="005E1520" w:rsidRPr="00507213">
        <w:t xml:space="preserve"> quantify the impact of such damage reduction in terms of increase of A-index, an adaptation of the non-zonal Monte Carlo method has been proposed and implemented</w:t>
      </w:r>
      <w:r w:rsidR="009846A1">
        <w:t>.</w:t>
      </w:r>
      <w:r w:rsidR="000F0F81">
        <w:t xml:space="preserve"> </w:t>
      </w:r>
      <w:r w:rsidR="009846A1" w:rsidRPr="009846A1">
        <w:t xml:space="preserve">The direct method </w:t>
      </w:r>
      <w:r w:rsidR="000F0F81">
        <w:t>[</w:t>
      </w:r>
      <w:r w:rsidR="00373457">
        <w:t>6</w:t>
      </w:r>
      <w:r w:rsidR="000F0F81">
        <w:t xml:space="preserve">] </w:t>
      </w:r>
      <w:r w:rsidR="009846A1">
        <w:t>employed</w:t>
      </w:r>
      <w:r w:rsidR="009846A1" w:rsidRPr="009846A1">
        <w:t xml:space="preserve"> scenarios directly obtained by AIS data post-processed using a collision detection model. The damages obtained (by simulation only) were different from the </w:t>
      </w:r>
      <w:r w:rsidR="009846A1" w:rsidRPr="009846A1">
        <w:lastRenderedPageBreak/>
        <w:t xml:space="preserve">SOLAS approach (using real accidents statistics). Thus, the method has proved by nature sensitive to the accuracy of the models used and it is therefore deemed to be better suited as an operational tool for relative evaluation of the navigational risk (influence of route) on-board estimate of the most probable damage size following a collision event. </w:t>
      </w:r>
    </w:p>
    <w:p w14:paraId="0FA3816E" w14:textId="77777777" w:rsidR="00B04A27" w:rsidRDefault="00B04A27" w:rsidP="00B04A27">
      <w:pPr>
        <w:snapToGrid w:val="0"/>
        <w:ind w:firstLine="0"/>
      </w:pPr>
    </w:p>
    <w:p w14:paraId="785A1E93" w14:textId="5D1A54C5" w:rsidR="00CA76A8" w:rsidRPr="009846A1" w:rsidRDefault="002268A8" w:rsidP="00A24C78">
      <w:pPr>
        <w:pStyle w:val="ListParagraph"/>
        <w:numPr>
          <w:ilvl w:val="0"/>
          <w:numId w:val="10"/>
        </w:numPr>
        <w:ind w:left="284" w:hanging="284"/>
        <w:rPr>
          <w:b/>
          <w:bCs/>
          <w:sz w:val="16"/>
          <w:szCs w:val="16"/>
          <w:lang w:val="en-GB"/>
        </w:rPr>
      </w:pPr>
      <w:r>
        <w:rPr>
          <w:b/>
          <w:bCs/>
          <w:lang w:val="en-GB"/>
        </w:rPr>
        <w:t>Lessons</w:t>
      </w:r>
      <w:r w:rsidR="009846A1">
        <w:rPr>
          <w:b/>
          <w:bCs/>
          <w:lang w:val="en-GB"/>
        </w:rPr>
        <w:t xml:space="preserve"> learnt from c</w:t>
      </w:r>
      <w:r w:rsidR="00CA76A8" w:rsidRPr="009846A1">
        <w:rPr>
          <w:b/>
          <w:bCs/>
          <w:lang w:val="en-GB"/>
        </w:rPr>
        <w:t>rashworthiness</w:t>
      </w:r>
    </w:p>
    <w:p w14:paraId="67DF0F43" w14:textId="30097232" w:rsidR="009846A1" w:rsidRPr="000F0F81" w:rsidRDefault="009846A1" w:rsidP="000F0F81">
      <w:pPr>
        <w:ind w:firstLine="0"/>
      </w:pPr>
      <w:r w:rsidRPr="009846A1">
        <w:rPr>
          <w:lang w:val="en-GB"/>
        </w:rPr>
        <w:t>Risk Control Options (RCOs) were proposed to</w:t>
      </w:r>
      <w:r w:rsidR="000F0F81">
        <w:rPr>
          <w:lang w:val="en-GB"/>
        </w:rPr>
        <w:t xml:space="preserve"> (i) </w:t>
      </w:r>
      <w:r w:rsidRPr="00AF7D5D">
        <w:rPr>
          <w:szCs w:val="20"/>
          <w:lang w:val="en-GB"/>
        </w:rPr>
        <w:t>leverage on operational aspects (operational procedures, speed reduction, situation awareness, navigation equipment, DSS for collision avoidance, crew training), influencing both frequencies and consequences</w:t>
      </w:r>
      <w:r w:rsidR="000F0F81">
        <w:rPr>
          <w:szCs w:val="20"/>
          <w:lang w:val="en-GB"/>
        </w:rPr>
        <w:t>, (ii)</w:t>
      </w:r>
      <w:r w:rsidR="000F0F81">
        <w:t xml:space="preserve"> </w:t>
      </w:r>
      <w:r w:rsidRPr="00AF7D5D">
        <w:rPr>
          <w:szCs w:val="20"/>
          <w:lang w:val="en-GB"/>
        </w:rPr>
        <w:t xml:space="preserve">improve structural solutions and </w:t>
      </w:r>
      <w:r w:rsidR="000F0F81">
        <w:rPr>
          <w:szCs w:val="20"/>
          <w:lang w:val="en-GB"/>
        </w:rPr>
        <w:t xml:space="preserve">(iii) </w:t>
      </w:r>
      <w:r w:rsidRPr="00AF7D5D">
        <w:rPr>
          <w:szCs w:val="20"/>
          <w:lang w:val="en-GB"/>
        </w:rPr>
        <w:t>introduce crashworthiness criteria to minimise the accident consequences. This concept has already been applied in the form of prescriptive requirements (e.g., Polar Code</w:t>
      </w:r>
      <w:r w:rsidR="000F0F81">
        <w:rPr>
          <w:szCs w:val="20"/>
          <w:lang w:val="en-GB"/>
        </w:rPr>
        <w:t xml:space="preserve"> [6]</w:t>
      </w:r>
      <w:r w:rsidRPr="00AF7D5D">
        <w:rPr>
          <w:szCs w:val="20"/>
          <w:lang w:val="en-GB"/>
        </w:rPr>
        <w:t>), assuming that the hull areas subject to more severe damage are to be adequately strengthened.</w:t>
      </w:r>
    </w:p>
    <w:p w14:paraId="72A7C089" w14:textId="75B00919" w:rsidR="00CA76A8" w:rsidRPr="000F0F81" w:rsidRDefault="000F0F81" w:rsidP="000F0F81">
      <w:pPr>
        <w:ind w:firstLine="284"/>
        <w:rPr>
          <w:sz w:val="16"/>
          <w:szCs w:val="16"/>
          <w:lang w:val="en-GB"/>
        </w:rPr>
      </w:pPr>
      <w:r>
        <w:rPr>
          <w:lang w:val="en-GB"/>
        </w:rPr>
        <w:t>Work demonstrated that c</w:t>
      </w:r>
      <w:r w:rsidR="00CA76A8" w:rsidRPr="00AF7D5D">
        <w:rPr>
          <w:lang w:val="en-GB"/>
        </w:rPr>
        <w:t>rashworthiness is a cost-effective RCO</w:t>
      </w:r>
      <w:r w:rsidR="00EF2C41" w:rsidRPr="00AF7D5D">
        <w:rPr>
          <w:lang w:val="en-GB"/>
        </w:rPr>
        <w:t>,</w:t>
      </w:r>
      <w:r w:rsidR="00CA76A8" w:rsidRPr="00AF7D5D">
        <w:rPr>
          <w:lang w:val="en-GB"/>
        </w:rPr>
        <w:t xml:space="preserve"> to be properly evaluated and measured.</w:t>
      </w:r>
      <w:r>
        <w:rPr>
          <w:lang w:val="en-GB"/>
        </w:rPr>
        <w:t xml:space="preserve"> This is because a</w:t>
      </w:r>
      <w:r w:rsidR="00CA76A8" w:rsidRPr="00AF7D5D">
        <w:rPr>
          <w:lang w:val="en-GB"/>
        </w:rPr>
        <w:t xml:space="preserve"> resilient ship </w:t>
      </w:r>
      <w:r w:rsidR="00EF2C41" w:rsidRPr="00AF7D5D">
        <w:rPr>
          <w:lang w:val="en-GB"/>
        </w:rPr>
        <w:t>will have</w:t>
      </w:r>
      <w:r w:rsidR="00CA76A8" w:rsidRPr="00AF7D5D">
        <w:rPr>
          <w:lang w:val="en-GB"/>
        </w:rPr>
        <w:t xml:space="preserve"> a reduced extension of damage, less water ingress, </w:t>
      </w:r>
      <w:r w:rsidR="00EF2C41" w:rsidRPr="00AF7D5D">
        <w:rPr>
          <w:lang w:val="en-GB"/>
        </w:rPr>
        <w:t xml:space="preserve">and will </w:t>
      </w:r>
      <w:r w:rsidR="00CA76A8" w:rsidRPr="00AF7D5D">
        <w:rPr>
          <w:lang w:val="en-GB"/>
        </w:rPr>
        <w:t>gain more (or infinite) time before sinking / capsizing.</w:t>
      </w:r>
      <w:r>
        <w:rPr>
          <w:sz w:val="16"/>
          <w:szCs w:val="16"/>
          <w:lang w:val="en-GB"/>
        </w:rPr>
        <w:t xml:space="preserve"> </w:t>
      </w:r>
      <w:r w:rsidR="00CA76A8" w:rsidRPr="00AF7D5D">
        <w:rPr>
          <w:lang w:val="en-GB"/>
        </w:rPr>
        <w:t xml:space="preserve">Crashworthiness is </w:t>
      </w:r>
      <w:r>
        <w:rPr>
          <w:lang w:val="en-GB"/>
        </w:rPr>
        <w:t xml:space="preserve">also </w:t>
      </w:r>
      <w:r w:rsidR="00CA76A8" w:rsidRPr="00AF7D5D">
        <w:rPr>
          <w:lang w:val="en-GB"/>
        </w:rPr>
        <w:t xml:space="preserve">part of a blueprint for dynamic vulnerability screening, </w:t>
      </w:r>
      <w:r w:rsidR="00B84E33" w:rsidRPr="00AF7D5D">
        <w:rPr>
          <w:lang w:val="en-GB"/>
        </w:rPr>
        <w:t>aimed at</w:t>
      </w:r>
      <w:r w:rsidR="00CA76A8" w:rsidRPr="00AF7D5D">
        <w:rPr>
          <w:lang w:val="en-GB"/>
        </w:rPr>
        <w:t>:</w:t>
      </w:r>
    </w:p>
    <w:p w14:paraId="28924C78" w14:textId="02CE9E97" w:rsidR="00CA76A8" w:rsidRDefault="00CA76A8" w:rsidP="000F0F81">
      <w:pPr>
        <w:pStyle w:val="ListParagraph"/>
        <w:numPr>
          <w:ilvl w:val="0"/>
          <w:numId w:val="15"/>
        </w:numPr>
        <w:tabs>
          <w:tab w:val="num" w:pos="2160"/>
        </w:tabs>
        <w:rPr>
          <w:szCs w:val="20"/>
          <w:lang w:val="en-GB"/>
        </w:rPr>
      </w:pPr>
      <w:r w:rsidRPr="000F0F81">
        <w:rPr>
          <w:szCs w:val="20"/>
          <w:lang w:val="en-GB"/>
        </w:rPr>
        <w:t>identify</w:t>
      </w:r>
      <w:r w:rsidR="00B84E33" w:rsidRPr="000F0F81">
        <w:rPr>
          <w:szCs w:val="20"/>
          <w:lang w:val="en-GB"/>
        </w:rPr>
        <w:t>ing</w:t>
      </w:r>
      <w:r w:rsidRPr="000F0F81">
        <w:rPr>
          <w:szCs w:val="20"/>
          <w:lang w:val="en-GB"/>
        </w:rPr>
        <w:t xml:space="preserve"> </w:t>
      </w:r>
      <w:r w:rsidR="00B84E33" w:rsidRPr="000F0F81">
        <w:rPr>
          <w:szCs w:val="20"/>
          <w:lang w:val="en-GB"/>
        </w:rPr>
        <w:t xml:space="preserve">the </w:t>
      </w:r>
      <w:r w:rsidRPr="000F0F81">
        <w:rPr>
          <w:szCs w:val="20"/>
          <w:lang w:val="en-GB"/>
        </w:rPr>
        <w:t>most vulnerable compartments</w:t>
      </w:r>
      <w:r w:rsidR="00DD18C8" w:rsidRPr="000F0F81">
        <w:rPr>
          <w:szCs w:val="20"/>
          <w:lang w:val="en-GB"/>
        </w:rPr>
        <w:t xml:space="preserve"> and internal layouts</w:t>
      </w:r>
      <w:r w:rsidR="0056604F" w:rsidRPr="000F0F81">
        <w:rPr>
          <w:szCs w:val="20"/>
          <w:lang w:val="en-GB"/>
        </w:rPr>
        <w:t xml:space="preserve"> (</w:t>
      </w:r>
      <w:r w:rsidR="005A5836" w:rsidRPr="000F0F81">
        <w:rPr>
          <w:szCs w:val="20"/>
          <w:lang w:val="en-GB"/>
        </w:rPr>
        <w:t xml:space="preserve">watertight </w:t>
      </w:r>
      <w:r w:rsidR="0056604F" w:rsidRPr="000F0F81">
        <w:rPr>
          <w:szCs w:val="20"/>
          <w:lang w:val="en-GB"/>
        </w:rPr>
        <w:t>subdivision, cross-flooding</w:t>
      </w:r>
      <w:r w:rsidRPr="000F0F81">
        <w:rPr>
          <w:szCs w:val="20"/>
          <w:lang w:val="en-GB"/>
        </w:rPr>
        <w:t>,</w:t>
      </w:r>
      <w:r w:rsidR="001B01FF" w:rsidRPr="000F0F81">
        <w:rPr>
          <w:szCs w:val="20"/>
          <w:lang w:val="en-GB"/>
        </w:rPr>
        <w:t xml:space="preserve"> outfitting</w:t>
      </w:r>
      <w:r w:rsidR="005A5836" w:rsidRPr="000F0F81">
        <w:rPr>
          <w:szCs w:val="20"/>
          <w:lang w:val="en-GB"/>
        </w:rPr>
        <w:t xml:space="preserve"> distribution</w:t>
      </w:r>
      <w:r w:rsidR="001B01FF" w:rsidRPr="000F0F81">
        <w:rPr>
          <w:szCs w:val="20"/>
          <w:lang w:val="en-GB"/>
        </w:rPr>
        <w:t>)</w:t>
      </w:r>
      <w:r w:rsidRPr="000F0F81">
        <w:rPr>
          <w:szCs w:val="20"/>
          <w:lang w:val="en-GB"/>
        </w:rPr>
        <w:t xml:space="preserve"> ranking a subset of breaches resulting in ship loss</w:t>
      </w:r>
    </w:p>
    <w:p w14:paraId="48692A6B" w14:textId="77777777" w:rsidR="000F0F81" w:rsidRDefault="00CA76A8" w:rsidP="000F0F81">
      <w:pPr>
        <w:pStyle w:val="ListParagraph"/>
        <w:numPr>
          <w:ilvl w:val="0"/>
          <w:numId w:val="15"/>
        </w:numPr>
        <w:tabs>
          <w:tab w:val="num" w:pos="2160"/>
        </w:tabs>
        <w:rPr>
          <w:szCs w:val="20"/>
          <w:lang w:val="en-GB"/>
        </w:rPr>
      </w:pPr>
      <w:r w:rsidRPr="000F0F81">
        <w:rPr>
          <w:szCs w:val="20"/>
          <w:lang w:val="en-GB"/>
        </w:rPr>
        <w:t>implement</w:t>
      </w:r>
      <w:r w:rsidR="00B84E33" w:rsidRPr="000F0F81">
        <w:rPr>
          <w:szCs w:val="20"/>
          <w:lang w:val="en-GB"/>
        </w:rPr>
        <w:t>ing</w:t>
      </w:r>
      <w:r w:rsidRPr="000F0F81">
        <w:rPr>
          <w:szCs w:val="20"/>
          <w:lang w:val="en-GB"/>
        </w:rPr>
        <w:t xml:space="preserve"> a crashworthy design </w:t>
      </w:r>
      <w:r w:rsidR="00C13CAB" w:rsidRPr="000F0F81">
        <w:rPr>
          <w:szCs w:val="20"/>
          <w:lang w:val="en-GB"/>
        </w:rPr>
        <w:t>by</w:t>
      </w:r>
      <w:r w:rsidRPr="000F0F81">
        <w:rPr>
          <w:szCs w:val="20"/>
          <w:lang w:val="en-GB"/>
        </w:rPr>
        <w:t xml:space="preserve"> parametric optimization (scantlings, arrangements, double hull</w:t>
      </w:r>
      <w:r w:rsidR="00C13CAB" w:rsidRPr="000F0F81">
        <w:rPr>
          <w:szCs w:val="20"/>
          <w:lang w:val="en-GB"/>
        </w:rPr>
        <w:t xml:space="preserve"> extension</w:t>
      </w:r>
      <w:r w:rsidRPr="000F0F81">
        <w:rPr>
          <w:szCs w:val="20"/>
          <w:lang w:val="en-GB"/>
        </w:rPr>
        <w:t xml:space="preserve">, </w:t>
      </w:r>
      <w:r w:rsidR="00C13CAB" w:rsidRPr="000F0F81">
        <w:rPr>
          <w:szCs w:val="20"/>
          <w:lang w:val="en-GB"/>
        </w:rPr>
        <w:t xml:space="preserve">structural </w:t>
      </w:r>
      <w:r w:rsidRPr="000F0F81">
        <w:rPr>
          <w:szCs w:val="20"/>
          <w:lang w:val="en-GB"/>
        </w:rPr>
        <w:t>weight, etc.)</w:t>
      </w:r>
      <w:r w:rsidR="00E80FF8" w:rsidRPr="000F0F81">
        <w:rPr>
          <w:szCs w:val="20"/>
          <w:lang w:val="en-GB"/>
        </w:rPr>
        <w:t xml:space="preserve"> to minimise the water ingress</w:t>
      </w:r>
    </w:p>
    <w:p w14:paraId="1126ED6B" w14:textId="77777777" w:rsidR="000F0F81" w:rsidRDefault="00CA76A8" w:rsidP="000F0F81">
      <w:pPr>
        <w:pStyle w:val="ListParagraph"/>
        <w:numPr>
          <w:ilvl w:val="0"/>
          <w:numId w:val="15"/>
        </w:numPr>
        <w:tabs>
          <w:tab w:val="num" w:pos="2160"/>
        </w:tabs>
        <w:rPr>
          <w:szCs w:val="20"/>
          <w:lang w:val="en-GB"/>
        </w:rPr>
      </w:pPr>
      <w:r w:rsidRPr="000F0F81">
        <w:rPr>
          <w:szCs w:val="20"/>
          <w:lang w:val="en-GB"/>
        </w:rPr>
        <w:t>estimat</w:t>
      </w:r>
      <w:r w:rsidR="00665BEA" w:rsidRPr="000F0F81">
        <w:rPr>
          <w:szCs w:val="20"/>
          <w:lang w:val="en-GB"/>
        </w:rPr>
        <w:t>ing</w:t>
      </w:r>
      <w:r w:rsidRPr="000F0F81">
        <w:rPr>
          <w:szCs w:val="20"/>
          <w:lang w:val="en-GB"/>
        </w:rPr>
        <w:t xml:space="preserve"> the </w:t>
      </w:r>
      <w:r w:rsidR="00665BEA" w:rsidRPr="000F0F81">
        <w:rPr>
          <w:szCs w:val="20"/>
          <w:lang w:val="en-GB"/>
        </w:rPr>
        <w:t>r</w:t>
      </w:r>
      <w:r w:rsidRPr="000F0F81">
        <w:rPr>
          <w:szCs w:val="20"/>
          <w:lang w:val="en-GB"/>
        </w:rPr>
        <w:t>isk</w:t>
      </w:r>
      <w:r w:rsidR="00665BEA" w:rsidRPr="000F0F81">
        <w:rPr>
          <w:szCs w:val="20"/>
          <w:lang w:val="en-GB"/>
        </w:rPr>
        <w:t xml:space="preserve"> reduction</w:t>
      </w:r>
      <w:r w:rsidRPr="000F0F81">
        <w:rPr>
          <w:szCs w:val="20"/>
          <w:lang w:val="en-GB"/>
        </w:rPr>
        <w:t>, as residual average local s-factor in any hull section</w:t>
      </w:r>
    </w:p>
    <w:p w14:paraId="1BA76186" w14:textId="0456CDEF" w:rsidR="00CA76A8" w:rsidRPr="000F0F81" w:rsidRDefault="00CA76A8" w:rsidP="000F0F81">
      <w:pPr>
        <w:pStyle w:val="ListParagraph"/>
        <w:numPr>
          <w:ilvl w:val="0"/>
          <w:numId w:val="15"/>
        </w:numPr>
        <w:tabs>
          <w:tab w:val="num" w:pos="2160"/>
        </w:tabs>
        <w:rPr>
          <w:szCs w:val="20"/>
          <w:lang w:val="en-GB"/>
        </w:rPr>
      </w:pPr>
      <w:r w:rsidRPr="000F0F81">
        <w:rPr>
          <w:szCs w:val="20"/>
          <w:lang w:val="en-GB"/>
        </w:rPr>
        <w:t>calculat</w:t>
      </w:r>
      <w:r w:rsidR="00665BEA" w:rsidRPr="000F0F81">
        <w:rPr>
          <w:szCs w:val="20"/>
          <w:lang w:val="en-GB"/>
        </w:rPr>
        <w:t>ing</w:t>
      </w:r>
      <w:r w:rsidRPr="000F0F81">
        <w:rPr>
          <w:szCs w:val="20"/>
          <w:lang w:val="en-GB"/>
        </w:rPr>
        <w:t xml:space="preserve"> the </w:t>
      </w:r>
      <w:r w:rsidR="00665BEA" w:rsidRPr="000F0F81">
        <w:rPr>
          <w:szCs w:val="20"/>
          <w:lang w:val="en-GB"/>
        </w:rPr>
        <w:t>corresponding c</w:t>
      </w:r>
      <w:r w:rsidRPr="000F0F81">
        <w:rPr>
          <w:szCs w:val="20"/>
          <w:lang w:val="en-GB"/>
        </w:rPr>
        <w:t xml:space="preserve">ost </w:t>
      </w:r>
      <w:r w:rsidR="00665BEA" w:rsidRPr="000F0F81">
        <w:rPr>
          <w:szCs w:val="20"/>
          <w:lang w:val="en-GB"/>
        </w:rPr>
        <w:t>variation</w:t>
      </w:r>
    </w:p>
    <w:p w14:paraId="7A14C9B5" w14:textId="4BCE0C33" w:rsidR="00CA76A8" w:rsidRPr="00AF7D5D" w:rsidRDefault="000F0F81" w:rsidP="000F0F81">
      <w:pPr>
        <w:ind w:firstLine="284"/>
        <w:rPr>
          <w:lang w:val="en-GB"/>
        </w:rPr>
      </w:pPr>
      <w:r>
        <w:rPr>
          <w:lang w:val="en-GB"/>
        </w:rPr>
        <w:t xml:space="preserve">Throughout the project the evaluation of </w:t>
      </w:r>
      <w:r w:rsidR="00BB4644" w:rsidRPr="00AF7D5D">
        <w:rPr>
          <w:lang w:val="en-GB"/>
        </w:rPr>
        <w:t>crashworthiness</w:t>
      </w:r>
      <w:r w:rsidR="00CA76A8" w:rsidRPr="00AF7D5D">
        <w:rPr>
          <w:lang w:val="en-GB"/>
        </w:rPr>
        <w:t xml:space="preserve"> </w:t>
      </w:r>
      <w:r w:rsidR="00BB4644" w:rsidRPr="00AF7D5D">
        <w:rPr>
          <w:lang w:val="en-GB"/>
        </w:rPr>
        <w:t>correlated to an</w:t>
      </w:r>
      <w:r w:rsidR="00CA76A8" w:rsidRPr="00AF7D5D">
        <w:rPr>
          <w:lang w:val="en-GB"/>
        </w:rPr>
        <w:t xml:space="preserve"> increased ship survivability </w:t>
      </w:r>
      <w:r>
        <w:rPr>
          <w:lang w:val="en-GB"/>
        </w:rPr>
        <w:t xml:space="preserve">index. This reduced </w:t>
      </w:r>
      <w:r w:rsidR="00FC2A7E" w:rsidRPr="00AF7D5D">
        <w:rPr>
          <w:lang w:val="en-GB"/>
        </w:rPr>
        <w:t>risk of flooding/cap</w:t>
      </w:r>
      <w:r w:rsidR="00DC136B" w:rsidRPr="00AF7D5D">
        <w:rPr>
          <w:lang w:val="en-GB"/>
        </w:rPr>
        <w:t xml:space="preserve">sizing/sinking </w:t>
      </w:r>
      <w:r w:rsidR="00CA76A8" w:rsidRPr="00AF7D5D">
        <w:rPr>
          <w:lang w:val="en-GB"/>
        </w:rPr>
        <w:t xml:space="preserve">could lead to a standard “design crash test” and </w:t>
      </w:r>
      <w:r>
        <w:rPr>
          <w:lang w:val="en-GB"/>
        </w:rPr>
        <w:t xml:space="preserve">could </w:t>
      </w:r>
      <w:r w:rsidR="00CA76A8" w:rsidRPr="00AF7D5D">
        <w:rPr>
          <w:lang w:val="en-GB"/>
        </w:rPr>
        <w:t>help identify an internal “safe area” assumed to remain largely unaffected in case of long raking damage</w:t>
      </w:r>
      <w:r w:rsidR="000606EB" w:rsidRPr="00AF7D5D">
        <w:rPr>
          <w:lang w:val="en-GB"/>
        </w:rPr>
        <w:t>s</w:t>
      </w:r>
      <w:r w:rsidR="00CA76A8" w:rsidRPr="00AF7D5D">
        <w:rPr>
          <w:lang w:val="en-GB"/>
        </w:rPr>
        <w:t>.</w:t>
      </w:r>
    </w:p>
    <w:p w14:paraId="20E496F3" w14:textId="5873A7EA" w:rsidR="006A49E4" w:rsidRPr="00AF7D5D" w:rsidRDefault="00CA76A8" w:rsidP="004A006B">
      <w:pPr>
        <w:tabs>
          <w:tab w:val="num" w:pos="2160"/>
        </w:tabs>
        <w:ind w:firstLine="284"/>
        <w:rPr>
          <w:szCs w:val="20"/>
          <w:lang w:val="en-GB"/>
        </w:rPr>
      </w:pPr>
      <w:r w:rsidRPr="00AF7D5D">
        <w:rPr>
          <w:szCs w:val="20"/>
          <w:lang w:val="en-GB"/>
        </w:rPr>
        <w:t xml:space="preserve">Operational RCOs are effective in minimising frequencies </w:t>
      </w:r>
      <w:r w:rsidR="00D77229" w:rsidRPr="00AF7D5D">
        <w:rPr>
          <w:szCs w:val="20"/>
          <w:lang w:val="en-GB"/>
        </w:rPr>
        <w:t xml:space="preserve">(preventing </w:t>
      </w:r>
      <w:r w:rsidR="00482BDE" w:rsidRPr="00AF7D5D">
        <w:rPr>
          <w:szCs w:val="20"/>
          <w:lang w:val="en-GB"/>
        </w:rPr>
        <w:t>accidents</w:t>
      </w:r>
      <w:r w:rsidR="000E68D1" w:rsidRPr="00AF7D5D">
        <w:rPr>
          <w:szCs w:val="20"/>
          <w:lang w:val="en-GB"/>
        </w:rPr>
        <w:t xml:space="preserve"> by</w:t>
      </w:r>
      <w:r w:rsidRPr="00AF7D5D">
        <w:rPr>
          <w:szCs w:val="20"/>
          <w:lang w:val="en-GB"/>
        </w:rPr>
        <w:t xml:space="preserve"> speed reduction, situation awareness, e-navigation, DSS for collision avoidance, crew training…</w:t>
      </w:r>
      <w:r w:rsidR="000E68D1" w:rsidRPr="00AF7D5D">
        <w:rPr>
          <w:szCs w:val="20"/>
          <w:lang w:val="en-GB"/>
        </w:rPr>
        <w:t>) as well as consequences</w:t>
      </w:r>
      <w:r w:rsidR="0037517F" w:rsidRPr="00AF7D5D">
        <w:rPr>
          <w:szCs w:val="20"/>
          <w:lang w:val="en-GB"/>
        </w:rPr>
        <w:t xml:space="preserve"> (fast and accurate damage detection and assessment</w:t>
      </w:r>
      <w:r w:rsidR="00886832" w:rsidRPr="00AF7D5D">
        <w:rPr>
          <w:szCs w:val="20"/>
          <w:lang w:val="en-GB"/>
        </w:rPr>
        <w:t xml:space="preserve">, accurate measure of progressive flooding, </w:t>
      </w:r>
      <w:r w:rsidR="0028497D" w:rsidRPr="00AF7D5D">
        <w:rPr>
          <w:szCs w:val="20"/>
          <w:lang w:val="en-GB"/>
        </w:rPr>
        <w:t>emergency response, active/passive mitigation systems)</w:t>
      </w:r>
      <w:r w:rsidR="00FD6765" w:rsidRPr="00AF7D5D">
        <w:rPr>
          <w:szCs w:val="20"/>
          <w:lang w:val="en-GB"/>
        </w:rPr>
        <w:t xml:space="preserve"> to prevent the loss of the ship.</w:t>
      </w:r>
      <w:r w:rsidR="004A006B">
        <w:rPr>
          <w:szCs w:val="20"/>
          <w:lang w:val="en-GB"/>
        </w:rPr>
        <w:t xml:space="preserve"> </w:t>
      </w:r>
      <w:r w:rsidRPr="00AF7D5D">
        <w:rPr>
          <w:szCs w:val="20"/>
          <w:lang w:val="en-GB"/>
        </w:rPr>
        <w:t xml:space="preserve">Design RCOs are effective </w:t>
      </w:r>
      <w:r w:rsidR="00CB3268" w:rsidRPr="00AF7D5D">
        <w:rPr>
          <w:szCs w:val="20"/>
          <w:lang w:val="en-GB"/>
        </w:rPr>
        <w:t xml:space="preserve">to </w:t>
      </w:r>
      <w:r w:rsidRPr="00AF7D5D">
        <w:rPr>
          <w:szCs w:val="20"/>
          <w:lang w:val="en-GB"/>
        </w:rPr>
        <w:t>minimis</w:t>
      </w:r>
      <w:r w:rsidR="00CB3268" w:rsidRPr="00AF7D5D">
        <w:rPr>
          <w:szCs w:val="20"/>
          <w:lang w:val="en-GB"/>
        </w:rPr>
        <w:t>e</w:t>
      </w:r>
      <w:r w:rsidRPr="00AF7D5D">
        <w:rPr>
          <w:szCs w:val="20"/>
          <w:lang w:val="en-GB"/>
        </w:rPr>
        <w:t xml:space="preserve"> the consequences: improved structural solutions, crashworthiness, strengthening of hull elements exposed to higher risk</w:t>
      </w:r>
      <w:r w:rsidR="004A006B">
        <w:rPr>
          <w:szCs w:val="20"/>
          <w:lang w:val="en-GB"/>
        </w:rPr>
        <w:t xml:space="preserve">. </w:t>
      </w:r>
      <w:r w:rsidR="006A49E4" w:rsidRPr="00AF7D5D">
        <w:rPr>
          <w:szCs w:val="20"/>
          <w:lang w:val="en-GB"/>
        </w:rPr>
        <w:t>Active and passive RCOs are time-dependent, pre- and post-accident</w:t>
      </w:r>
      <w:r w:rsidR="001760D1">
        <w:rPr>
          <w:szCs w:val="20"/>
          <w:lang w:val="en-GB"/>
        </w:rPr>
        <w:t>.</w:t>
      </w:r>
    </w:p>
    <w:p w14:paraId="4DFF96B0" w14:textId="6144C76F" w:rsidR="00C2560F" w:rsidRPr="00AF7D5D" w:rsidRDefault="00C2560F" w:rsidP="00653362">
      <w:pPr>
        <w:ind w:firstLine="0"/>
        <w:rPr>
          <w:szCs w:val="20"/>
          <w:lang w:val="en-GB"/>
        </w:rPr>
      </w:pPr>
    </w:p>
    <w:p w14:paraId="26A3E3F0" w14:textId="4CB1BE81" w:rsidR="00C2560F" w:rsidRPr="004A006B" w:rsidRDefault="004A64D5" w:rsidP="004A006B">
      <w:pPr>
        <w:pStyle w:val="ListParagraph"/>
        <w:numPr>
          <w:ilvl w:val="0"/>
          <w:numId w:val="10"/>
        </w:numPr>
        <w:ind w:left="284" w:hanging="284"/>
        <w:rPr>
          <w:b/>
          <w:bCs/>
          <w:szCs w:val="20"/>
          <w:lang w:val="en-GB"/>
        </w:rPr>
      </w:pPr>
      <w:r w:rsidRPr="004A006B">
        <w:rPr>
          <w:b/>
          <w:bCs/>
          <w:szCs w:val="20"/>
          <w:lang w:val="en-GB"/>
        </w:rPr>
        <w:t xml:space="preserve">Other </w:t>
      </w:r>
      <w:r w:rsidR="00DF378C" w:rsidRPr="004A006B">
        <w:rPr>
          <w:b/>
          <w:bCs/>
          <w:szCs w:val="20"/>
          <w:lang w:val="en-GB"/>
        </w:rPr>
        <w:t>essential studies in progress</w:t>
      </w:r>
    </w:p>
    <w:p w14:paraId="22978640" w14:textId="498EC5CC" w:rsidR="001E5387" w:rsidRPr="00AF7D5D" w:rsidRDefault="004A006B" w:rsidP="004A006B">
      <w:pPr>
        <w:tabs>
          <w:tab w:val="num" w:pos="2160"/>
        </w:tabs>
        <w:ind w:firstLine="0"/>
        <w:rPr>
          <w:szCs w:val="20"/>
          <w:lang w:val="en-GB"/>
        </w:rPr>
      </w:pPr>
      <w:r>
        <w:rPr>
          <w:szCs w:val="20"/>
        </w:rPr>
        <w:t xml:space="preserve">A </w:t>
      </w:r>
      <w:r w:rsidRPr="004A006B">
        <w:rPr>
          <w:szCs w:val="20"/>
        </w:rPr>
        <w:t>f</w:t>
      </w:r>
      <w:r w:rsidR="00E958A6" w:rsidRPr="004A006B">
        <w:rPr>
          <w:szCs w:val="20"/>
        </w:rPr>
        <w:t>looding risk model</w:t>
      </w:r>
      <w:r w:rsidRPr="004A006B">
        <w:rPr>
          <w:szCs w:val="20"/>
        </w:rPr>
        <w:t xml:space="preserve"> under deve</w:t>
      </w:r>
      <w:r>
        <w:rPr>
          <w:szCs w:val="20"/>
        </w:rPr>
        <w:t xml:space="preserve">lopment </w:t>
      </w:r>
      <w:r w:rsidR="00A33B3B" w:rsidRPr="00AF7D5D">
        <w:rPr>
          <w:szCs w:val="20"/>
          <w:lang w:val="en-GB"/>
        </w:rPr>
        <w:t>focus</w:t>
      </w:r>
      <w:r>
        <w:rPr>
          <w:szCs w:val="20"/>
          <w:lang w:val="en-GB"/>
        </w:rPr>
        <w:t>es</w:t>
      </w:r>
      <w:r w:rsidR="00A33B3B" w:rsidRPr="00AF7D5D">
        <w:rPr>
          <w:szCs w:val="20"/>
          <w:lang w:val="en-GB"/>
        </w:rPr>
        <w:t xml:space="preserve"> </w:t>
      </w:r>
      <w:r>
        <w:rPr>
          <w:szCs w:val="20"/>
          <w:lang w:val="en-GB"/>
        </w:rPr>
        <w:t xml:space="preserve">on </w:t>
      </w:r>
      <w:r w:rsidR="00A33B3B" w:rsidRPr="00AF7D5D">
        <w:rPr>
          <w:szCs w:val="20"/>
          <w:lang w:val="en-GB"/>
        </w:rPr>
        <w:t>risk</w:t>
      </w:r>
      <w:r w:rsidR="00473C1B" w:rsidRPr="00AF7D5D">
        <w:rPr>
          <w:szCs w:val="20"/>
          <w:lang w:val="en-GB"/>
        </w:rPr>
        <w:t>s</w:t>
      </w:r>
      <w:r w:rsidR="00A33B3B" w:rsidRPr="00AF7D5D">
        <w:rPr>
          <w:szCs w:val="20"/>
          <w:lang w:val="en-GB"/>
        </w:rPr>
        <w:t xml:space="preserve"> related to sinking/capsizing due to collision, contact and grounding</w:t>
      </w:r>
      <w:r>
        <w:rPr>
          <w:szCs w:val="20"/>
          <w:lang w:val="en-GB"/>
        </w:rPr>
        <w:t>.</w:t>
      </w:r>
      <w:r>
        <w:rPr>
          <w:szCs w:val="20"/>
        </w:rPr>
        <w:t xml:space="preserve"> Whereas the model </w:t>
      </w:r>
      <w:r w:rsidRPr="00AF7D5D">
        <w:rPr>
          <w:szCs w:val="20"/>
          <w:lang w:val="en-GB"/>
        </w:rPr>
        <w:t>identif</w:t>
      </w:r>
      <w:r>
        <w:rPr>
          <w:szCs w:val="20"/>
          <w:lang w:val="en-GB"/>
        </w:rPr>
        <w:t>ies</w:t>
      </w:r>
      <w:r w:rsidRPr="00AF7D5D">
        <w:rPr>
          <w:szCs w:val="20"/>
          <w:lang w:val="en-GB"/>
        </w:rPr>
        <w:t xml:space="preserve"> the main factors triggering the consequences (event sequence) from casualty reports</w:t>
      </w:r>
      <w:r>
        <w:rPr>
          <w:szCs w:val="20"/>
          <w:lang w:val="en-GB"/>
        </w:rPr>
        <w:t xml:space="preserve"> it </w:t>
      </w:r>
      <w:r>
        <w:rPr>
          <w:szCs w:val="20"/>
        </w:rPr>
        <w:t>ad</w:t>
      </w:r>
      <w:r w:rsidR="002F70EF">
        <w:rPr>
          <w:szCs w:val="20"/>
        </w:rPr>
        <w:t>d</w:t>
      </w:r>
      <w:r>
        <w:rPr>
          <w:szCs w:val="20"/>
        </w:rPr>
        <w:t>resses</w:t>
      </w:r>
      <w:r w:rsidR="006B58EF" w:rsidRPr="00AF7D5D">
        <w:rPr>
          <w:szCs w:val="20"/>
          <w:lang w:val="en-GB"/>
        </w:rPr>
        <w:t xml:space="preserve"> “real” risk </w:t>
      </w:r>
      <w:r>
        <w:rPr>
          <w:szCs w:val="20"/>
          <w:lang w:val="en-GB"/>
        </w:rPr>
        <w:t>(</w:t>
      </w:r>
      <w:r w:rsidR="006B58EF" w:rsidRPr="00AF7D5D">
        <w:rPr>
          <w:szCs w:val="20"/>
          <w:lang w:val="en-GB"/>
        </w:rPr>
        <w:t>not only historical data</w:t>
      </w:r>
      <w:r>
        <w:rPr>
          <w:szCs w:val="20"/>
          <w:lang w:val="en-GB"/>
        </w:rPr>
        <w:t>)</w:t>
      </w:r>
      <w:r>
        <w:rPr>
          <w:szCs w:val="20"/>
        </w:rPr>
        <w:t xml:space="preserve"> and will </w:t>
      </w:r>
      <w:r w:rsidR="002E3E43" w:rsidRPr="00AF7D5D">
        <w:rPr>
          <w:szCs w:val="20"/>
          <w:lang w:val="en-GB"/>
        </w:rPr>
        <w:t>m</w:t>
      </w:r>
      <w:r w:rsidR="00A35DAD" w:rsidRPr="00AF7D5D">
        <w:rPr>
          <w:szCs w:val="20"/>
          <w:lang w:val="en-GB"/>
        </w:rPr>
        <w:t>easur</w:t>
      </w:r>
      <w:r>
        <w:rPr>
          <w:szCs w:val="20"/>
          <w:lang w:val="en-GB"/>
        </w:rPr>
        <w:t>e</w:t>
      </w:r>
      <w:r w:rsidR="00A35DAD" w:rsidRPr="00AF7D5D">
        <w:rPr>
          <w:szCs w:val="20"/>
          <w:lang w:val="en-GB"/>
        </w:rPr>
        <w:t xml:space="preserve"> r</w:t>
      </w:r>
      <w:r w:rsidR="001E5387" w:rsidRPr="00AF7D5D">
        <w:rPr>
          <w:szCs w:val="20"/>
          <w:lang w:val="en-GB"/>
        </w:rPr>
        <w:t>isk in terms of fatalities (</w:t>
      </w:r>
      <w:r w:rsidR="00633EB4" w:rsidRPr="00AF7D5D">
        <w:rPr>
          <w:szCs w:val="20"/>
          <w:lang w:val="en-GB"/>
        </w:rPr>
        <w:t>PLL</w:t>
      </w:r>
      <w:r w:rsidR="001E5387" w:rsidRPr="00AF7D5D">
        <w:rPr>
          <w:szCs w:val="20"/>
          <w:lang w:val="en-GB"/>
        </w:rPr>
        <w:t>)</w:t>
      </w:r>
      <w:r w:rsidR="00DE164E" w:rsidRPr="00AF7D5D">
        <w:rPr>
          <w:szCs w:val="20"/>
          <w:lang w:val="en-GB"/>
        </w:rPr>
        <w:t xml:space="preserve"> and </w:t>
      </w:r>
      <w:r w:rsidR="001E5387" w:rsidRPr="00AF7D5D">
        <w:rPr>
          <w:szCs w:val="20"/>
          <w:lang w:val="en-GB"/>
        </w:rPr>
        <w:t>environmental pollution</w:t>
      </w:r>
      <w:r>
        <w:rPr>
          <w:szCs w:val="20"/>
          <w:lang w:val="en-GB"/>
        </w:rPr>
        <w:t xml:space="preserve">. It is envisaged that ongoing work will lead to </w:t>
      </w:r>
      <w:r w:rsidR="00AB2B5A" w:rsidRPr="00AF7D5D">
        <w:rPr>
          <w:szCs w:val="20"/>
          <w:lang w:val="en-GB"/>
        </w:rPr>
        <w:t>form</w:t>
      </w:r>
      <w:r w:rsidR="00985FF4" w:rsidRPr="00AF7D5D">
        <w:rPr>
          <w:szCs w:val="20"/>
          <w:lang w:val="en-GB"/>
        </w:rPr>
        <w:t>ing</w:t>
      </w:r>
      <w:r w:rsidR="00AB2B5A" w:rsidRPr="00AF7D5D">
        <w:rPr>
          <w:szCs w:val="20"/>
          <w:lang w:val="en-GB"/>
        </w:rPr>
        <w:t xml:space="preserve"> a new basis for </w:t>
      </w:r>
      <w:r w:rsidR="00BF6308" w:rsidRPr="00AF7D5D">
        <w:rPr>
          <w:szCs w:val="20"/>
          <w:lang w:val="en-GB"/>
        </w:rPr>
        <w:t xml:space="preserve">a better </w:t>
      </w:r>
      <w:r w:rsidR="00AB2B5A" w:rsidRPr="00AF7D5D">
        <w:rPr>
          <w:szCs w:val="20"/>
          <w:lang w:val="en-GB"/>
        </w:rPr>
        <w:t xml:space="preserve">quantification of </w:t>
      </w:r>
      <w:r w:rsidR="00BF6308" w:rsidRPr="00AF7D5D">
        <w:rPr>
          <w:szCs w:val="20"/>
          <w:lang w:val="en-GB"/>
        </w:rPr>
        <w:t xml:space="preserve">the </w:t>
      </w:r>
      <w:r w:rsidR="00AB2B5A" w:rsidRPr="00AF7D5D">
        <w:rPr>
          <w:szCs w:val="20"/>
          <w:lang w:val="en-GB"/>
        </w:rPr>
        <w:t xml:space="preserve">risk </w:t>
      </w:r>
      <w:r w:rsidR="006A7EEA" w:rsidRPr="00AF7D5D">
        <w:rPr>
          <w:szCs w:val="20"/>
          <w:lang w:val="en-GB"/>
        </w:rPr>
        <w:t>and a b</w:t>
      </w:r>
      <w:r w:rsidR="00AB2B5A" w:rsidRPr="00AF7D5D">
        <w:rPr>
          <w:szCs w:val="20"/>
          <w:lang w:val="en-GB"/>
        </w:rPr>
        <w:t>etter basis for the assessment of probabilities of flooding events for passenger ships</w:t>
      </w:r>
      <w:r>
        <w:rPr>
          <w:szCs w:val="20"/>
          <w:lang w:val="en-GB"/>
        </w:rPr>
        <w:t xml:space="preserve"> </w:t>
      </w:r>
      <w:proofErr w:type="gramStart"/>
      <w:r>
        <w:rPr>
          <w:szCs w:val="20"/>
          <w:lang w:val="en-GB"/>
        </w:rPr>
        <w:t>on the basis of</w:t>
      </w:r>
      <w:proofErr w:type="gramEnd"/>
      <w:r>
        <w:rPr>
          <w:szCs w:val="20"/>
          <w:lang w:val="en-GB"/>
        </w:rPr>
        <w:t xml:space="preserve"> sound numerical models</w:t>
      </w:r>
      <w:r w:rsidR="002F70EF">
        <w:rPr>
          <w:szCs w:val="20"/>
          <w:lang w:val="en-GB"/>
        </w:rPr>
        <w:t>,</w:t>
      </w:r>
      <w:r>
        <w:rPr>
          <w:szCs w:val="20"/>
          <w:lang w:val="en-GB"/>
        </w:rPr>
        <w:t xml:space="preserve"> </w:t>
      </w:r>
      <w:r w:rsidR="00AB2B5A" w:rsidRPr="00AF7D5D">
        <w:rPr>
          <w:szCs w:val="20"/>
          <w:lang w:val="en-GB"/>
        </w:rPr>
        <w:t>including near misses</w:t>
      </w:r>
      <w:r>
        <w:rPr>
          <w:szCs w:val="20"/>
          <w:lang w:val="en-GB"/>
        </w:rPr>
        <w:t>.</w:t>
      </w:r>
    </w:p>
    <w:p w14:paraId="4CCE1D86" w14:textId="31708A98" w:rsidR="002559FF" w:rsidRPr="004A006B" w:rsidRDefault="004A006B" w:rsidP="004A006B">
      <w:pPr>
        <w:pStyle w:val="ListParagraph"/>
        <w:numPr>
          <w:ilvl w:val="0"/>
          <w:numId w:val="10"/>
        </w:numPr>
        <w:ind w:left="284" w:hanging="284"/>
        <w:rPr>
          <w:b/>
          <w:bCs/>
          <w:sz w:val="18"/>
          <w:szCs w:val="22"/>
          <w:lang w:val="en-GB"/>
        </w:rPr>
      </w:pPr>
      <w:r>
        <w:rPr>
          <w:b/>
          <w:bCs/>
          <w:color w:val="000000"/>
          <w:szCs w:val="20"/>
          <w:lang w:val="en-GB" w:eastAsia="nl-NL"/>
        </w:rPr>
        <w:lastRenderedPageBreak/>
        <w:t>Future</w:t>
      </w:r>
      <w:r w:rsidR="00986050" w:rsidRPr="004A006B">
        <w:rPr>
          <w:b/>
          <w:bCs/>
          <w:color w:val="000000"/>
          <w:szCs w:val="20"/>
          <w:lang w:val="en-GB" w:eastAsia="nl-NL"/>
        </w:rPr>
        <w:t xml:space="preserve"> </w:t>
      </w:r>
      <w:r w:rsidR="002559FF" w:rsidRPr="004A006B">
        <w:rPr>
          <w:b/>
          <w:bCs/>
          <w:color w:val="000000"/>
          <w:szCs w:val="20"/>
          <w:lang w:val="en-GB" w:eastAsia="nl-NL"/>
        </w:rPr>
        <w:t xml:space="preserve">IMO Recommendations </w:t>
      </w:r>
    </w:p>
    <w:p w14:paraId="0A5E75CD" w14:textId="714A9701" w:rsidR="00262B51" w:rsidRPr="00AF7D5D" w:rsidRDefault="004A006B" w:rsidP="00653362">
      <w:pPr>
        <w:ind w:firstLine="0"/>
        <w:rPr>
          <w:lang w:val="en-GB"/>
        </w:rPr>
      </w:pPr>
      <w:r>
        <w:rPr>
          <w:lang w:val="en-GB"/>
        </w:rPr>
        <w:t xml:space="preserve">It is envisaged that </w:t>
      </w:r>
      <w:r w:rsidR="00B82EAB" w:rsidRPr="00AF7D5D">
        <w:rPr>
          <w:lang w:val="en-GB"/>
        </w:rPr>
        <w:t xml:space="preserve">FLARE </w:t>
      </w:r>
      <w:r w:rsidR="00B669C9" w:rsidRPr="00AF7D5D">
        <w:rPr>
          <w:lang w:val="en-GB"/>
        </w:rPr>
        <w:t xml:space="preserve">results will be grouped in </w:t>
      </w:r>
      <w:r w:rsidR="00A82154" w:rsidRPr="00AF7D5D">
        <w:rPr>
          <w:lang w:val="en-GB"/>
        </w:rPr>
        <w:t xml:space="preserve">three </w:t>
      </w:r>
      <w:r w:rsidR="002F70EF">
        <w:rPr>
          <w:lang w:val="en-GB"/>
        </w:rPr>
        <w:t xml:space="preserve">main </w:t>
      </w:r>
      <w:r w:rsidR="00A82154" w:rsidRPr="00AF7D5D">
        <w:rPr>
          <w:lang w:val="en-GB"/>
        </w:rPr>
        <w:t xml:space="preserve">categories </w:t>
      </w:r>
      <w:r w:rsidR="003E7B0D">
        <w:rPr>
          <w:lang w:val="en-GB"/>
        </w:rPr>
        <w:t>for possible</w:t>
      </w:r>
      <w:r w:rsidR="00A82154" w:rsidRPr="00AF7D5D">
        <w:rPr>
          <w:lang w:val="en-GB"/>
        </w:rPr>
        <w:t xml:space="preserve"> </w:t>
      </w:r>
      <w:r>
        <w:rPr>
          <w:lang w:val="en-GB"/>
        </w:rPr>
        <w:t xml:space="preserve">proposals </w:t>
      </w:r>
      <w:r w:rsidR="002F70EF">
        <w:rPr>
          <w:lang w:val="en-GB"/>
        </w:rPr>
        <w:t xml:space="preserve">or submissions </w:t>
      </w:r>
      <w:r w:rsidR="00A82154" w:rsidRPr="00AF7D5D">
        <w:rPr>
          <w:lang w:val="en-GB"/>
        </w:rPr>
        <w:t>to IMO</w:t>
      </w:r>
      <w:r w:rsidR="002F70EF">
        <w:rPr>
          <w:lang w:val="en-GB"/>
        </w:rPr>
        <w:t>,</w:t>
      </w:r>
      <w:r>
        <w:rPr>
          <w:lang w:val="en-GB"/>
        </w:rPr>
        <w:t xml:space="preserve"> namely:</w:t>
      </w:r>
    </w:p>
    <w:p w14:paraId="224CBEA8" w14:textId="2DBE68DD" w:rsidR="00262B51" w:rsidRDefault="00A82154" w:rsidP="004A006B">
      <w:pPr>
        <w:pStyle w:val="ListParagraph"/>
        <w:numPr>
          <w:ilvl w:val="0"/>
          <w:numId w:val="16"/>
        </w:numPr>
        <w:rPr>
          <w:lang w:val="en-GB"/>
        </w:rPr>
      </w:pPr>
      <w:r w:rsidRPr="004A006B">
        <w:rPr>
          <w:lang w:val="en-GB"/>
        </w:rPr>
        <w:t>Recommendations to change/amend IMO regulations</w:t>
      </w:r>
      <w:r w:rsidR="002F70EF">
        <w:rPr>
          <w:lang w:val="en-GB"/>
        </w:rPr>
        <w:t>,</w:t>
      </w:r>
      <w:r w:rsidRPr="004A006B">
        <w:rPr>
          <w:lang w:val="en-GB"/>
        </w:rPr>
        <w:t xml:space="preserve"> or </w:t>
      </w:r>
      <w:r w:rsidR="002F70EF">
        <w:rPr>
          <w:lang w:val="en-GB"/>
        </w:rPr>
        <w:t xml:space="preserve">recommendations </w:t>
      </w:r>
      <w:r w:rsidR="00A10377">
        <w:rPr>
          <w:lang w:val="en-GB"/>
        </w:rPr>
        <w:t>to introduce</w:t>
      </w:r>
      <w:r w:rsidRPr="004A006B">
        <w:rPr>
          <w:lang w:val="en-GB"/>
        </w:rPr>
        <w:t xml:space="preserve"> new regulations</w:t>
      </w:r>
      <w:r w:rsidR="00026AE6">
        <w:rPr>
          <w:lang w:val="en-GB"/>
        </w:rPr>
        <w:t xml:space="preserve">, </w:t>
      </w:r>
      <w:r w:rsidR="0065211D">
        <w:rPr>
          <w:lang w:val="en-GB"/>
        </w:rPr>
        <w:t>requir</w:t>
      </w:r>
      <w:r w:rsidR="00026AE6">
        <w:rPr>
          <w:lang w:val="en-GB"/>
        </w:rPr>
        <w:t>ing</w:t>
      </w:r>
      <w:r w:rsidR="0065211D">
        <w:rPr>
          <w:lang w:val="en-GB"/>
        </w:rPr>
        <w:t xml:space="preserve"> a </w:t>
      </w:r>
      <w:r w:rsidRPr="004A006B">
        <w:rPr>
          <w:lang w:val="en-GB"/>
        </w:rPr>
        <w:t>F</w:t>
      </w:r>
      <w:r w:rsidR="00FC043B" w:rsidRPr="004A006B">
        <w:rPr>
          <w:lang w:val="en-GB"/>
        </w:rPr>
        <w:t xml:space="preserve">ormal </w:t>
      </w:r>
      <w:r w:rsidRPr="004A006B">
        <w:rPr>
          <w:lang w:val="en-GB"/>
        </w:rPr>
        <w:t>S</w:t>
      </w:r>
      <w:r w:rsidR="00FC043B" w:rsidRPr="004A006B">
        <w:rPr>
          <w:lang w:val="en-GB"/>
        </w:rPr>
        <w:t>afe</w:t>
      </w:r>
      <w:r w:rsidR="00564173" w:rsidRPr="004A006B">
        <w:rPr>
          <w:lang w:val="en-GB"/>
        </w:rPr>
        <w:t xml:space="preserve">ty </w:t>
      </w:r>
      <w:r w:rsidRPr="004A006B">
        <w:rPr>
          <w:lang w:val="en-GB"/>
        </w:rPr>
        <w:t>A</w:t>
      </w:r>
      <w:r w:rsidR="00564173" w:rsidRPr="004A006B">
        <w:rPr>
          <w:lang w:val="en-GB"/>
        </w:rPr>
        <w:t>ssessment</w:t>
      </w:r>
      <w:r w:rsidR="00F57204">
        <w:rPr>
          <w:lang w:val="en-GB"/>
        </w:rPr>
        <w:t xml:space="preserve"> (FSA)</w:t>
      </w:r>
      <w:r w:rsidR="006273AC" w:rsidRPr="004A006B">
        <w:rPr>
          <w:lang w:val="en-GB"/>
        </w:rPr>
        <w:t>.</w:t>
      </w:r>
    </w:p>
    <w:p w14:paraId="134125FA" w14:textId="4CA91DAE" w:rsidR="00262B51" w:rsidRDefault="00A82154" w:rsidP="004A006B">
      <w:pPr>
        <w:pStyle w:val="ListParagraph"/>
        <w:numPr>
          <w:ilvl w:val="0"/>
          <w:numId w:val="16"/>
        </w:numPr>
        <w:rPr>
          <w:lang w:val="en-GB"/>
        </w:rPr>
      </w:pPr>
      <w:r w:rsidRPr="004A006B">
        <w:rPr>
          <w:lang w:val="en-GB"/>
        </w:rPr>
        <w:t>Recommendation</w:t>
      </w:r>
      <w:r w:rsidR="004A006B">
        <w:rPr>
          <w:lang w:val="en-GB"/>
        </w:rPr>
        <w:t>s</w:t>
      </w:r>
      <w:r w:rsidRPr="004A006B">
        <w:rPr>
          <w:lang w:val="en-GB"/>
        </w:rPr>
        <w:t xml:space="preserve"> </w:t>
      </w:r>
      <w:r w:rsidR="006B02D5">
        <w:rPr>
          <w:lang w:val="en-GB"/>
        </w:rPr>
        <w:t>proposing</w:t>
      </w:r>
      <w:r w:rsidRPr="004A006B">
        <w:rPr>
          <w:lang w:val="en-GB"/>
        </w:rPr>
        <w:t xml:space="preserve"> alternative</w:t>
      </w:r>
      <w:r w:rsidR="00620175">
        <w:rPr>
          <w:lang w:val="en-GB"/>
        </w:rPr>
        <w:t>s</w:t>
      </w:r>
      <w:r w:rsidRPr="004A006B">
        <w:rPr>
          <w:lang w:val="en-GB"/>
        </w:rPr>
        <w:t xml:space="preserve"> to current regulations</w:t>
      </w:r>
      <w:r w:rsidR="002F70EF">
        <w:rPr>
          <w:lang w:val="en-GB"/>
        </w:rPr>
        <w:t>,</w:t>
      </w:r>
      <w:r w:rsidRPr="004A006B">
        <w:rPr>
          <w:lang w:val="en-GB"/>
        </w:rPr>
        <w:t xml:space="preserve"> without changing </w:t>
      </w:r>
      <w:r w:rsidR="002F70EF">
        <w:rPr>
          <w:lang w:val="en-GB"/>
        </w:rPr>
        <w:t xml:space="preserve">the </w:t>
      </w:r>
      <w:r w:rsidRPr="004A006B">
        <w:rPr>
          <w:lang w:val="en-GB"/>
        </w:rPr>
        <w:t>safety</w:t>
      </w:r>
      <w:r w:rsidR="00E210A0">
        <w:rPr>
          <w:lang w:val="en-GB"/>
        </w:rPr>
        <w:t xml:space="preserve"> </w:t>
      </w:r>
      <w:r w:rsidRPr="004A006B">
        <w:rPr>
          <w:lang w:val="en-GB"/>
        </w:rPr>
        <w:t>level</w:t>
      </w:r>
      <w:r w:rsidR="004A006B">
        <w:rPr>
          <w:lang w:val="en-GB"/>
        </w:rPr>
        <w:t xml:space="preserve">. In this case </w:t>
      </w:r>
      <w:r w:rsidRPr="004A006B">
        <w:rPr>
          <w:lang w:val="en-GB"/>
        </w:rPr>
        <w:t>FSA</w:t>
      </w:r>
      <w:r w:rsidR="00E210A0">
        <w:rPr>
          <w:lang w:val="en-GB"/>
        </w:rPr>
        <w:t xml:space="preserve"> is not required</w:t>
      </w:r>
      <w:r w:rsidR="00F57204">
        <w:rPr>
          <w:lang w:val="en-GB"/>
        </w:rPr>
        <w:t>,</w:t>
      </w:r>
      <w:r w:rsidR="004A006B">
        <w:rPr>
          <w:lang w:val="en-GB"/>
        </w:rPr>
        <w:t xml:space="preserve"> and a s</w:t>
      </w:r>
      <w:r w:rsidRPr="004A006B">
        <w:rPr>
          <w:lang w:val="en-GB"/>
        </w:rPr>
        <w:t xml:space="preserve">ubmission as INF </w:t>
      </w:r>
      <w:r w:rsidR="00C808E3" w:rsidRPr="004A006B">
        <w:rPr>
          <w:lang w:val="en-GB"/>
        </w:rPr>
        <w:t xml:space="preserve">paper </w:t>
      </w:r>
      <w:r w:rsidRPr="004A006B">
        <w:rPr>
          <w:lang w:val="en-GB"/>
        </w:rPr>
        <w:t xml:space="preserve">or proposed </w:t>
      </w:r>
      <w:r w:rsidR="009C42DB">
        <w:rPr>
          <w:lang w:val="en-GB"/>
        </w:rPr>
        <w:t xml:space="preserve">IMO </w:t>
      </w:r>
      <w:r w:rsidR="00C808E3" w:rsidRPr="004A006B">
        <w:rPr>
          <w:lang w:val="en-GB"/>
        </w:rPr>
        <w:t>C</w:t>
      </w:r>
      <w:r w:rsidRPr="004A006B">
        <w:rPr>
          <w:lang w:val="en-GB"/>
        </w:rPr>
        <w:t>ircular</w:t>
      </w:r>
      <w:r w:rsidR="004A006B">
        <w:rPr>
          <w:lang w:val="en-GB"/>
        </w:rPr>
        <w:t xml:space="preserve"> may be possible</w:t>
      </w:r>
      <w:r w:rsidR="006273AC" w:rsidRPr="004A006B">
        <w:rPr>
          <w:lang w:val="en-GB"/>
        </w:rPr>
        <w:t>.</w:t>
      </w:r>
    </w:p>
    <w:p w14:paraId="15AF3C6B" w14:textId="58106BB0" w:rsidR="00262B51" w:rsidRPr="004A006B" w:rsidRDefault="004A006B" w:rsidP="004A006B">
      <w:pPr>
        <w:pStyle w:val="ListParagraph"/>
        <w:numPr>
          <w:ilvl w:val="0"/>
          <w:numId w:val="16"/>
        </w:numPr>
        <w:rPr>
          <w:lang w:val="en-GB"/>
        </w:rPr>
      </w:pPr>
      <w:r>
        <w:rPr>
          <w:lang w:val="en-GB"/>
        </w:rPr>
        <w:t xml:space="preserve">Recommendations </w:t>
      </w:r>
      <w:r w:rsidR="00A82154" w:rsidRPr="004A006B">
        <w:rPr>
          <w:lang w:val="en-GB"/>
        </w:rPr>
        <w:t>to</w:t>
      </w:r>
      <w:r w:rsidR="00815D28">
        <w:rPr>
          <w:lang w:val="en-GB"/>
        </w:rPr>
        <w:t xml:space="preserve"> amend</w:t>
      </w:r>
      <w:r w:rsidR="00A82154" w:rsidRPr="004A006B">
        <w:rPr>
          <w:lang w:val="en-GB"/>
        </w:rPr>
        <w:t xml:space="preserve"> </w:t>
      </w:r>
      <w:r w:rsidR="00C808E3" w:rsidRPr="004A006B">
        <w:rPr>
          <w:lang w:val="en-GB"/>
        </w:rPr>
        <w:t xml:space="preserve">IMO </w:t>
      </w:r>
      <w:r w:rsidR="00A82154" w:rsidRPr="004A006B">
        <w:rPr>
          <w:lang w:val="en-GB"/>
        </w:rPr>
        <w:t>“explanatory notes” or IMO “unified interpretations”</w:t>
      </w:r>
      <w:r w:rsidR="006273AC" w:rsidRPr="004A006B">
        <w:rPr>
          <w:lang w:val="en-GB"/>
        </w:rPr>
        <w:t>.</w:t>
      </w:r>
    </w:p>
    <w:p w14:paraId="5F592DCD" w14:textId="25E4AE83" w:rsidR="009C7C15" w:rsidRPr="00AF7D5D" w:rsidRDefault="0065211D" w:rsidP="002F70EF">
      <w:pPr>
        <w:ind w:firstLine="0"/>
        <w:rPr>
          <w:lang w:val="en-GB"/>
        </w:rPr>
      </w:pPr>
      <w:r>
        <w:rPr>
          <w:lang w:val="en-GB"/>
        </w:rPr>
        <w:t>Along these lines</w:t>
      </w:r>
      <w:r w:rsidR="004A006B">
        <w:rPr>
          <w:lang w:val="en-GB"/>
        </w:rPr>
        <w:t>, t</w:t>
      </w:r>
      <w:r w:rsidR="007A6A9F" w:rsidRPr="00AF7D5D">
        <w:rPr>
          <w:lang w:val="en-GB"/>
        </w:rPr>
        <w:t>he following</w:t>
      </w:r>
      <w:r w:rsidR="00401E51" w:rsidRPr="00AF7D5D">
        <w:rPr>
          <w:lang w:val="en-GB"/>
        </w:rPr>
        <w:t xml:space="preserve"> clusters of topics</w:t>
      </w:r>
      <w:r w:rsidR="00C31C9E" w:rsidRPr="00AF7D5D">
        <w:rPr>
          <w:lang w:val="en-GB"/>
        </w:rPr>
        <w:t xml:space="preserve"> have been </w:t>
      </w:r>
      <w:r w:rsidR="005A5225" w:rsidRPr="00AF7D5D">
        <w:rPr>
          <w:lang w:val="en-GB"/>
        </w:rPr>
        <w:t>identified</w:t>
      </w:r>
      <w:r w:rsidR="004A006B">
        <w:rPr>
          <w:lang w:val="en-GB"/>
        </w:rPr>
        <w:t xml:space="preserve"> and are under discussion by the consortium partners:</w:t>
      </w:r>
    </w:p>
    <w:p w14:paraId="242678B0" w14:textId="378851CC" w:rsidR="007C7610" w:rsidRDefault="004A006B" w:rsidP="004A006B">
      <w:pPr>
        <w:pStyle w:val="ListParagraph"/>
        <w:numPr>
          <w:ilvl w:val="0"/>
          <w:numId w:val="17"/>
        </w:numPr>
        <w:rPr>
          <w:szCs w:val="20"/>
          <w:lang w:val="en-GB"/>
        </w:rPr>
      </w:pPr>
      <w:r>
        <w:rPr>
          <w:szCs w:val="20"/>
          <w:lang w:val="en-GB"/>
        </w:rPr>
        <w:t xml:space="preserve">The suitable use of </w:t>
      </w:r>
      <w:r w:rsidR="006A272A">
        <w:rPr>
          <w:szCs w:val="20"/>
          <w:lang w:val="en-GB"/>
        </w:rPr>
        <w:t xml:space="preserve">damage stability </w:t>
      </w:r>
      <w:r>
        <w:rPr>
          <w:szCs w:val="20"/>
          <w:lang w:val="en-GB"/>
        </w:rPr>
        <w:t>c</w:t>
      </w:r>
      <w:r w:rsidR="00401E51" w:rsidRPr="004A006B">
        <w:rPr>
          <w:szCs w:val="20"/>
          <w:lang w:val="en-GB"/>
        </w:rPr>
        <w:t>alculation methods</w:t>
      </w:r>
      <w:r w:rsidR="00234E99">
        <w:rPr>
          <w:szCs w:val="20"/>
          <w:lang w:val="en-GB"/>
        </w:rPr>
        <w:t xml:space="preserve"> -</w:t>
      </w:r>
      <w:r>
        <w:rPr>
          <w:szCs w:val="20"/>
          <w:lang w:val="en-GB"/>
        </w:rPr>
        <w:t xml:space="preserve"> namely n</w:t>
      </w:r>
      <w:r w:rsidR="009D0327" w:rsidRPr="004A006B">
        <w:rPr>
          <w:szCs w:val="20"/>
          <w:lang w:val="en-GB"/>
        </w:rPr>
        <w:t>on-zonal approach</w:t>
      </w:r>
      <w:r>
        <w:rPr>
          <w:szCs w:val="20"/>
          <w:lang w:val="en-GB"/>
        </w:rPr>
        <w:t>,</w:t>
      </w:r>
      <w:r w:rsidR="009D0327" w:rsidRPr="004A006B">
        <w:rPr>
          <w:szCs w:val="20"/>
          <w:lang w:val="en-GB"/>
        </w:rPr>
        <w:t xml:space="preserve"> </w:t>
      </w:r>
      <w:r>
        <w:rPr>
          <w:szCs w:val="20"/>
          <w:lang w:val="en-GB"/>
        </w:rPr>
        <w:t>d</w:t>
      </w:r>
      <w:r w:rsidR="009D0327" w:rsidRPr="004A006B">
        <w:rPr>
          <w:szCs w:val="20"/>
          <w:lang w:val="en-GB"/>
        </w:rPr>
        <w:t>irect methods instead of statistical</w:t>
      </w:r>
      <w:r>
        <w:rPr>
          <w:szCs w:val="20"/>
          <w:lang w:val="en-GB"/>
        </w:rPr>
        <w:t xml:space="preserve"> approaches,</w:t>
      </w:r>
      <w:r w:rsidR="009D0327" w:rsidRPr="004A006B">
        <w:rPr>
          <w:szCs w:val="20"/>
          <w:lang w:val="en-GB"/>
        </w:rPr>
        <w:t xml:space="preserve"> </w:t>
      </w:r>
      <w:r w:rsidR="00D94128">
        <w:rPr>
          <w:szCs w:val="20"/>
          <w:lang w:val="en-GB"/>
        </w:rPr>
        <w:t xml:space="preserve">use of </w:t>
      </w:r>
      <w:r>
        <w:rPr>
          <w:szCs w:val="20"/>
          <w:lang w:val="en-GB"/>
        </w:rPr>
        <w:t>i</w:t>
      </w:r>
      <w:r w:rsidR="007C7610" w:rsidRPr="004A006B">
        <w:rPr>
          <w:szCs w:val="20"/>
          <w:lang w:val="en-GB"/>
        </w:rPr>
        <w:t>mproved data (revised permeability and draughts)</w:t>
      </w:r>
      <w:r w:rsidR="006A272A">
        <w:rPr>
          <w:szCs w:val="20"/>
          <w:lang w:val="en-GB"/>
        </w:rPr>
        <w:t>.</w:t>
      </w:r>
    </w:p>
    <w:p w14:paraId="79597F66" w14:textId="3FA29E06" w:rsidR="009C7C15" w:rsidRDefault="006A272A" w:rsidP="006A272A">
      <w:pPr>
        <w:pStyle w:val="ListParagraph"/>
        <w:numPr>
          <w:ilvl w:val="0"/>
          <w:numId w:val="17"/>
        </w:numPr>
        <w:rPr>
          <w:szCs w:val="20"/>
          <w:lang w:val="en-GB"/>
        </w:rPr>
      </w:pPr>
      <w:r>
        <w:rPr>
          <w:szCs w:val="20"/>
          <w:lang w:val="en-GB"/>
        </w:rPr>
        <w:t>Further development, evaluation and implementation of c</w:t>
      </w:r>
      <w:r w:rsidR="009D0327" w:rsidRPr="006A272A">
        <w:rPr>
          <w:szCs w:val="20"/>
          <w:lang w:val="en-GB"/>
        </w:rPr>
        <w:t>rashworthiness</w:t>
      </w:r>
      <w:r>
        <w:rPr>
          <w:szCs w:val="20"/>
          <w:lang w:val="en-GB"/>
        </w:rPr>
        <w:t xml:space="preserve"> methods for use in damage stability analysis</w:t>
      </w:r>
      <w:r w:rsidR="00900E53">
        <w:rPr>
          <w:szCs w:val="20"/>
          <w:lang w:val="en-GB"/>
        </w:rPr>
        <w:t>,</w:t>
      </w:r>
      <w:r>
        <w:rPr>
          <w:szCs w:val="20"/>
          <w:lang w:val="en-GB"/>
        </w:rPr>
        <w:t xml:space="preserve"> following </w:t>
      </w:r>
      <w:r w:rsidR="00373457">
        <w:rPr>
          <w:szCs w:val="20"/>
          <w:lang w:val="en-GB"/>
        </w:rPr>
        <w:t>collisions</w:t>
      </w:r>
      <w:r>
        <w:rPr>
          <w:szCs w:val="20"/>
          <w:lang w:val="en-GB"/>
        </w:rPr>
        <w:t xml:space="preserve"> and groundings leading to serious ship flooding.</w:t>
      </w:r>
    </w:p>
    <w:p w14:paraId="58BE9432" w14:textId="437F3F9C" w:rsidR="006A272A" w:rsidRDefault="006A272A" w:rsidP="006A272A">
      <w:pPr>
        <w:pStyle w:val="ListParagraph"/>
        <w:numPr>
          <w:ilvl w:val="0"/>
          <w:numId w:val="17"/>
        </w:numPr>
        <w:rPr>
          <w:szCs w:val="20"/>
          <w:lang w:val="en-GB"/>
        </w:rPr>
      </w:pPr>
      <w:r w:rsidRPr="006A272A">
        <w:rPr>
          <w:szCs w:val="20"/>
          <w:lang w:val="en-GB"/>
        </w:rPr>
        <w:t xml:space="preserve">A </w:t>
      </w:r>
      <w:r w:rsidR="00900E53">
        <w:rPr>
          <w:szCs w:val="20"/>
          <w:lang w:val="en-GB"/>
        </w:rPr>
        <w:t>f</w:t>
      </w:r>
      <w:r w:rsidR="00401E51" w:rsidRPr="006A272A">
        <w:rPr>
          <w:szCs w:val="20"/>
          <w:lang w:val="en-GB"/>
        </w:rPr>
        <w:t xml:space="preserve">looding risk assessment </w:t>
      </w:r>
      <w:r w:rsidRPr="006A272A">
        <w:rPr>
          <w:szCs w:val="20"/>
          <w:lang w:val="en-GB"/>
        </w:rPr>
        <w:t>framework</w:t>
      </w:r>
      <w:r w:rsidR="00900E53">
        <w:rPr>
          <w:szCs w:val="20"/>
          <w:lang w:val="en-GB"/>
        </w:rPr>
        <w:t>,</w:t>
      </w:r>
      <w:r w:rsidRPr="006A272A">
        <w:rPr>
          <w:szCs w:val="20"/>
          <w:lang w:val="en-GB"/>
        </w:rPr>
        <w:t xml:space="preserve"> with focus on </w:t>
      </w:r>
      <w:r w:rsidR="00401E51" w:rsidRPr="006A272A">
        <w:rPr>
          <w:szCs w:val="20"/>
          <w:lang w:val="en-GB"/>
        </w:rPr>
        <w:t>passenger ship</w:t>
      </w:r>
      <w:r w:rsidRPr="006A272A">
        <w:rPr>
          <w:szCs w:val="20"/>
          <w:lang w:val="en-GB"/>
        </w:rPr>
        <w:t>s</w:t>
      </w:r>
      <w:r w:rsidR="00900E53">
        <w:rPr>
          <w:szCs w:val="20"/>
          <w:lang w:val="en-GB"/>
        </w:rPr>
        <w:t>.</w:t>
      </w:r>
    </w:p>
    <w:p w14:paraId="537E73CC" w14:textId="5DDE414C" w:rsidR="009C7C15" w:rsidRPr="006A272A" w:rsidRDefault="006A272A" w:rsidP="006A272A">
      <w:pPr>
        <w:pStyle w:val="ListParagraph"/>
        <w:numPr>
          <w:ilvl w:val="0"/>
          <w:numId w:val="17"/>
        </w:numPr>
        <w:rPr>
          <w:szCs w:val="20"/>
          <w:lang w:val="en-GB"/>
        </w:rPr>
      </w:pPr>
      <w:r>
        <w:rPr>
          <w:szCs w:val="20"/>
          <w:lang w:val="en-GB"/>
        </w:rPr>
        <w:t xml:space="preserve">The suitable use of </w:t>
      </w:r>
      <w:r w:rsidR="00262892" w:rsidRPr="006A272A">
        <w:rPr>
          <w:szCs w:val="20"/>
          <w:lang w:val="en-GB"/>
        </w:rPr>
        <w:t>RCO</w:t>
      </w:r>
      <w:r>
        <w:rPr>
          <w:szCs w:val="20"/>
          <w:lang w:val="en-GB"/>
        </w:rPr>
        <w:t>s in</w:t>
      </w:r>
      <w:r w:rsidR="00A85038" w:rsidRPr="006A272A">
        <w:rPr>
          <w:szCs w:val="20"/>
          <w:lang w:val="en-GB"/>
        </w:rPr>
        <w:t xml:space="preserve"> Decision Support System</w:t>
      </w:r>
      <w:r>
        <w:rPr>
          <w:szCs w:val="20"/>
          <w:lang w:val="en-GB"/>
        </w:rPr>
        <w:t>s</w:t>
      </w:r>
      <w:r w:rsidR="00A85038" w:rsidRPr="006A272A">
        <w:rPr>
          <w:szCs w:val="20"/>
          <w:lang w:val="en-GB"/>
        </w:rPr>
        <w:t xml:space="preserve"> (Emergency response / Emergency assessment / Operational information)</w:t>
      </w:r>
      <w:r>
        <w:rPr>
          <w:szCs w:val="20"/>
          <w:lang w:val="en-GB"/>
        </w:rPr>
        <w:t xml:space="preserve"> and for</w:t>
      </w:r>
      <w:r w:rsidR="00A85038" w:rsidRPr="006A272A">
        <w:rPr>
          <w:szCs w:val="20"/>
          <w:lang w:val="en-GB"/>
        </w:rPr>
        <w:t xml:space="preserve"> Monitoring flooding risk </w:t>
      </w:r>
      <w:r w:rsidR="007A6A9F" w:rsidRPr="006A272A">
        <w:rPr>
          <w:szCs w:val="20"/>
          <w:lang w:val="en-GB"/>
        </w:rPr>
        <w:t>in</w:t>
      </w:r>
      <w:r w:rsidR="00A85038" w:rsidRPr="006A272A">
        <w:rPr>
          <w:szCs w:val="20"/>
          <w:lang w:val="en-GB"/>
        </w:rPr>
        <w:t xml:space="preserve"> operation</w:t>
      </w:r>
      <w:r>
        <w:rPr>
          <w:szCs w:val="20"/>
          <w:lang w:val="en-GB"/>
        </w:rPr>
        <w:t>s</w:t>
      </w:r>
    </w:p>
    <w:p w14:paraId="091970E4" w14:textId="546CD6F8" w:rsidR="00652AD2" w:rsidRDefault="00652AD2" w:rsidP="00222490">
      <w:pPr>
        <w:ind w:firstLine="0"/>
        <w:jc w:val="left"/>
        <w:rPr>
          <w:szCs w:val="20"/>
          <w:lang w:val="en-GB"/>
        </w:rPr>
      </w:pPr>
    </w:p>
    <w:p w14:paraId="6E7FC8E6" w14:textId="6E9E0402" w:rsidR="006A272A" w:rsidRDefault="006A272A" w:rsidP="006A272A">
      <w:pPr>
        <w:pStyle w:val="ListParagraph"/>
        <w:numPr>
          <w:ilvl w:val="0"/>
          <w:numId w:val="10"/>
        </w:numPr>
        <w:ind w:left="284" w:hanging="284"/>
        <w:jc w:val="left"/>
        <w:rPr>
          <w:b/>
          <w:bCs/>
          <w:szCs w:val="20"/>
          <w:lang w:val="en-GB"/>
        </w:rPr>
      </w:pPr>
      <w:r w:rsidRPr="006A272A">
        <w:rPr>
          <w:b/>
          <w:bCs/>
          <w:szCs w:val="20"/>
          <w:lang w:val="en-GB"/>
        </w:rPr>
        <w:t>Conclusion</w:t>
      </w:r>
      <w:r>
        <w:rPr>
          <w:b/>
          <w:bCs/>
          <w:szCs w:val="20"/>
          <w:lang w:val="en-GB"/>
        </w:rPr>
        <w:t>s</w:t>
      </w:r>
    </w:p>
    <w:p w14:paraId="70226DD8" w14:textId="29979647" w:rsidR="006A272A" w:rsidRPr="006A272A" w:rsidRDefault="006A272A" w:rsidP="006A272A">
      <w:pPr>
        <w:ind w:firstLine="0"/>
        <w:rPr>
          <w:szCs w:val="20"/>
          <w:lang w:val="en-GB"/>
        </w:rPr>
      </w:pPr>
      <w:r w:rsidRPr="006A272A">
        <w:rPr>
          <w:szCs w:val="20"/>
          <w:lang w:val="en-GB"/>
        </w:rPr>
        <w:t xml:space="preserve">Current IMO regulations on ship damage stability are based on a static assessment of damage stability without due consideration on the design flooding risk. </w:t>
      </w:r>
      <w:proofErr w:type="gramStart"/>
      <w:r>
        <w:rPr>
          <w:szCs w:val="20"/>
          <w:lang w:val="en-GB"/>
        </w:rPr>
        <w:t>In an attempt to</w:t>
      </w:r>
      <w:proofErr w:type="gramEnd"/>
      <w:r>
        <w:rPr>
          <w:szCs w:val="20"/>
          <w:lang w:val="en-GB"/>
        </w:rPr>
        <w:t xml:space="preserve"> address this problem</w:t>
      </w:r>
      <w:r w:rsidR="006C578E">
        <w:rPr>
          <w:szCs w:val="20"/>
          <w:lang w:val="en-GB"/>
        </w:rPr>
        <w:t>,</w:t>
      </w:r>
      <w:r>
        <w:rPr>
          <w:szCs w:val="20"/>
          <w:lang w:val="en-GB"/>
        </w:rPr>
        <w:t xml:space="preserve"> </w:t>
      </w:r>
      <w:r w:rsidRPr="006A272A">
        <w:rPr>
          <w:szCs w:val="20"/>
          <w:lang w:val="en-GB"/>
        </w:rPr>
        <w:t>the EU Horizons 2020 project FLARE introduces a novel risk-based methodology beyond the state-of-the-art for “live” flooding risk assessment and control, with potential application to new and existing ships. The project develops a flooding accident model - based on statistics and first-principles tools - that aims to assess the frequencies of flooding events whilst accounting for pertinent environmental conditions and design parameters including ship crashworthiness. Cost-effective risk control options are under evaluation and possible recommendations and/or amendments to the regulatory framework will be submitted to the IMO.</w:t>
      </w:r>
    </w:p>
    <w:p w14:paraId="04163D79" w14:textId="3F0CBDC8" w:rsidR="006A272A" w:rsidRDefault="006A272A" w:rsidP="006A272A">
      <w:pPr>
        <w:ind w:firstLine="0"/>
        <w:jc w:val="left"/>
        <w:rPr>
          <w:b/>
          <w:bCs/>
          <w:szCs w:val="20"/>
          <w:lang w:val="en-GB"/>
        </w:rPr>
      </w:pPr>
    </w:p>
    <w:p w14:paraId="66D981A3" w14:textId="22EDA312" w:rsidR="006A272A" w:rsidRDefault="006A272A" w:rsidP="006A272A">
      <w:pPr>
        <w:ind w:firstLine="0"/>
        <w:jc w:val="left"/>
        <w:rPr>
          <w:b/>
          <w:bCs/>
          <w:szCs w:val="20"/>
          <w:lang w:val="en-GB"/>
        </w:rPr>
      </w:pPr>
      <w:r>
        <w:rPr>
          <w:b/>
          <w:bCs/>
          <w:szCs w:val="20"/>
          <w:lang w:val="en-GB"/>
        </w:rPr>
        <w:t>References</w:t>
      </w:r>
    </w:p>
    <w:p w14:paraId="1195BAB1" w14:textId="0575D0AB" w:rsidR="006A272A" w:rsidRDefault="00E03A07" w:rsidP="009F0E5A">
      <w:pPr>
        <w:ind w:left="210" w:hanging="210"/>
        <w:rPr>
          <w:sz w:val="16"/>
          <w:szCs w:val="16"/>
        </w:rPr>
      </w:pPr>
      <w:r w:rsidRPr="00E03A07">
        <w:rPr>
          <w:sz w:val="16"/>
          <w:szCs w:val="16"/>
          <w:lang w:val="en-GB"/>
        </w:rPr>
        <w:t>[1]</w:t>
      </w:r>
      <w:r w:rsidRPr="00E03A07">
        <w:rPr>
          <w:sz w:val="16"/>
          <w:szCs w:val="16"/>
        </w:rPr>
        <w:t xml:space="preserve"> EMSA</w:t>
      </w:r>
      <w:r w:rsidR="009F0E5A">
        <w:rPr>
          <w:sz w:val="16"/>
          <w:szCs w:val="16"/>
        </w:rPr>
        <w:t xml:space="preserve">. </w:t>
      </w:r>
      <w:r w:rsidRPr="00E03A07">
        <w:rPr>
          <w:sz w:val="16"/>
          <w:szCs w:val="16"/>
        </w:rPr>
        <w:t>Annual overview of marine casualties and incidents 2020. European Maritime Safety Agency</w:t>
      </w:r>
      <w:r w:rsidR="009F0E5A">
        <w:rPr>
          <w:sz w:val="16"/>
          <w:szCs w:val="16"/>
        </w:rPr>
        <w:t xml:space="preserve"> 2021</w:t>
      </w:r>
      <w:r w:rsidRPr="00E03A07">
        <w:rPr>
          <w:sz w:val="16"/>
          <w:szCs w:val="16"/>
        </w:rPr>
        <w:t>, Lisbon</w:t>
      </w:r>
      <w:r w:rsidR="00373457">
        <w:rPr>
          <w:sz w:val="16"/>
          <w:szCs w:val="16"/>
        </w:rPr>
        <w:t>.</w:t>
      </w:r>
    </w:p>
    <w:p w14:paraId="13D2D48A" w14:textId="663C9BBD" w:rsidR="00373457" w:rsidRPr="00373457" w:rsidRDefault="00373457" w:rsidP="009F0E5A">
      <w:pPr>
        <w:ind w:left="210" w:hanging="210"/>
        <w:rPr>
          <w:sz w:val="16"/>
          <w:szCs w:val="16"/>
        </w:rPr>
      </w:pPr>
      <w:r>
        <w:rPr>
          <w:sz w:val="16"/>
          <w:szCs w:val="16"/>
        </w:rPr>
        <w:t xml:space="preserve">[2] </w:t>
      </w:r>
      <w:r w:rsidRPr="00373457">
        <w:rPr>
          <w:sz w:val="16"/>
          <w:szCs w:val="16"/>
        </w:rPr>
        <w:t xml:space="preserve">Vassalos D, Mujeeb-Ahmed MP, Paterson D, Mauro F, Conti F. Probabilistic Damage Stability for Passenger Ships—The p-Factor Illusion and Reality. </w:t>
      </w:r>
      <w:r w:rsidRPr="00373457">
        <w:rPr>
          <w:rStyle w:val="Emphasis"/>
          <w:sz w:val="16"/>
          <w:szCs w:val="16"/>
        </w:rPr>
        <w:t>J</w:t>
      </w:r>
      <w:r>
        <w:rPr>
          <w:rStyle w:val="Emphasis"/>
          <w:sz w:val="16"/>
          <w:szCs w:val="16"/>
        </w:rPr>
        <w:t>.</w:t>
      </w:r>
      <w:r w:rsidRPr="00373457">
        <w:rPr>
          <w:rStyle w:val="Emphasis"/>
          <w:sz w:val="16"/>
          <w:szCs w:val="16"/>
        </w:rPr>
        <w:t xml:space="preserve"> Mar</w:t>
      </w:r>
      <w:r>
        <w:rPr>
          <w:rStyle w:val="Emphasis"/>
          <w:sz w:val="16"/>
          <w:szCs w:val="16"/>
        </w:rPr>
        <w:t xml:space="preserve">. </w:t>
      </w:r>
      <w:r w:rsidRPr="00373457">
        <w:rPr>
          <w:rStyle w:val="Emphasis"/>
          <w:sz w:val="16"/>
          <w:szCs w:val="16"/>
        </w:rPr>
        <w:t>Science and Eng</w:t>
      </w:r>
      <w:r>
        <w:rPr>
          <w:rStyle w:val="Emphasis"/>
          <w:sz w:val="16"/>
          <w:szCs w:val="16"/>
        </w:rPr>
        <w:t>ng.</w:t>
      </w:r>
      <w:r w:rsidRPr="00373457">
        <w:rPr>
          <w:sz w:val="16"/>
          <w:szCs w:val="16"/>
        </w:rPr>
        <w:t xml:space="preserve"> 2022; 10(3):348. </w:t>
      </w:r>
    </w:p>
    <w:p w14:paraId="58F1A9F1" w14:textId="3C10B451" w:rsidR="00E03A07" w:rsidRPr="00E03A07" w:rsidRDefault="00E03A07" w:rsidP="009F0E5A">
      <w:pPr>
        <w:ind w:firstLine="0"/>
        <w:rPr>
          <w:sz w:val="16"/>
          <w:szCs w:val="16"/>
        </w:rPr>
      </w:pPr>
      <w:r w:rsidRPr="00E03A07">
        <w:rPr>
          <w:sz w:val="16"/>
          <w:szCs w:val="16"/>
        </w:rPr>
        <w:t>[</w:t>
      </w:r>
      <w:r w:rsidR="00373457">
        <w:rPr>
          <w:sz w:val="16"/>
          <w:szCs w:val="16"/>
        </w:rPr>
        <w:t>3</w:t>
      </w:r>
      <w:r w:rsidRPr="00E03A07">
        <w:rPr>
          <w:sz w:val="16"/>
          <w:szCs w:val="16"/>
        </w:rPr>
        <w:t>]</w:t>
      </w:r>
      <w:r w:rsidR="00373457" w:rsidRPr="00373457">
        <w:rPr>
          <w:sz w:val="16"/>
          <w:szCs w:val="16"/>
        </w:rPr>
        <w:t xml:space="preserve"> IMO. SOLAS-International Convention for the Safety of Life at Sea; IMO: London, UK, 2009.</w:t>
      </w:r>
    </w:p>
    <w:p w14:paraId="13CC0C3F" w14:textId="3E2F8205" w:rsidR="00E03A07" w:rsidRPr="00E03A07" w:rsidRDefault="00E03A07" w:rsidP="009F0E5A">
      <w:pPr>
        <w:ind w:left="252" w:hanging="252"/>
        <w:rPr>
          <w:sz w:val="16"/>
          <w:szCs w:val="16"/>
        </w:rPr>
      </w:pPr>
      <w:r w:rsidRPr="00373457">
        <w:rPr>
          <w:sz w:val="16"/>
          <w:szCs w:val="16"/>
        </w:rPr>
        <w:t>[</w:t>
      </w:r>
      <w:r w:rsidR="00373457">
        <w:rPr>
          <w:sz w:val="16"/>
          <w:szCs w:val="16"/>
        </w:rPr>
        <w:t>4</w:t>
      </w:r>
      <w:r w:rsidRPr="00373457">
        <w:rPr>
          <w:sz w:val="16"/>
          <w:szCs w:val="16"/>
        </w:rPr>
        <w:t>]</w:t>
      </w:r>
      <w:r w:rsidR="00373457">
        <w:rPr>
          <w:sz w:val="16"/>
          <w:szCs w:val="16"/>
        </w:rPr>
        <w:t xml:space="preserve"> </w:t>
      </w:r>
      <w:r w:rsidRPr="00373457">
        <w:rPr>
          <w:sz w:val="16"/>
          <w:szCs w:val="16"/>
        </w:rPr>
        <w:t>Kim SJ, Kujala P, Le Sourne H, Hirdaris S et al.</w:t>
      </w:r>
      <w:r w:rsidR="009F0E5A" w:rsidRPr="00373457">
        <w:rPr>
          <w:sz w:val="16"/>
          <w:szCs w:val="16"/>
        </w:rPr>
        <w:t xml:space="preserve"> </w:t>
      </w:r>
      <w:r w:rsidRPr="00E03A07">
        <w:rPr>
          <w:sz w:val="16"/>
          <w:szCs w:val="16"/>
        </w:rPr>
        <w:t>Comparison of numerical approaches for structural response analysis of passenger ships in collisions and groundings, Marine Structures</w:t>
      </w:r>
      <w:r w:rsidR="009F0E5A">
        <w:rPr>
          <w:sz w:val="16"/>
          <w:szCs w:val="16"/>
        </w:rPr>
        <w:t xml:space="preserve"> 2022</w:t>
      </w:r>
      <w:r w:rsidRPr="00E03A07">
        <w:rPr>
          <w:sz w:val="16"/>
          <w:szCs w:val="16"/>
        </w:rPr>
        <w:t>, 81:103125.</w:t>
      </w:r>
    </w:p>
    <w:p w14:paraId="0F30ABC6" w14:textId="3F9BC3EC" w:rsidR="00E03A07" w:rsidRPr="00E03A07" w:rsidRDefault="00E03A07" w:rsidP="009F0E5A">
      <w:pPr>
        <w:ind w:left="280" w:hanging="266"/>
        <w:rPr>
          <w:sz w:val="16"/>
          <w:szCs w:val="16"/>
        </w:rPr>
      </w:pPr>
      <w:r w:rsidRPr="009F0E5A">
        <w:rPr>
          <w:sz w:val="16"/>
          <w:szCs w:val="16"/>
          <w:lang w:val="fi-FI"/>
        </w:rPr>
        <w:t>[</w:t>
      </w:r>
      <w:r w:rsidR="00373457">
        <w:rPr>
          <w:sz w:val="16"/>
          <w:szCs w:val="16"/>
          <w:lang w:val="fi-FI"/>
        </w:rPr>
        <w:t>5</w:t>
      </w:r>
      <w:r w:rsidRPr="009F0E5A">
        <w:rPr>
          <w:sz w:val="16"/>
          <w:szCs w:val="16"/>
          <w:lang w:val="fi-FI"/>
        </w:rPr>
        <w:t>]</w:t>
      </w:r>
      <w:r w:rsidR="00373457">
        <w:rPr>
          <w:sz w:val="16"/>
          <w:szCs w:val="16"/>
          <w:lang w:val="fi-FI"/>
        </w:rPr>
        <w:t xml:space="preserve"> </w:t>
      </w:r>
      <w:r w:rsidRPr="009F0E5A">
        <w:rPr>
          <w:rStyle w:val="authors"/>
          <w:sz w:val="16"/>
          <w:szCs w:val="16"/>
          <w:lang w:val="fi-FI"/>
        </w:rPr>
        <w:t>Conti F, Vassalos D, Kujala P, Lindroth D, Hirdaris S</w:t>
      </w:r>
      <w:r w:rsidRPr="009F0E5A">
        <w:rPr>
          <w:sz w:val="16"/>
          <w:szCs w:val="16"/>
          <w:lang w:val="fi-FI"/>
        </w:rPr>
        <w:t xml:space="preserve"> </w:t>
      </w:r>
      <w:r w:rsidR="009F0E5A" w:rsidRPr="009F0E5A">
        <w:rPr>
          <w:sz w:val="16"/>
          <w:szCs w:val="16"/>
          <w:lang w:val="fi-FI"/>
        </w:rPr>
        <w:t xml:space="preserve">et al. </w:t>
      </w:r>
      <w:r w:rsidRPr="00E03A07">
        <w:rPr>
          <w:rStyle w:val="arttitle"/>
          <w:sz w:val="16"/>
          <w:szCs w:val="16"/>
        </w:rPr>
        <w:t>A comparative method for scaling SOLAS collision damage distributions based on ship crashworthiness – application to probabilistic damage stability analysis of a passenger ship,</w:t>
      </w:r>
      <w:r w:rsidRPr="00E03A07">
        <w:rPr>
          <w:sz w:val="16"/>
          <w:szCs w:val="16"/>
        </w:rPr>
        <w:t xml:space="preserve"> </w:t>
      </w:r>
      <w:r w:rsidRPr="00E03A07">
        <w:rPr>
          <w:rStyle w:val="serialtitle"/>
          <w:sz w:val="16"/>
          <w:szCs w:val="16"/>
        </w:rPr>
        <w:t>Ships and Offshore Structures</w:t>
      </w:r>
      <w:r w:rsidR="009F0E5A">
        <w:rPr>
          <w:rStyle w:val="serialtitle"/>
          <w:sz w:val="16"/>
          <w:szCs w:val="16"/>
        </w:rPr>
        <w:t xml:space="preserve"> 2021</w:t>
      </w:r>
      <w:r w:rsidRPr="00E03A07">
        <w:rPr>
          <w:rStyle w:val="serialtitle"/>
          <w:sz w:val="16"/>
          <w:szCs w:val="16"/>
        </w:rPr>
        <w:t>,</w:t>
      </w:r>
      <w:r w:rsidRPr="00E03A07">
        <w:rPr>
          <w:sz w:val="16"/>
          <w:szCs w:val="16"/>
        </w:rPr>
        <w:t xml:space="preserve"> doi</w:t>
      </w:r>
      <w:r w:rsidRPr="00E03A07">
        <w:rPr>
          <w:rStyle w:val="doilink"/>
          <w:sz w:val="16"/>
          <w:szCs w:val="16"/>
        </w:rPr>
        <w:t xml:space="preserve">: </w:t>
      </w:r>
      <w:hyperlink r:id="rId15" w:history="1">
        <w:r w:rsidRPr="00E03A07">
          <w:rPr>
            <w:rStyle w:val="Hyperlink"/>
            <w:sz w:val="16"/>
            <w:szCs w:val="16"/>
          </w:rPr>
          <w:t>10.1080/17445302.2021.1932023</w:t>
        </w:r>
      </w:hyperlink>
      <w:r w:rsidR="009F0E5A">
        <w:rPr>
          <w:rStyle w:val="doilink"/>
          <w:sz w:val="16"/>
          <w:szCs w:val="16"/>
        </w:rPr>
        <w:t>.</w:t>
      </w:r>
      <w:r w:rsidRPr="00E03A07">
        <w:rPr>
          <w:sz w:val="16"/>
          <w:szCs w:val="16"/>
        </w:rPr>
        <w:t xml:space="preserve"> </w:t>
      </w:r>
    </w:p>
    <w:p w14:paraId="4703A7EB" w14:textId="55B800DC" w:rsidR="00E03A07" w:rsidRDefault="00E03A07" w:rsidP="009F0E5A">
      <w:pPr>
        <w:ind w:left="210" w:hanging="210"/>
        <w:rPr>
          <w:sz w:val="16"/>
          <w:szCs w:val="16"/>
        </w:rPr>
      </w:pPr>
      <w:r w:rsidRPr="00E03A07">
        <w:rPr>
          <w:sz w:val="16"/>
          <w:szCs w:val="16"/>
        </w:rPr>
        <w:t>[</w:t>
      </w:r>
      <w:r w:rsidR="00373457">
        <w:rPr>
          <w:sz w:val="16"/>
          <w:szCs w:val="16"/>
        </w:rPr>
        <w:t>6</w:t>
      </w:r>
      <w:r w:rsidRPr="00E03A07">
        <w:rPr>
          <w:sz w:val="16"/>
          <w:szCs w:val="16"/>
        </w:rPr>
        <w:t>]</w:t>
      </w:r>
      <w:r w:rsidR="00373457">
        <w:rPr>
          <w:sz w:val="16"/>
          <w:szCs w:val="16"/>
        </w:rPr>
        <w:t xml:space="preserve"> </w:t>
      </w:r>
      <w:r w:rsidRPr="00E03A07">
        <w:rPr>
          <w:sz w:val="16"/>
          <w:szCs w:val="16"/>
        </w:rPr>
        <w:t xml:space="preserve">Zhang </w:t>
      </w:r>
      <w:r w:rsidR="009F0E5A">
        <w:rPr>
          <w:sz w:val="16"/>
          <w:szCs w:val="16"/>
        </w:rPr>
        <w:t xml:space="preserve">M, </w:t>
      </w:r>
      <w:r w:rsidRPr="00E03A07">
        <w:rPr>
          <w:sz w:val="16"/>
          <w:szCs w:val="16"/>
        </w:rPr>
        <w:t>Conti</w:t>
      </w:r>
      <w:r w:rsidR="009F0E5A">
        <w:rPr>
          <w:sz w:val="16"/>
          <w:szCs w:val="16"/>
        </w:rPr>
        <w:t xml:space="preserve"> F, </w:t>
      </w:r>
      <w:r w:rsidRPr="00E03A07">
        <w:rPr>
          <w:sz w:val="16"/>
          <w:szCs w:val="16"/>
        </w:rPr>
        <w:t>Hirdaris</w:t>
      </w:r>
      <w:r w:rsidR="009F0E5A">
        <w:rPr>
          <w:sz w:val="16"/>
          <w:szCs w:val="16"/>
        </w:rPr>
        <w:t xml:space="preserve"> S et al.</w:t>
      </w:r>
      <w:r w:rsidRPr="00E03A07">
        <w:rPr>
          <w:sz w:val="16"/>
          <w:szCs w:val="16"/>
        </w:rPr>
        <w:t xml:space="preserve"> A method for the direct assessment of ship collision damage and flooding risk in real conditions,</w:t>
      </w:r>
      <w:r w:rsidR="009F0E5A">
        <w:rPr>
          <w:sz w:val="16"/>
          <w:szCs w:val="16"/>
        </w:rPr>
        <w:t xml:space="preserve"> </w:t>
      </w:r>
      <w:r w:rsidRPr="00E03A07">
        <w:rPr>
          <w:sz w:val="16"/>
          <w:szCs w:val="16"/>
        </w:rPr>
        <w:t>Ocean Engineering</w:t>
      </w:r>
      <w:r w:rsidR="009F0E5A">
        <w:rPr>
          <w:sz w:val="16"/>
          <w:szCs w:val="16"/>
        </w:rPr>
        <w:t xml:space="preserve"> 2021</w:t>
      </w:r>
      <w:r w:rsidRPr="00E03A07">
        <w:rPr>
          <w:sz w:val="16"/>
          <w:szCs w:val="16"/>
        </w:rPr>
        <w:t>,237</w:t>
      </w:r>
      <w:r w:rsidR="009F0E5A">
        <w:rPr>
          <w:sz w:val="16"/>
          <w:szCs w:val="16"/>
        </w:rPr>
        <w:t>:</w:t>
      </w:r>
      <w:r w:rsidRPr="00E03A07">
        <w:rPr>
          <w:sz w:val="16"/>
          <w:szCs w:val="16"/>
        </w:rPr>
        <w:t>109605</w:t>
      </w:r>
      <w:r w:rsidR="009F0E5A">
        <w:rPr>
          <w:sz w:val="16"/>
          <w:szCs w:val="16"/>
        </w:rPr>
        <w:t>.</w:t>
      </w:r>
    </w:p>
    <w:p w14:paraId="75C0CCD1" w14:textId="007E5B53" w:rsidR="009F0E5A" w:rsidRDefault="009F0E5A" w:rsidP="009F0E5A">
      <w:pPr>
        <w:ind w:left="210" w:hanging="210"/>
        <w:rPr>
          <w:sz w:val="16"/>
          <w:szCs w:val="16"/>
        </w:rPr>
      </w:pPr>
    </w:p>
    <w:p w14:paraId="0A823A20" w14:textId="40FC8F3B" w:rsidR="009F0E5A" w:rsidRDefault="009F0E5A" w:rsidP="009F0E5A">
      <w:pPr>
        <w:ind w:left="210" w:hanging="210"/>
        <w:rPr>
          <w:sz w:val="16"/>
          <w:szCs w:val="16"/>
        </w:rPr>
      </w:pPr>
    </w:p>
    <w:p w14:paraId="340F92DA" w14:textId="54819135" w:rsidR="009F0E5A" w:rsidRDefault="009F0E5A" w:rsidP="009F0E5A">
      <w:pPr>
        <w:ind w:left="210" w:hanging="210"/>
        <w:rPr>
          <w:sz w:val="16"/>
          <w:szCs w:val="16"/>
        </w:rPr>
      </w:pPr>
    </w:p>
    <w:p w14:paraId="57819F76" w14:textId="77777777" w:rsidR="009F0E5A" w:rsidRPr="00E03A07" w:rsidRDefault="009F0E5A" w:rsidP="009F0E5A">
      <w:pPr>
        <w:ind w:firstLine="0"/>
        <w:rPr>
          <w:sz w:val="16"/>
          <w:szCs w:val="16"/>
        </w:rPr>
      </w:pPr>
    </w:p>
    <w:sectPr w:rsidR="009F0E5A" w:rsidRPr="00E03A07" w:rsidSect="00206080">
      <w:pgSz w:w="11907" w:h="16840" w:code="9"/>
      <w:pgMar w:top="2381" w:right="2438" w:bottom="3119" w:left="2410" w:header="851"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C48D3C" w14:textId="77777777" w:rsidR="0006058B" w:rsidRDefault="0006058B">
      <w:r>
        <w:separator/>
      </w:r>
    </w:p>
  </w:endnote>
  <w:endnote w:type="continuationSeparator" w:id="0">
    <w:p w14:paraId="0ED090CA" w14:textId="77777777" w:rsidR="0006058B" w:rsidRDefault="00060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altName w:val="Nimbus Roman No9 L"/>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Hoofdtekst)">
    <w:altName w:val="Calibri"/>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A931AE" w14:textId="77777777" w:rsidR="0006058B" w:rsidRDefault="0006058B">
      <w:r>
        <w:separator/>
      </w:r>
    </w:p>
  </w:footnote>
  <w:footnote w:type="continuationSeparator" w:id="0">
    <w:p w14:paraId="6A0C9B55" w14:textId="77777777" w:rsidR="0006058B" w:rsidRDefault="0006058B">
      <w:r>
        <w:continuationSeparator/>
      </w:r>
    </w:p>
  </w:footnote>
  <w:footnote w:id="1">
    <w:p w14:paraId="093C3CDC" w14:textId="49320D15" w:rsidR="00B05D6E" w:rsidRPr="009F6D34" w:rsidRDefault="00B05D6E">
      <w:pPr>
        <w:pStyle w:val="FootnoteText"/>
        <w:rPr>
          <w:rStyle w:val="FootnoteChar"/>
          <w:szCs w:val="16"/>
          <w:lang w:val="it-IT"/>
        </w:rPr>
      </w:pPr>
      <w:r>
        <w:rPr>
          <w:rStyle w:val="FootnoteReference"/>
        </w:rPr>
        <w:footnoteRef/>
      </w:r>
      <w:r>
        <w:rPr>
          <w:rStyle w:val="FootnoteChar"/>
        </w:rPr>
        <w:t xml:space="preserve"> Corresponding Author</w:t>
      </w:r>
      <w:r w:rsidR="00624A7E">
        <w:rPr>
          <w:rStyle w:val="FootnoteChar"/>
          <w:szCs w:val="16"/>
        </w:rPr>
        <w:t xml:space="preserve"> </w:t>
      </w:r>
      <w:r w:rsidR="00666C7A">
        <w:rPr>
          <w:rStyle w:val="FootnoteChar"/>
          <w:szCs w:val="16"/>
        </w:rPr>
        <w:t xml:space="preserve">– </w:t>
      </w:r>
      <w:r w:rsidR="00756326">
        <w:rPr>
          <w:rStyle w:val="FootnoteChar"/>
          <w:szCs w:val="16"/>
        </w:rPr>
        <w:t>M</w:t>
      </w:r>
      <w:r w:rsidR="00666C7A">
        <w:rPr>
          <w:rStyle w:val="FootnoteChar"/>
          <w:szCs w:val="16"/>
        </w:rPr>
        <w:t>arine R&amp;D director, RINA Services</w:t>
      </w:r>
      <w:r w:rsidR="009F6D34">
        <w:rPr>
          <w:rStyle w:val="FootnoteChar"/>
          <w:szCs w:val="16"/>
        </w:rPr>
        <w:t>.</w:t>
      </w:r>
      <w:r w:rsidR="00666C7A">
        <w:rPr>
          <w:rStyle w:val="FootnoteChar"/>
          <w:szCs w:val="16"/>
        </w:rPr>
        <w:t xml:space="preserve"> </w:t>
      </w:r>
      <w:r w:rsidR="006161C2" w:rsidRPr="006161C2">
        <w:rPr>
          <w:sz w:val="16"/>
          <w:szCs w:val="16"/>
          <w:lang w:val="en-GB"/>
        </w:rPr>
        <w:t xml:space="preserve"> </w:t>
      </w:r>
      <w:r w:rsidR="006161C2" w:rsidRPr="009F6D34">
        <w:rPr>
          <w:sz w:val="16"/>
          <w:szCs w:val="16"/>
          <w:lang w:val="it-IT"/>
        </w:rPr>
        <w:t xml:space="preserve">E-mail: </w:t>
      </w:r>
      <w:r w:rsidR="00756326" w:rsidRPr="009F6D34">
        <w:rPr>
          <w:sz w:val="16"/>
          <w:szCs w:val="16"/>
          <w:lang w:val="it-IT"/>
        </w:rPr>
        <w:t>alessandro.maccari</w:t>
      </w:r>
      <w:r w:rsidR="006161C2" w:rsidRPr="009F6D34">
        <w:rPr>
          <w:sz w:val="16"/>
          <w:szCs w:val="16"/>
          <w:lang w:val="it-IT"/>
        </w:rPr>
        <w:t>@</w:t>
      </w:r>
      <w:r w:rsidR="00756326" w:rsidRPr="009F6D34">
        <w:rPr>
          <w:sz w:val="16"/>
          <w:szCs w:val="16"/>
          <w:lang w:val="it-IT"/>
        </w:rPr>
        <w:t>rina.org</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26D62FAC"/>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FFFFFF88"/>
    <w:multiLevelType w:val="singleLevel"/>
    <w:tmpl w:val="36EC8536"/>
    <w:lvl w:ilvl="0">
      <w:start w:val="1"/>
      <w:numFmt w:val="decimal"/>
      <w:pStyle w:val="ListNumber"/>
      <w:lvlText w:val="%1."/>
      <w:lvlJc w:val="left"/>
      <w:pPr>
        <w:tabs>
          <w:tab w:val="num" w:pos="360"/>
        </w:tabs>
        <w:ind w:left="360" w:hanging="360"/>
      </w:pPr>
    </w:lvl>
  </w:abstractNum>
  <w:abstractNum w:abstractNumId="2" w15:restartNumberingAfterBreak="0">
    <w:nsid w:val="00FD0DC7"/>
    <w:multiLevelType w:val="hybridMultilevel"/>
    <w:tmpl w:val="8F08B610"/>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3" w15:restartNumberingAfterBreak="0">
    <w:nsid w:val="16B12F19"/>
    <w:multiLevelType w:val="hybridMultilevel"/>
    <w:tmpl w:val="CE8EAFFA"/>
    <w:lvl w:ilvl="0" w:tplc="7C347290">
      <w:start w:val="1"/>
      <w:numFmt w:val="lowerLetter"/>
      <w:lvlText w:val="(%1)"/>
      <w:lvlJc w:val="left"/>
      <w:pPr>
        <w:ind w:left="717" w:hanging="360"/>
      </w:pPr>
      <w:rPr>
        <w:rFonts w:hint="default"/>
        <w:sz w:val="16"/>
        <w:szCs w:val="16"/>
      </w:rPr>
    </w:lvl>
    <w:lvl w:ilvl="1" w:tplc="10000019" w:tentative="1">
      <w:start w:val="1"/>
      <w:numFmt w:val="lowerLetter"/>
      <w:lvlText w:val="%2."/>
      <w:lvlJc w:val="left"/>
      <w:pPr>
        <w:ind w:left="1437" w:hanging="360"/>
      </w:pPr>
    </w:lvl>
    <w:lvl w:ilvl="2" w:tplc="1000001B" w:tentative="1">
      <w:start w:val="1"/>
      <w:numFmt w:val="lowerRoman"/>
      <w:lvlText w:val="%3."/>
      <w:lvlJc w:val="right"/>
      <w:pPr>
        <w:ind w:left="2157" w:hanging="180"/>
      </w:pPr>
    </w:lvl>
    <w:lvl w:ilvl="3" w:tplc="1000000F" w:tentative="1">
      <w:start w:val="1"/>
      <w:numFmt w:val="decimal"/>
      <w:lvlText w:val="%4."/>
      <w:lvlJc w:val="left"/>
      <w:pPr>
        <w:ind w:left="2877" w:hanging="360"/>
      </w:pPr>
    </w:lvl>
    <w:lvl w:ilvl="4" w:tplc="10000019" w:tentative="1">
      <w:start w:val="1"/>
      <w:numFmt w:val="lowerLetter"/>
      <w:lvlText w:val="%5."/>
      <w:lvlJc w:val="left"/>
      <w:pPr>
        <w:ind w:left="3597" w:hanging="360"/>
      </w:pPr>
    </w:lvl>
    <w:lvl w:ilvl="5" w:tplc="1000001B" w:tentative="1">
      <w:start w:val="1"/>
      <w:numFmt w:val="lowerRoman"/>
      <w:lvlText w:val="%6."/>
      <w:lvlJc w:val="right"/>
      <w:pPr>
        <w:ind w:left="4317" w:hanging="180"/>
      </w:pPr>
    </w:lvl>
    <w:lvl w:ilvl="6" w:tplc="1000000F" w:tentative="1">
      <w:start w:val="1"/>
      <w:numFmt w:val="decimal"/>
      <w:lvlText w:val="%7."/>
      <w:lvlJc w:val="left"/>
      <w:pPr>
        <w:ind w:left="5037" w:hanging="360"/>
      </w:pPr>
    </w:lvl>
    <w:lvl w:ilvl="7" w:tplc="10000019" w:tentative="1">
      <w:start w:val="1"/>
      <w:numFmt w:val="lowerLetter"/>
      <w:lvlText w:val="%8."/>
      <w:lvlJc w:val="left"/>
      <w:pPr>
        <w:ind w:left="5757" w:hanging="360"/>
      </w:pPr>
    </w:lvl>
    <w:lvl w:ilvl="8" w:tplc="1000001B" w:tentative="1">
      <w:start w:val="1"/>
      <w:numFmt w:val="lowerRoman"/>
      <w:lvlText w:val="%9."/>
      <w:lvlJc w:val="right"/>
      <w:pPr>
        <w:ind w:left="6477" w:hanging="180"/>
      </w:pPr>
    </w:lvl>
  </w:abstractNum>
  <w:abstractNum w:abstractNumId="4" w15:restartNumberingAfterBreak="0">
    <w:nsid w:val="1BC17BD8"/>
    <w:multiLevelType w:val="hybridMultilevel"/>
    <w:tmpl w:val="BDC81696"/>
    <w:lvl w:ilvl="0" w:tplc="FE522E9A">
      <w:start w:val="1"/>
      <w:numFmt w:val="decimal"/>
      <w:lvlText w:val="%1."/>
      <w:lvlJc w:val="left"/>
      <w:pPr>
        <w:ind w:left="720" w:hanging="360"/>
      </w:pPr>
      <w:rPr>
        <w:rFonts w:hint="default"/>
        <w:b/>
        <w:bCs/>
        <w:sz w:val="20"/>
        <w:szCs w:val="20"/>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5" w15:restartNumberingAfterBreak="0">
    <w:nsid w:val="352A3E80"/>
    <w:multiLevelType w:val="hybridMultilevel"/>
    <w:tmpl w:val="B6B4AD6A"/>
    <w:lvl w:ilvl="0" w:tplc="DCF2C5C4">
      <w:start w:val="1"/>
      <w:numFmt w:val="bullet"/>
      <w:pStyle w:val="OPSOMMING"/>
      <w:lvlText w:val=""/>
      <w:lvlJc w:val="left"/>
      <w:pPr>
        <w:ind w:left="360" w:hanging="360"/>
      </w:pPr>
      <w:rPr>
        <w:rFonts w:ascii="Symbol" w:hAnsi="Symbol" w:hint="default"/>
        <w:color w:val="269CAE"/>
      </w:rPr>
    </w:lvl>
    <w:lvl w:ilvl="1" w:tplc="04090003" w:tentative="1">
      <w:start w:val="1"/>
      <w:numFmt w:val="bullet"/>
      <w:lvlText w:val="o"/>
      <w:lvlJc w:val="left"/>
      <w:pPr>
        <w:ind w:left="1007" w:hanging="360"/>
      </w:pPr>
      <w:rPr>
        <w:rFonts w:ascii="Courier New" w:hAnsi="Courier New" w:cs="Courier New" w:hint="default"/>
      </w:rPr>
    </w:lvl>
    <w:lvl w:ilvl="2" w:tplc="04090005" w:tentative="1">
      <w:start w:val="1"/>
      <w:numFmt w:val="bullet"/>
      <w:lvlText w:val=""/>
      <w:lvlJc w:val="left"/>
      <w:pPr>
        <w:ind w:left="1727" w:hanging="360"/>
      </w:pPr>
      <w:rPr>
        <w:rFonts w:ascii="Wingdings" w:hAnsi="Wingdings" w:hint="default"/>
      </w:rPr>
    </w:lvl>
    <w:lvl w:ilvl="3" w:tplc="04090001" w:tentative="1">
      <w:start w:val="1"/>
      <w:numFmt w:val="bullet"/>
      <w:lvlText w:val=""/>
      <w:lvlJc w:val="left"/>
      <w:pPr>
        <w:ind w:left="2447" w:hanging="360"/>
      </w:pPr>
      <w:rPr>
        <w:rFonts w:ascii="Symbol" w:hAnsi="Symbol" w:hint="default"/>
      </w:rPr>
    </w:lvl>
    <w:lvl w:ilvl="4" w:tplc="04090003" w:tentative="1">
      <w:start w:val="1"/>
      <w:numFmt w:val="bullet"/>
      <w:lvlText w:val="o"/>
      <w:lvlJc w:val="left"/>
      <w:pPr>
        <w:ind w:left="3167" w:hanging="360"/>
      </w:pPr>
      <w:rPr>
        <w:rFonts w:ascii="Courier New" w:hAnsi="Courier New" w:cs="Courier New" w:hint="default"/>
      </w:rPr>
    </w:lvl>
    <w:lvl w:ilvl="5" w:tplc="04090005" w:tentative="1">
      <w:start w:val="1"/>
      <w:numFmt w:val="bullet"/>
      <w:lvlText w:val=""/>
      <w:lvlJc w:val="left"/>
      <w:pPr>
        <w:ind w:left="3887" w:hanging="360"/>
      </w:pPr>
      <w:rPr>
        <w:rFonts w:ascii="Wingdings" w:hAnsi="Wingdings" w:hint="default"/>
      </w:rPr>
    </w:lvl>
    <w:lvl w:ilvl="6" w:tplc="04090001" w:tentative="1">
      <w:start w:val="1"/>
      <w:numFmt w:val="bullet"/>
      <w:lvlText w:val=""/>
      <w:lvlJc w:val="left"/>
      <w:pPr>
        <w:ind w:left="4607" w:hanging="360"/>
      </w:pPr>
      <w:rPr>
        <w:rFonts w:ascii="Symbol" w:hAnsi="Symbol" w:hint="default"/>
      </w:rPr>
    </w:lvl>
    <w:lvl w:ilvl="7" w:tplc="04090003" w:tentative="1">
      <w:start w:val="1"/>
      <w:numFmt w:val="bullet"/>
      <w:lvlText w:val="o"/>
      <w:lvlJc w:val="left"/>
      <w:pPr>
        <w:ind w:left="5327" w:hanging="360"/>
      </w:pPr>
      <w:rPr>
        <w:rFonts w:ascii="Courier New" w:hAnsi="Courier New" w:cs="Courier New" w:hint="default"/>
      </w:rPr>
    </w:lvl>
    <w:lvl w:ilvl="8" w:tplc="04090005" w:tentative="1">
      <w:start w:val="1"/>
      <w:numFmt w:val="bullet"/>
      <w:lvlText w:val=""/>
      <w:lvlJc w:val="left"/>
      <w:pPr>
        <w:ind w:left="6047" w:hanging="360"/>
      </w:pPr>
      <w:rPr>
        <w:rFonts w:ascii="Wingdings" w:hAnsi="Wingdings" w:hint="default"/>
      </w:rPr>
    </w:lvl>
  </w:abstractNum>
  <w:abstractNum w:abstractNumId="6" w15:restartNumberingAfterBreak="0">
    <w:nsid w:val="3A9C3DCB"/>
    <w:multiLevelType w:val="hybridMultilevel"/>
    <w:tmpl w:val="6CC89456"/>
    <w:lvl w:ilvl="0" w:tplc="10000001">
      <w:start w:val="1"/>
      <w:numFmt w:val="bullet"/>
      <w:lvlText w:val=""/>
      <w:lvlJc w:val="left"/>
      <w:pPr>
        <w:tabs>
          <w:tab w:val="num" w:pos="1288"/>
        </w:tabs>
        <w:ind w:left="1288" w:hanging="360"/>
      </w:pPr>
      <w:rPr>
        <w:rFonts w:ascii="Symbol" w:hAnsi="Symbol" w:hint="default"/>
      </w:rPr>
    </w:lvl>
    <w:lvl w:ilvl="1" w:tplc="FFFFFFFF" w:tentative="1">
      <w:start w:val="1"/>
      <w:numFmt w:val="bullet"/>
      <w:lvlText w:val="•"/>
      <w:lvlJc w:val="left"/>
      <w:pPr>
        <w:tabs>
          <w:tab w:val="num" w:pos="2008"/>
        </w:tabs>
        <w:ind w:left="2008" w:hanging="360"/>
      </w:pPr>
      <w:rPr>
        <w:rFonts w:ascii="Arial" w:hAnsi="Arial" w:hint="default"/>
      </w:rPr>
    </w:lvl>
    <w:lvl w:ilvl="2" w:tplc="FFFFFFFF" w:tentative="1">
      <w:start w:val="1"/>
      <w:numFmt w:val="bullet"/>
      <w:lvlText w:val="•"/>
      <w:lvlJc w:val="left"/>
      <w:pPr>
        <w:tabs>
          <w:tab w:val="num" w:pos="2728"/>
        </w:tabs>
        <w:ind w:left="2728" w:hanging="360"/>
      </w:pPr>
      <w:rPr>
        <w:rFonts w:ascii="Arial" w:hAnsi="Arial" w:hint="default"/>
      </w:rPr>
    </w:lvl>
    <w:lvl w:ilvl="3" w:tplc="FFFFFFFF" w:tentative="1">
      <w:start w:val="1"/>
      <w:numFmt w:val="bullet"/>
      <w:lvlText w:val="•"/>
      <w:lvlJc w:val="left"/>
      <w:pPr>
        <w:tabs>
          <w:tab w:val="num" w:pos="3448"/>
        </w:tabs>
        <w:ind w:left="3448" w:hanging="360"/>
      </w:pPr>
      <w:rPr>
        <w:rFonts w:ascii="Arial" w:hAnsi="Arial" w:hint="default"/>
      </w:rPr>
    </w:lvl>
    <w:lvl w:ilvl="4" w:tplc="FFFFFFFF" w:tentative="1">
      <w:start w:val="1"/>
      <w:numFmt w:val="bullet"/>
      <w:lvlText w:val="•"/>
      <w:lvlJc w:val="left"/>
      <w:pPr>
        <w:tabs>
          <w:tab w:val="num" w:pos="4168"/>
        </w:tabs>
        <w:ind w:left="4168" w:hanging="360"/>
      </w:pPr>
      <w:rPr>
        <w:rFonts w:ascii="Arial" w:hAnsi="Arial" w:hint="default"/>
      </w:rPr>
    </w:lvl>
    <w:lvl w:ilvl="5" w:tplc="FFFFFFFF" w:tentative="1">
      <w:start w:val="1"/>
      <w:numFmt w:val="bullet"/>
      <w:lvlText w:val="•"/>
      <w:lvlJc w:val="left"/>
      <w:pPr>
        <w:tabs>
          <w:tab w:val="num" w:pos="4888"/>
        </w:tabs>
        <w:ind w:left="4888" w:hanging="360"/>
      </w:pPr>
      <w:rPr>
        <w:rFonts w:ascii="Arial" w:hAnsi="Arial" w:hint="default"/>
      </w:rPr>
    </w:lvl>
    <w:lvl w:ilvl="6" w:tplc="FFFFFFFF" w:tentative="1">
      <w:start w:val="1"/>
      <w:numFmt w:val="bullet"/>
      <w:lvlText w:val="•"/>
      <w:lvlJc w:val="left"/>
      <w:pPr>
        <w:tabs>
          <w:tab w:val="num" w:pos="5608"/>
        </w:tabs>
        <w:ind w:left="5608" w:hanging="360"/>
      </w:pPr>
      <w:rPr>
        <w:rFonts w:ascii="Arial" w:hAnsi="Arial" w:hint="default"/>
      </w:rPr>
    </w:lvl>
    <w:lvl w:ilvl="7" w:tplc="FFFFFFFF" w:tentative="1">
      <w:start w:val="1"/>
      <w:numFmt w:val="bullet"/>
      <w:lvlText w:val="•"/>
      <w:lvlJc w:val="left"/>
      <w:pPr>
        <w:tabs>
          <w:tab w:val="num" w:pos="6328"/>
        </w:tabs>
        <w:ind w:left="6328" w:hanging="360"/>
      </w:pPr>
      <w:rPr>
        <w:rFonts w:ascii="Arial" w:hAnsi="Arial" w:hint="default"/>
      </w:rPr>
    </w:lvl>
    <w:lvl w:ilvl="8" w:tplc="FFFFFFFF" w:tentative="1">
      <w:start w:val="1"/>
      <w:numFmt w:val="bullet"/>
      <w:lvlText w:val="•"/>
      <w:lvlJc w:val="left"/>
      <w:pPr>
        <w:tabs>
          <w:tab w:val="num" w:pos="7048"/>
        </w:tabs>
        <w:ind w:left="7048" w:hanging="360"/>
      </w:pPr>
      <w:rPr>
        <w:rFonts w:ascii="Arial" w:hAnsi="Arial" w:hint="default"/>
      </w:rPr>
    </w:lvl>
  </w:abstractNum>
  <w:abstractNum w:abstractNumId="7" w15:restartNumberingAfterBreak="0">
    <w:nsid w:val="3EE93301"/>
    <w:multiLevelType w:val="hybridMultilevel"/>
    <w:tmpl w:val="CDAA79AC"/>
    <w:lvl w:ilvl="0" w:tplc="10000001">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49C54CA3"/>
    <w:multiLevelType w:val="hybridMultilevel"/>
    <w:tmpl w:val="BCAA5E4A"/>
    <w:lvl w:ilvl="0" w:tplc="3FB0BC8E">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50BB51F1"/>
    <w:multiLevelType w:val="multilevel"/>
    <w:tmpl w:val="D558440E"/>
    <w:lvl w:ilvl="0">
      <w:start w:val="1"/>
      <w:numFmt w:val="bullet"/>
      <w:pStyle w:val="Listbul"/>
      <w:lvlText w:val=""/>
      <w:lvlJc w:val="left"/>
      <w:pPr>
        <w:tabs>
          <w:tab w:val="num" w:pos="717"/>
        </w:tabs>
        <w:ind w:left="717" w:hanging="360"/>
      </w:pPr>
      <w:rPr>
        <w:rFonts w:ascii="Symbol" w:hAnsi="Symbol" w:hint="default"/>
      </w:rPr>
    </w:lvl>
    <w:lvl w:ilvl="1">
      <w:start w:val="1"/>
      <w:numFmt w:val="bullet"/>
      <w:lvlText w:val="o"/>
      <w:lvlJc w:val="left"/>
      <w:pPr>
        <w:tabs>
          <w:tab w:val="num" w:pos="1097"/>
        </w:tabs>
        <w:ind w:left="1077" w:hanging="340"/>
      </w:pPr>
      <w:rPr>
        <w:rFonts w:hint="default"/>
      </w:rPr>
    </w:lvl>
    <w:lvl w:ilvl="2">
      <w:start w:val="1"/>
      <w:numFmt w:val="bullet"/>
      <w:lvlText w:val=""/>
      <w:lvlJc w:val="left"/>
      <w:pPr>
        <w:tabs>
          <w:tab w:val="num" w:pos="2157"/>
        </w:tabs>
        <w:ind w:left="2157" w:hanging="360"/>
      </w:pPr>
      <w:rPr>
        <w:rFonts w:ascii="Wingdings" w:hAnsi="Wingdings" w:cs="Wingdings" w:hint="default"/>
      </w:rPr>
    </w:lvl>
    <w:lvl w:ilvl="3">
      <w:start w:val="1"/>
      <w:numFmt w:val="bullet"/>
      <w:lvlText w:val=""/>
      <w:lvlJc w:val="left"/>
      <w:pPr>
        <w:tabs>
          <w:tab w:val="num" w:pos="2877"/>
        </w:tabs>
        <w:ind w:left="2877" w:hanging="360"/>
      </w:pPr>
      <w:rPr>
        <w:rFonts w:ascii="Symbol" w:hAnsi="Symbol" w:cs="Symbol" w:hint="default"/>
      </w:rPr>
    </w:lvl>
    <w:lvl w:ilvl="4">
      <w:start w:val="1"/>
      <w:numFmt w:val="bullet"/>
      <w:lvlText w:val="o"/>
      <w:lvlJc w:val="left"/>
      <w:pPr>
        <w:tabs>
          <w:tab w:val="num" w:pos="3597"/>
        </w:tabs>
        <w:ind w:left="3597" w:hanging="360"/>
      </w:pPr>
      <w:rPr>
        <w:rFonts w:ascii="Courier New" w:hAnsi="Courier New" w:cs="Courier New" w:hint="default"/>
      </w:rPr>
    </w:lvl>
    <w:lvl w:ilvl="5">
      <w:start w:val="1"/>
      <w:numFmt w:val="bullet"/>
      <w:lvlText w:val=""/>
      <w:lvlJc w:val="left"/>
      <w:pPr>
        <w:tabs>
          <w:tab w:val="num" w:pos="4317"/>
        </w:tabs>
        <w:ind w:left="4317" w:hanging="360"/>
      </w:pPr>
      <w:rPr>
        <w:rFonts w:ascii="Wingdings" w:hAnsi="Wingdings" w:cs="Wingdings" w:hint="default"/>
      </w:rPr>
    </w:lvl>
    <w:lvl w:ilvl="6">
      <w:start w:val="1"/>
      <w:numFmt w:val="bullet"/>
      <w:lvlText w:val=""/>
      <w:lvlJc w:val="left"/>
      <w:pPr>
        <w:tabs>
          <w:tab w:val="num" w:pos="5037"/>
        </w:tabs>
        <w:ind w:left="5037" w:hanging="360"/>
      </w:pPr>
      <w:rPr>
        <w:rFonts w:ascii="Symbol" w:hAnsi="Symbol" w:cs="Symbol" w:hint="default"/>
      </w:rPr>
    </w:lvl>
    <w:lvl w:ilvl="7">
      <w:start w:val="1"/>
      <w:numFmt w:val="bullet"/>
      <w:lvlText w:val="o"/>
      <w:lvlJc w:val="left"/>
      <w:pPr>
        <w:tabs>
          <w:tab w:val="num" w:pos="5757"/>
        </w:tabs>
        <w:ind w:left="5757" w:hanging="360"/>
      </w:pPr>
      <w:rPr>
        <w:rFonts w:ascii="Courier New" w:hAnsi="Courier New" w:cs="Courier New" w:hint="default"/>
      </w:rPr>
    </w:lvl>
    <w:lvl w:ilvl="8">
      <w:start w:val="1"/>
      <w:numFmt w:val="bullet"/>
      <w:lvlText w:val=""/>
      <w:lvlJc w:val="left"/>
      <w:pPr>
        <w:tabs>
          <w:tab w:val="num" w:pos="6477"/>
        </w:tabs>
        <w:ind w:left="6477" w:hanging="360"/>
      </w:pPr>
      <w:rPr>
        <w:rFonts w:ascii="Wingdings" w:hAnsi="Wingdings" w:cs="Wingdings" w:hint="default"/>
      </w:rPr>
    </w:lvl>
  </w:abstractNum>
  <w:abstractNum w:abstractNumId="10" w15:restartNumberingAfterBreak="0">
    <w:nsid w:val="57B032BB"/>
    <w:multiLevelType w:val="multilevel"/>
    <w:tmpl w:val="88DE16C6"/>
    <w:lvl w:ilvl="0">
      <w:start w:val="1"/>
      <w:numFmt w:val="bullet"/>
      <w:pStyle w:val="LISTdash"/>
      <w:lvlText w:val=""/>
      <w:lvlJc w:val="left"/>
      <w:pPr>
        <w:tabs>
          <w:tab w:val="num" w:pos="564"/>
        </w:tabs>
        <w:ind w:left="454" w:hanging="250"/>
      </w:pPr>
      <w:rPr>
        <w:rFonts w:ascii="Symbol" w:hAnsi="Symbol" w:hint="default"/>
        <w:b/>
        <w:i w:val="0"/>
        <w:caps w:val="0"/>
        <w:strike w:val="0"/>
        <w:dstrike w:val="0"/>
        <w:color w:val="000000"/>
        <w:spacing w:val="0"/>
        <w:kern w:val="28"/>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814"/>
        </w:tabs>
        <w:ind w:left="794" w:hanging="340"/>
      </w:pPr>
      <w:rPr>
        <w:rFonts w:ascii="Symbol" w:hAnsi="Symbol" w:hint="default"/>
        <w:b w:val="0"/>
        <w:i w:val="0"/>
        <w:sz w:val="20"/>
      </w:rPr>
    </w:lvl>
    <w:lvl w:ilvl="2">
      <w:start w:val="1"/>
      <w:numFmt w:val="bullet"/>
      <w:lvlText w:val=""/>
      <w:lvlJc w:val="left"/>
      <w:pPr>
        <w:tabs>
          <w:tab w:val="num" w:pos="927"/>
        </w:tabs>
        <w:ind w:left="204" w:firstLine="363"/>
      </w:pPr>
      <w:rPr>
        <w:rFonts w:ascii="Symbol" w:hAnsi="Symbol" w:hint="default"/>
        <w:b w:val="0"/>
        <w:i/>
        <w:sz w:val="24"/>
      </w:rPr>
    </w:lvl>
    <w:lvl w:ilvl="3">
      <w:start w:val="1"/>
      <w:numFmt w:val="decimal"/>
      <w:suff w:val="space"/>
      <w:lvlText w:val="%1.%2.%3.%4."/>
      <w:lvlJc w:val="left"/>
      <w:pPr>
        <w:ind w:left="204" w:firstLine="0"/>
      </w:pPr>
      <w:rPr>
        <w:rFonts w:ascii="Times" w:hAnsi="Times" w:hint="default"/>
        <w:b w:val="0"/>
        <w:i/>
        <w:sz w:val="24"/>
      </w:rPr>
    </w:lvl>
    <w:lvl w:ilvl="4">
      <w:start w:val="1"/>
      <w:numFmt w:val="none"/>
      <w:suff w:val="nothing"/>
      <w:lvlText w:val=""/>
      <w:lvlJc w:val="left"/>
      <w:pPr>
        <w:ind w:left="204" w:firstLine="0"/>
      </w:pPr>
      <w:rPr>
        <w:rFonts w:hint="default"/>
      </w:rPr>
    </w:lvl>
    <w:lvl w:ilvl="5">
      <w:start w:val="1"/>
      <w:numFmt w:val="none"/>
      <w:suff w:val="nothing"/>
      <w:lvlText w:val=""/>
      <w:lvlJc w:val="left"/>
      <w:pPr>
        <w:ind w:left="1054" w:firstLine="0"/>
      </w:pPr>
      <w:rPr>
        <w:rFonts w:hint="default"/>
      </w:rPr>
    </w:lvl>
    <w:lvl w:ilvl="6">
      <w:start w:val="1"/>
      <w:numFmt w:val="none"/>
      <w:suff w:val="nothing"/>
      <w:lvlText w:val=""/>
      <w:lvlJc w:val="left"/>
      <w:pPr>
        <w:ind w:left="714" w:firstLine="0"/>
      </w:pPr>
      <w:rPr>
        <w:rFonts w:hint="default"/>
      </w:rPr>
    </w:lvl>
    <w:lvl w:ilvl="7">
      <w:start w:val="1"/>
      <w:numFmt w:val="none"/>
      <w:suff w:val="nothing"/>
      <w:lvlText w:val=""/>
      <w:lvlJc w:val="left"/>
      <w:pPr>
        <w:ind w:left="714" w:firstLine="0"/>
      </w:pPr>
      <w:rPr>
        <w:rFonts w:hint="default"/>
      </w:rPr>
    </w:lvl>
    <w:lvl w:ilvl="8">
      <w:start w:val="1"/>
      <w:numFmt w:val="none"/>
      <w:suff w:val="nothing"/>
      <w:lvlText w:val=""/>
      <w:lvlJc w:val="left"/>
      <w:pPr>
        <w:ind w:left="714" w:firstLine="0"/>
      </w:pPr>
      <w:rPr>
        <w:rFonts w:hint="default"/>
      </w:rPr>
    </w:lvl>
  </w:abstractNum>
  <w:abstractNum w:abstractNumId="11" w15:restartNumberingAfterBreak="0">
    <w:nsid w:val="61426C2F"/>
    <w:multiLevelType w:val="hybridMultilevel"/>
    <w:tmpl w:val="2EB08300"/>
    <w:lvl w:ilvl="0" w:tplc="2D9ABB34">
      <w:start w:val="1"/>
      <w:numFmt w:val="lowerLetter"/>
      <w:pStyle w:val="LISTalph"/>
      <w:lvlText w:val="%1)"/>
      <w:lvlJc w:val="left"/>
      <w:pPr>
        <w:tabs>
          <w:tab w:val="num" w:pos="564"/>
        </w:tabs>
        <w:ind w:left="499" w:hanging="295"/>
      </w:pPr>
      <w:rPr>
        <w:rFonts w:hint="default"/>
      </w:rPr>
    </w:lvl>
    <w:lvl w:ilvl="1" w:tplc="04090019">
      <w:start w:val="1"/>
      <w:numFmt w:val="lowerLetter"/>
      <w:lvlText w:val="%2."/>
      <w:lvlJc w:val="left"/>
      <w:pPr>
        <w:tabs>
          <w:tab w:val="num" w:pos="1284"/>
        </w:tabs>
        <w:ind w:left="1284" w:hanging="360"/>
      </w:pPr>
    </w:lvl>
    <w:lvl w:ilvl="2" w:tplc="0409001B" w:tentative="1">
      <w:start w:val="1"/>
      <w:numFmt w:val="lowerRoman"/>
      <w:lvlText w:val="%3."/>
      <w:lvlJc w:val="right"/>
      <w:pPr>
        <w:tabs>
          <w:tab w:val="num" w:pos="2004"/>
        </w:tabs>
        <w:ind w:left="2004" w:hanging="180"/>
      </w:pPr>
    </w:lvl>
    <w:lvl w:ilvl="3" w:tplc="0409000F" w:tentative="1">
      <w:start w:val="1"/>
      <w:numFmt w:val="decimal"/>
      <w:lvlText w:val="%4."/>
      <w:lvlJc w:val="left"/>
      <w:pPr>
        <w:tabs>
          <w:tab w:val="num" w:pos="2724"/>
        </w:tabs>
        <w:ind w:left="2724" w:hanging="360"/>
      </w:pPr>
    </w:lvl>
    <w:lvl w:ilvl="4" w:tplc="04090019" w:tentative="1">
      <w:start w:val="1"/>
      <w:numFmt w:val="lowerLetter"/>
      <w:lvlText w:val="%5."/>
      <w:lvlJc w:val="left"/>
      <w:pPr>
        <w:tabs>
          <w:tab w:val="num" w:pos="3444"/>
        </w:tabs>
        <w:ind w:left="3444" w:hanging="360"/>
      </w:pPr>
    </w:lvl>
    <w:lvl w:ilvl="5" w:tplc="0409001B" w:tentative="1">
      <w:start w:val="1"/>
      <w:numFmt w:val="lowerRoman"/>
      <w:lvlText w:val="%6."/>
      <w:lvlJc w:val="right"/>
      <w:pPr>
        <w:tabs>
          <w:tab w:val="num" w:pos="4164"/>
        </w:tabs>
        <w:ind w:left="4164" w:hanging="180"/>
      </w:pPr>
    </w:lvl>
    <w:lvl w:ilvl="6" w:tplc="0409000F" w:tentative="1">
      <w:start w:val="1"/>
      <w:numFmt w:val="decimal"/>
      <w:lvlText w:val="%7."/>
      <w:lvlJc w:val="left"/>
      <w:pPr>
        <w:tabs>
          <w:tab w:val="num" w:pos="4884"/>
        </w:tabs>
        <w:ind w:left="4884" w:hanging="360"/>
      </w:pPr>
    </w:lvl>
    <w:lvl w:ilvl="7" w:tplc="04090019" w:tentative="1">
      <w:start w:val="1"/>
      <w:numFmt w:val="lowerLetter"/>
      <w:lvlText w:val="%8."/>
      <w:lvlJc w:val="left"/>
      <w:pPr>
        <w:tabs>
          <w:tab w:val="num" w:pos="5604"/>
        </w:tabs>
        <w:ind w:left="5604" w:hanging="360"/>
      </w:pPr>
    </w:lvl>
    <w:lvl w:ilvl="8" w:tplc="0409001B" w:tentative="1">
      <w:start w:val="1"/>
      <w:numFmt w:val="lowerRoman"/>
      <w:lvlText w:val="%9."/>
      <w:lvlJc w:val="right"/>
      <w:pPr>
        <w:tabs>
          <w:tab w:val="num" w:pos="6324"/>
        </w:tabs>
        <w:ind w:left="6324" w:hanging="180"/>
      </w:pPr>
    </w:lvl>
  </w:abstractNum>
  <w:abstractNum w:abstractNumId="12" w15:restartNumberingAfterBreak="0">
    <w:nsid w:val="62762785"/>
    <w:multiLevelType w:val="hybridMultilevel"/>
    <w:tmpl w:val="89DAF64C"/>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3" w15:restartNumberingAfterBreak="0">
    <w:nsid w:val="63B73FF8"/>
    <w:multiLevelType w:val="hybridMultilevel"/>
    <w:tmpl w:val="C346EC8A"/>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4" w15:restartNumberingAfterBreak="0">
    <w:nsid w:val="63CA79E0"/>
    <w:multiLevelType w:val="multilevel"/>
    <w:tmpl w:val="F370C5B4"/>
    <w:lvl w:ilvl="0">
      <w:start w:val="1"/>
      <w:numFmt w:val="decimal"/>
      <w:pStyle w:val="LISTnum"/>
      <w:lvlText w:val="%1."/>
      <w:lvlJc w:val="left"/>
      <w:pPr>
        <w:tabs>
          <w:tab w:val="num" w:pos="717"/>
        </w:tabs>
        <w:ind w:left="652" w:hanging="295"/>
      </w:pPr>
      <w:rPr>
        <w:rFonts w:hint="default"/>
      </w:rPr>
    </w:lvl>
    <w:lvl w:ilvl="1">
      <w:start w:val="1"/>
      <w:numFmt w:val="decimal"/>
      <w:lvlText w:val="%1.%2."/>
      <w:lvlJc w:val="left"/>
      <w:pPr>
        <w:tabs>
          <w:tab w:val="num" w:pos="1077"/>
        </w:tabs>
        <w:ind w:left="1077" w:hanging="363"/>
      </w:pPr>
      <w:rPr>
        <w:rFonts w:hint="default"/>
      </w:rPr>
    </w:lvl>
    <w:lvl w:ilvl="2">
      <w:start w:val="1"/>
      <w:numFmt w:val="decimal"/>
      <w:lvlText w:val="%1.%2.%3."/>
      <w:lvlJc w:val="left"/>
      <w:pPr>
        <w:tabs>
          <w:tab w:val="num" w:pos="1797"/>
        </w:tabs>
        <w:ind w:left="1581" w:hanging="504"/>
      </w:pPr>
      <w:rPr>
        <w:rFonts w:hint="default"/>
      </w:rPr>
    </w:lvl>
    <w:lvl w:ilvl="3">
      <w:start w:val="1"/>
      <w:numFmt w:val="decimal"/>
      <w:lvlText w:val="%1.%2.%3.%4."/>
      <w:lvlJc w:val="left"/>
      <w:pPr>
        <w:tabs>
          <w:tab w:val="num" w:pos="2157"/>
        </w:tabs>
        <w:ind w:left="2085" w:hanging="648"/>
      </w:pPr>
      <w:rPr>
        <w:rFonts w:hint="default"/>
      </w:rPr>
    </w:lvl>
    <w:lvl w:ilvl="4">
      <w:start w:val="1"/>
      <w:numFmt w:val="decimal"/>
      <w:lvlText w:val="%1.%2.%3.%4.%5."/>
      <w:lvlJc w:val="left"/>
      <w:pPr>
        <w:tabs>
          <w:tab w:val="num" w:pos="2877"/>
        </w:tabs>
        <w:ind w:left="2589" w:hanging="792"/>
      </w:pPr>
      <w:rPr>
        <w:rFonts w:hint="default"/>
      </w:rPr>
    </w:lvl>
    <w:lvl w:ilvl="5">
      <w:start w:val="1"/>
      <w:numFmt w:val="decimal"/>
      <w:lvlText w:val="%1.%2.%3.%4.%5.%6."/>
      <w:lvlJc w:val="left"/>
      <w:pPr>
        <w:tabs>
          <w:tab w:val="num" w:pos="3237"/>
        </w:tabs>
        <w:ind w:left="3093" w:hanging="936"/>
      </w:pPr>
      <w:rPr>
        <w:rFonts w:hint="default"/>
      </w:rPr>
    </w:lvl>
    <w:lvl w:ilvl="6">
      <w:start w:val="1"/>
      <w:numFmt w:val="decimal"/>
      <w:lvlText w:val="%1.%2.%3.%4.%5.%6.%7."/>
      <w:lvlJc w:val="left"/>
      <w:pPr>
        <w:tabs>
          <w:tab w:val="num" w:pos="3957"/>
        </w:tabs>
        <w:ind w:left="3597" w:hanging="1080"/>
      </w:pPr>
      <w:rPr>
        <w:rFonts w:hint="default"/>
      </w:rPr>
    </w:lvl>
    <w:lvl w:ilvl="7">
      <w:start w:val="1"/>
      <w:numFmt w:val="decimal"/>
      <w:lvlText w:val="%1.%2.%3.%4.%5.%6.%7.%8."/>
      <w:lvlJc w:val="left"/>
      <w:pPr>
        <w:tabs>
          <w:tab w:val="num" w:pos="4317"/>
        </w:tabs>
        <w:ind w:left="4101" w:hanging="1224"/>
      </w:pPr>
      <w:rPr>
        <w:rFonts w:hint="default"/>
      </w:rPr>
    </w:lvl>
    <w:lvl w:ilvl="8">
      <w:start w:val="1"/>
      <w:numFmt w:val="decimal"/>
      <w:lvlText w:val="%1.%2.%3.%4.%5.%6.%7.%8.%9."/>
      <w:lvlJc w:val="left"/>
      <w:pPr>
        <w:tabs>
          <w:tab w:val="num" w:pos="5037"/>
        </w:tabs>
        <w:ind w:left="4677" w:hanging="1440"/>
      </w:pPr>
      <w:rPr>
        <w:rFonts w:hint="default"/>
      </w:rPr>
    </w:lvl>
  </w:abstractNum>
  <w:abstractNum w:abstractNumId="15" w15:restartNumberingAfterBreak="0">
    <w:nsid w:val="749D7927"/>
    <w:multiLevelType w:val="multilevel"/>
    <w:tmpl w:val="1F9C18A8"/>
    <w:lvl w:ilvl="0">
      <w:start w:val="1"/>
      <w:numFmt w:val="decimal"/>
      <w:pStyle w:val="Heading1"/>
      <w:suff w:val="space"/>
      <w:lvlText w:val="%1."/>
      <w:lvlJc w:val="left"/>
      <w:pPr>
        <w:ind w:left="454" w:hanging="454"/>
      </w:pPr>
      <w:rPr>
        <w:rFonts w:ascii="Times New Roman" w:hAnsi="Times New Roman" w:hint="default"/>
        <w:b/>
        <w:i w:val="0"/>
        <w:caps w:val="0"/>
        <w:strike w:val="0"/>
        <w:dstrike w:val="0"/>
        <w:color w:val="000000"/>
        <w:spacing w:val="0"/>
        <w:kern w:val="28"/>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suff w:val="space"/>
      <w:lvlText w:val="%1.%2."/>
      <w:lvlJc w:val="left"/>
      <w:pPr>
        <w:ind w:left="0" w:firstLine="0"/>
      </w:pPr>
      <w:rPr>
        <w:rFonts w:ascii="Times New Roman" w:hAnsi="Times New Roman" w:hint="default"/>
        <w:b w:val="0"/>
        <w:i/>
        <w:sz w:val="20"/>
      </w:rPr>
    </w:lvl>
    <w:lvl w:ilvl="2">
      <w:start w:val="1"/>
      <w:numFmt w:val="decimal"/>
      <w:pStyle w:val="Heading3"/>
      <w:suff w:val="space"/>
      <w:lvlText w:val="%1.%2.%3."/>
      <w:lvlJc w:val="left"/>
      <w:pPr>
        <w:ind w:left="0" w:firstLine="0"/>
      </w:pPr>
      <w:rPr>
        <w:rFonts w:ascii="Times" w:hAnsi="Times" w:hint="default"/>
        <w:b w:val="0"/>
        <w:i/>
        <w:sz w:val="20"/>
      </w:rPr>
    </w:lvl>
    <w:lvl w:ilvl="3">
      <w:start w:val="1"/>
      <w:numFmt w:val="decimal"/>
      <w:pStyle w:val="Heading4"/>
      <w:suff w:val="space"/>
      <w:lvlText w:val="%1.%2.%3.%4."/>
      <w:lvlJc w:val="left"/>
      <w:pPr>
        <w:ind w:left="0" w:firstLine="0"/>
      </w:pPr>
      <w:rPr>
        <w:rFonts w:ascii="Times" w:hAnsi="Times" w:hint="default"/>
        <w:b w:val="0"/>
        <w:i/>
        <w:sz w:val="20"/>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850" w:firstLine="0"/>
      </w:pPr>
      <w:rPr>
        <w:rFonts w:hint="default"/>
      </w:rPr>
    </w:lvl>
    <w:lvl w:ilvl="6">
      <w:start w:val="1"/>
      <w:numFmt w:val="none"/>
      <w:suff w:val="nothing"/>
      <w:lvlText w:val=""/>
      <w:lvlJc w:val="left"/>
      <w:pPr>
        <w:ind w:left="510" w:firstLine="0"/>
      </w:pPr>
      <w:rPr>
        <w:rFonts w:hint="default"/>
      </w:rPr>
    </w:lvl>
    <w:lvl w:ilvl="7">
      <w:start w:val="1"/>
      <w:numFmt w:val="none"/>
      <w:suff w:val="nothing"/>
      <w:lvlText w:val=""/>
      <w:lvlJc w:val="left"/>
      <w:pPr>
        <w:ind w:left="510" w:firstLine="0"/>
      </w:pPr>
      <w:rPr>
        <w:rFonts w:hint="default"/>
      </w:rPr>
    </w:lvl>
    <w:lvl w:ilvl="8">
      <w:start w:val="1"/>
      <w:numFmt w:val="none"/>
      <w:suff w:val="nothing"/>
      <w:lvlText w:val=""/>
      <w:lvlJc w:val="left"/>
      <w:pPr>
        <w:ind w:left="510" w:firstLine="0"/>
      </w:pPr>
      <w:rPr>
        <w:rFonts w:hint="default"/>
      </w:rPr>
    </w:lvl>
  </w:abstractNum>
  <w:abstractNum w:abstractNumId="16" w15:restartNumberingAfterBreak="0">
    <w:nsid w:val="76F27992"/>
    <w:multiLevelType w:val="hybridMultilevel"/>
    <w:tmpl w:val="8E28FDE8"/>
    <w:lvl w:ilvl="0" w:tplc="7B981C04">
      <w:start w:val="1"/>
      <w:numFmt w:val="decimal"/>
      <w:pStyle w:val="References"/>
      <w:lvlText w:val="[%1]"/>
      <w:lvlJc w:val="left"/>
      <w:pPr>
        <w:tabs>
          <w:tab w:val="num" w:pos="255"/>
        </w:tabs>
        <w:ind w:left="369" w:hanging="369"/>
      </w:pPr>
      <w:rPr>
        <w:rFonts w:hint="default"/>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434131074">
    <w:abstractNumId w:val="11"/>
  </w:num>
  <w:num w:numId="2" w16cid:durableId="1635211334">
    <w:abstractNumId w:val="10"/>
  </w:num>
  <w:num w:numId="3" w16cid:durableId="1542864869">
    <w:abstractNumId w:val="1"/>
  </w:num>
  <w:num w:numId="4" w16cid:durableId="512719679">
    <w:abstractNumId w:val="15"/>
  </w:num>
  <w:num w:numId="5" w16cid:durableId="1080371902">
    <w:abstractNumId w:val="9"/>
  </w:num>
  <w:num w:numId="6" w16cid:durableId="1445152873">
    <w:abstractNumId w:val="14"/>
  </w:num>
  <w:num w:numId="7" w16cid:durableId="138310650">
    <w:abstractNumId w:val="16"/>
  </w:num>
  <w:num w:numId="8" w16cid:durableId="464200349">
    <w:abstractNumId w:val="6"/>
  </w:num>
  <w:num w:numId="9" w16cid:durableId="186527075">
    <w:abstractNumId w:val="8"/>
  </w:num>
  <w:num w:numId="10" w16cid:durableId="341933908">
    <w:abstractNumId w:val="4"/>
  </w:num>
  <w:num w:numId="11" w16cid:durableId="821313713">
    <w:abstractNumId w:val="3"/>
  </w:num>
  <w:num w:numId="12" w16cid:durableId="1090615896">
    <w:abstractNumId w:val="0"/>
  </w:num>
  <w:num w:numId="13" w16cid:durableId="585774482">
    <w:abstractNumId w:val="5"/>
  </w:num>
  <w:num w:numId="14" w16cid:durableId="882522148">
    <w:abstractNumId w:val="7"/>
  </w:num>
  <w:num w:numId="15" w16cid:durableId="1654335857">
    <w:abstractNumId w:val="12"/>
  </w:num>
  <w:num w:numId="16" w16cid:durableId="288437061">
    <w:abstractNumId w:val="13"/>
  </w:num>
  <w:num w:numId="17" w16cid:durableId="1950158964">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grammar="clean"/>
  <w:attachedTemplate r:id="rId1"/>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504B"/>
    <w:rsid w:val="000044AD"/>
    <w:rsid w:val="000075D0"/>
    <w:rsid w:val="00012DC0"/>
    <w:rsid w:val="0001346C"/>
    <w:rsid w:val="00013B49"/>
    <w:rsid w:val="00017E9E"/>
    <w:rsid w:val="00020506"/>
    <w:rsid w:val="00023DE0"/>
    <w:rsid w:val="00025F8D"/>
    <w:rsid w:val="00026AE6"/>
    <w:rsid w:val="000278BA"/>
    <w:rsid w:val="000302AF"/>
    <w:rsid w:val="0003272B"/>
    <w:rsid w:val="00036455"/>
    <w:rsid w:val="000416F8"/>
    <w:rsid w:val="00042004"/>
    <w:rsid w:val="0004274D"/>
    <w:rsid w:val="000505F3"/>
    <w:rsid w:val="00052E54"/>
    <w:rsid w:val="00054B60"/>
    <w:rsid w:val="0006058B"/>
    <w:rsid w:val="000606EB"/>
    <w:rsid w:val="00072419"/>
    <w:rsid w:val="000742DF"/>
    <w:rsid w:val="000856BF"/>
    <w:rsid w:val="00085AA2"/>
    <w:rsid w:val="000A3076"/>
    <w:rsid w:val="000A4FC2"/>
    <w:rsid w:val="000A690D"/>
    <w:rsid w:val="000A69D5"/>
    <w:rsid w:val="000C402A"/>
    <w:rsid w:val="000C454E"/>
    <w:rsid w:val="000D2B66"/>
    <w:rsid w:val="000D2BFE"/>
    <w:rsid w:val="000D4CB4"/>
    <w:rsid w:val="000E0C77"/>
    <w:rsid w:val="000E27F6"/>
    <w:rsid w:val="000E65AE"/>
    <w:rsid w:val="000E68D1"/>
    <w:rsid w:val="000F0F81"/>
    <w:rsid w:val="000F4CEA"/>
    <w:rsid w:val="001026A5"/>
    <w:rsid w:val="00107DBE"/>
    <w:rsid w:val="00112149"/>
    <w:rsid w:val="00112A86"/>
    <w:rsid w:val="0011724F"/>
    <w:rsid w:val="001208A6"/>
    <w:rsid w:val="00121FBF"/>
    <w:rsid w:val="00122817"/>
    <w:rsid w:val="00125B48"/>
    <w:rsid w:val="0012791A"/>
    <w:rsid w:val="00132FDB"/>
    <w:rsid w:val="001370C8"/>
    <w:rsid w:val="00140F9F"/>
    <w:rsid w:val="00141A1E"/>
    <w:rsid w:val="00142A03"/>
    <w:rsid w:val="00147005"/>
    <w:rsid w:val="001707A8"/>
    <w:rsid w:val="00170D54"/>
    <w:rsid w:val="0017591D"/>
    <w:rsid w:val="001760D1"/>
    <w:rsid w:val="00183254"/>
    <w:rsid w:val="001862F2"/>
    <w:rsid w:val="00190CC7"/>
    <w:rsid w:val="00194B17"/>
    <w:rsid w:val="001A0137"/>
    <w:rsid w:val="001A0E32"/>
    <w:rsid w:val="001A1E3F"/>
    <w:rsid w:val="001A4467"/>
    <w:rsid w:val="001A5104"/>
    <w:rsid w:val="001A5795"/>
    <w:rsid w:val="001A61DD"/>
    <w:rsid w:val="001B01FF"/>
    <w:rsid w:val="001C0F2F"/>
    <w:rsid w:val="001C2D60"/>
    <w:rsid w:val="001C485A"/>
    <w:rsid w:val="001D1B65"/>
    <w:rsid w:val="001D3BA5"/>
    <w:rsid w:val="001D535B"/>
    <w:rsid w:val="001E5387"/>
    <w:rsid w:val="001F4B74"/>
    <w:rsid w:val="00201494"/>
    <w:rsid w:val="0020210E"/>
    <w:rsid w:val="00203641"/>
    <w:rsid w:val="00206080"/>
    <w:rsid w:val="00206EA0"/>
    <w:rsid w:val="00211B43"/>
    <w:rsid w:val="002152AE"/>
    <w:rsid w:val="00217A9F"/>
    <w:rsid w:val="002216E3"/>
    <w:rsid w:val="00222490"/>
    <w:rsid w:val="002247B0"/>
    <w:rsid w:val="002268A8"/>
    <w:rsid w:val="00227477"/>
    <w:rsid w:val="00234E99"/>
    <w:rsid w:val="00241DF5"/>
    <w:rsid w:val="00246D00"/>
    <w:rsid w:val="00247FFB"/>
    <w:rsid w:val="002559FF"/>
    <w:rsid w:val="00262892"/>
    <w:rsid w:val="00262B51"/>
    <w:rsid w:val="00277401"/>
    <w:rsid w:val="0028497D"/>
    <w:rsid w:val="002850AC"/>
    <w:rsid w:val="00287B85"/>
    <w:rsid w:val="00291329"/>
    <w:rsid w:val="0029208B"/>
    <w:rsid w:val="002A4058"/>
    <w:rsid w:val="002A4CA3"/>
    <w:rsid w:val="002A71CC"/>
    <w:rsid w:val="002B2803"/>
    <w:rsid w:val="002B6563"/>
    <w:rsid w:val="002C04ED"/>
    <w:rsid w:val="002C2931"/>
    <w:rsid w:val="002C443E"/>
    <w:rsid w:val="002C6CE9"/>
    <w:rsid w:val="002D2EA7"/>
    <w:rsid w:val="002D3974"/>
    <w:rsid w:val="002D4BEB"/>
    <w:rsid w:val="002E31F2"/>
    <w:rsid w:val="002E3E43"/>
    <w:rsid w:val="002E44CC"/>
    <w:rsid w:val="002E602E"/>
    <w:rsid w:val="002F0BA4"/>
    <w:rsid w:val="002F0D01"/>
    <w:rsid w:val="002F1A87"/>
    <w:rsid w:val="002F2E7F"/>
    <w:rsid w:val="002F2F12"/>
    <w:rsid w:val="002F70EF"/>
    <w:rsid w:val="003047B3"/>
    <w:rsid w:val="003057F1"/>
    <w:rsid w:val="00316289"/>
    <w:rsid w:val="00320119"/>
    <w:rsid w:val="0032071B"/>
    <w:rsid w:val="00321937"/>
    <w:rsid w:val="00323364"/>
    <w:rsid w:val="00324172"/>
    <w:rsid w:val="00344017"/>
    <w:rsid w:val="003453F9"/>
    <w:rsid w:val="00345B12"/>
    <w:rsid w:val="00364172"/>
    <w:rsid w:val="003644E3"/>
    <w:rsid w:val="00373457"/>
    <w:rsid w:val="0037517F"/>
    <w:rsid w:val="00387027"/>
    <w:rsid w:val="003872ED"/>
    <w:rsid w:val="003915B4"/>
    <w:rsid w:val="0039280C"/>
    <w:rsid w:val="00395465"/>
    <w:rsid w:val="00397FDE"/>
    <w:rsid w:val="003A38F8"/>
    <w:rsid w:val="003B384C"/>
    <w:rsid w:val="003B67FC"/>
    <w:rsid w:val="003C317B"/>
    <w:rsid w:val="003C5E60"/>
    <w:rsid w:val="003D3477"/>
    <w:rsid w:val="003D3D70"/>
    <w:rsid w:val="003D5EA5"/>
    <w:rsid w:val="003E00B9"/>
    <w:rsid w:val="003E5A4B"/>
    <w:rsid w:val="003E7255"/>
    <w:rsid w:val="003E7B0D"/>
    <w:rsid w:val="003F2B59"/>
    <w:rsid w:val="00401E51"/>
    <w:rsid w:val="00403271"/>
    <w:rsid w:val="00403DF9"/>
    <w:rsid w:val="00405791"/>
    <w:rsid w:val="00411859"/>
    <w:rsid w:val="00422D16"/>
    <w:rsid w:val="00423355"/>
    <w:rsid w:val="00423926"/>
    <w:rsid w:val="00424408"/>
    <w:rsid w:val="00427D5C"/>
    <w:rsid w:val="00432A88"/>
    <w:rsid w:val="00433EC9"/>
    <w:rsid w:val="0043504B"/>
    <w:rsid w:val="00441CE4"/>
    <w:rsid w:val="0044399E"/>
    <w:rsid w:val="00443ECA"/>
    <w:rsid w:val="004458B2"/>
    <w:rsid w:val="0045016C"/>
    <w:rsid w:val="0045189B"/>
    <w:rsid w:val="0045469F"/>
    <w:rsid w:val="00455307"/>
    <w:rsid w:val="00460064"/>
    <w:rsid w:val="00460669"/>
    <w:rsid w:val="00473019"/>
    <w:rsid w:val="00473C1B"/>
    <w:rsid w:val="00480704"/>
    <w:rsid w:val="00482BDE"/>
    <w:rsid w:val="00485385"/>
    <w:rsid w:val="00486B31"/>
    <w:rsid w:val="004956BB"/>
    <w:rsid w:val="004977B1"/>
    <w:rsid w:val="004A006B"/>
    <w:rsid w:val="004A64D5"/>
    <w:rsid w:val="004A6BFD"/>
    <w:rsid w:val="004A7BB2"/>
    <w:rsid w:val="004B29BB"/>
    <w:rsid w:val="004D019F"/>
    <w:rsid w:val="004D2622"/>
    <w:rsid w:val="004D512C"/>
    <w:rsid w:val="004E6864"/>
    <w:rsid w:val="004F577A"/>
    <w:rsid w:val="004F57CD"/>
    <w:rsid w:val="005022BA"/>
    <w:rsid w:val="0050452C"/>
    <w:rsid w:val="00504DD3"/>
    <w:rsid w:val="00504E90"/>
    <w:rsid w:val="00505CEA"/>
    <w:rsid w:val="005070C5"/>
    <w:rsid w:val="0051090D"/>
    <w:rsid w:val="00513095"/>
    <w:rsid w:val="00527C06"/>
    <w:rsid w:val="00531FD5"/>
    <w:rsid w:val="00535280"/>
    <w:rsid w:val="00535E18"/>
    <w:rsid w:val="00544A48"/>
    <w:rsid w:val="00545641"/>
    <w:rsid w:val="00545BA9"/>
    <w:rsid w:val="005516E1"/>
    <w:rsid w:val="00552897"/>
    <w:rsid w:val="005548A7"/>
    <w:rsid w:val="00557D43"/>
    <w:rsid w:val="00563396"/>
    <w:rsid w:val="00563868"/>
    <w:rsid w:val="005639DE"/>
    <w:rsid w:val="00564173"/>
    <w:rsid w:val="005644B4"/>
    <w:rsid w:val="0056604F"/>
    <w:rsid w:val="005748D8"/>
    <w:rsid w:val="005807E9"/>
    <w:rsid w:val="00581056"/>
    <w:rsid w:val="00582100"/>
    <w:rsid w:val="005858BB"/>
    <w:rsid w:val="00587531"/>
    <w:rsid w:val="00587B18"/>
    <w:rsid w:val="005A5225"/>
    <w:rsid w:val="005A5836"/>
    <w:rsid w:val="005C0267"/>
    <w:rsid w:val="005C1244"/>
    <w:rsid w:val="005C527F"/>
    <w:rsid w:val="005C771D"/>
    <w:rsid w:val="005D17A1"/>
    <w:rsid w:val="005D2F50"/>
    <w:rsid w:val="005E1520"/>
    <w:rsid w:val="005E480E"/>
    <w:rsid w:val="005F4421"/>
    <w:rsid w:val="005F67A5"/>
    <w:rsid w:val="006011AE"/>
    <w:rsid w:val="00605DCB"/>
    <w:rsid w:val="0060701F"/>
    <w:rsid w:val="00607A33"/>
    <w:rsid w:val="00610776"/>
    <w:rsid w:val="00612DEE"/>
    <w:rsid w:val="006161C2"/>
    <w:rsid w:val="00620175"/>
    <w:rsid w:val="006231F4"/>
    <w:rsid w:val="00624A7E"/>
    <w:rsid w:val="006273AC"/>
    <w:rsid w:val="00631672"/>
    <w:rsid w:val="00633EB4"/>
    <w:rsid w:val="00635352"/>
    <w:rsid w:val="00635C35"/>
    <w:rsid w:val="0065211D"/>
    <w:rsid w:val="0065291B"/>
    <w:rsid w:val="00652AD2"/>
    <w:rsid w:val="00652DBE"/>
    <w:rsid w:val="00653362"/>
    <w:rsid w:val="006613EA"/>
    <w:rsid w:val="00665BEA"/>
    <w:rsid w:val="00666C7A"/>
    <w:rsid w:val="00673554"/>
    <w:rsid w:val="00684543"/>
    <w:rsid w:val="00685A92"/>
    <w:rsid w:val="00691E17"/>
    <w:rsid w:val="00694499"/>
    <w:rsid w:val="00695BFF"/>
    <w:rsid w:val="006A272A"/>
    <w:rsid w:val="006A49E4"/>
    <w:rsid w:val="006A6625"/>
    <w:rsid w:val="006A7EEA"/>
    <w:rsid w:val="006B02D5"/>
    <w:rsid w:val="006B0552"/>
    <w:rsid w:val="006B18A5"/>
    <w:rsid w:val="006B58EF"/>
    <w:rsid w:val="006C0AA7"/>
    <w:rsid w:val="006C578E"/>
    <w:rsid w:val="006C5A40"/>
    <w:rsid w:val="006D1504"/>
    <w:rsid w:val="006E25EF"/>
    <w:rsid w:val="006E7545"/>
    <w:rsid w:val="006F2D58"/>
    <w:rsid w:val="00706116"/>
    <w:rsid w:val="00706D8F"/>
    <w:rsid w:val="00707B4F"/>
    <w:rsid w:val="00724608"/>
    <w:rsid w:val="00725CEC"/>
    <w:rsid w:val="007327A8"/>
    <w:rsid w:val="00750CD9"/>
    <w:rsid w:val="00754409"/>
    <w:rsid w:val="007561C9"/>
    <w:rsid w:val="00756326"/>
    <w:rsid w:val="0075641D"/>
    <w:rsid w:val="00761AFE"/>
    <w:rsid w:val="007715A2"/>
    <w:rsid w:val="0077344E"/>
    <w:rsid w:val="00781B11"/>
    <w:rsid w:val="007823EA"/>
    <w:rsid w:val="00791773"/>
    <w:rsid w:val="00792403"/>
    <w:rsid w:val="00793D75"/>
    <w:rsid w:val="007A5204"/>
    <w:rsid w:val="007A6A9F"/>
    <w:rsid w:val="007B00B1"/>
    <w:rsid w:val="007B2367"/>
    <w:rsid w:val="007B45DE"/>
    <w:rsid w:val="007B7123"/>
    <w:rsid w:val="007C0A91"/>
    <w:rsid w:val="007C1348"/>
    <w:rsid w:val="007C6E23"/>
    <w:rsid w:val="007C7610"/>
    <w:rsid w:val="007D3751"/>
    <w:rsid w:val="007E2342"/>
    <w:rsid w:val="007E24B2"/>
    <w:rsid w:val="007E2976"/>
    <w:rsid w:val="007E379E"/>
    <w:rsid w:val="007F4B47"/>
    <w:rsid w:val="00802592"/>
    <w:rsid w:val="00802E98"/>
    <w:rsid w:val="0080306D"/>
    <w:rsid w:val="00811DBA"/>
    <w:rsid w:val="008129F0"/>
    <w:rsid w:val="00815D28"/>
    <w:rsid w:val="008163E2"/>
    <w:rsid w:val="00820EF2"/>
    <w:rsid w:val="00821353"/>
    <w:rsid w:val="0082439F"/>
    <w:rsid w:val="00825C88"/>
    <w:rsid w:val="00832CA2"/>
    <w:rsid w:val="00833E51"/>
    <w:rsid w:val="00834893"/>
    <w:rsid w:val="00837D05"/>
    <w:rsid w:val="008465BB"/>
    <w:rsid w:val="00852FED"/>
    <w:rsid w:val="00862051"/>
    <w:rsid w:val="00862636"/>
    <w:rsid w:val="00863AEA"/>
    <w:rsid w:val="00871BB4"/>
    <w:rsid w:val="00882925"/>
    <w:rsid w:val="00884AE3"/>
    <w:rsid w:val="00886832"/>
    <w:rsid w:val="00892700"/>
    <w:rsid w:val="008A013D"/>
    <w:rsid w:val="008A38BF"/>
    <w:rsid w:val="008B367A"/>
    <w:rsid w:val="008B5F4E"/>
    <w:rsid w:val="008C38F0"/>
    <w:rsid w:val="008D73FF"/>
    <w:rsid w:val="008E09E9"/>
    <w:rsid w:val="008E1F10"/>
    <w:rsid w:val="008E20B6"/>
    <w:rsid w:val="008F2D0C"/>
    <w:rsid w:val="008F333E"/>
    <w:rsid w:val="00900E53"/>
    <w:rsid w:val="009049E2"/>
    <w:rsid w:val="00917C8A"/>
    <w:rsid w:val="00932238"/>
    <w:rsid w:val="00933B59"/>
    <w:rsid w:val="00942945"/>
    <w:rsid w:val="0095537F"/>
    <w:rsid w:val="00961EF3"/>
    <w:rsid w:val="00963584"/>
    <w:rsid w:val="00975406"/>
    <w:rsid w:val="00983055"/>
    <w:rsid w:val="009846A1"/>
    <w:rsid w:val="00985FF4"/>
    <w:rsid w:val="00986050"/>
    <w:rsid w:val="00986F5B"/>
    <w:rsid w:val="00987E45"/>
    <w:rsid w:val="00990941"/>
    <w:rsid w:val="0099262B"/>
    <w:rsid w:val="00996C56"/>
    <w:rsid w:val="009B1219"/>
    <w:rsid w:val="009B7858"/>
    <w:rsid w:val="009C0CE5"/>
    <w:rsid w:val="009C326B"/>
    <w:rsid w:val="009C42DB"/>
    <w:rsid w:val="009C483E"/>
    <w:rsid w:val="009C65D4"/>
    <w:rsid w:val="009C7C15"/>
    <w:rsid w:val="009D0327"/>
    <w:rsid w:val="009D2396"/>
    <w:rsid w:val="009E0B04"/>
    <w:rsid w:val="009E31B8"/>
    <w:rsid w:val="009F0E5A"/>
    <w:rsid w:val="009F38F4"/>
    <w:rsid w:val="009F3AE8"/>
    <w:rsid w:val="009F5962"/>
    <w:rsid w:val="009F6712"/>
    <w:rsid w:val="009F6D34"/>
    <w:rsid w:val="00A00836"/>
    <w:rsid w:val="00A10377"/>
    <w:rsid w:val="00A209BC"/>
    <w:rsid w:val="00A24120"/>
    <w:rsid w:val="00A24921"/>
    <w:rsid w:val="00A24C78"/>
    <w:rsid w:val="00A27B48"/>
    <w:rsid w:val="00A27D6D"/>
    <w:rsid w:val="00A32A91"/>
    <w:rsid w:val="00A33B3B"/>
    <w:rsid w:val="00A34BEA"/>
    <w:rsid w:val="00A35DAD"/>
    <w:rsid w:val="00A377A7"/>
    <w:rsid w:val="00A405E0"/>
    <w:rsid w:val="00A4134D"/>
    <w:rsid w:val="00A526C2"/>
    <w:rsid w:val="00A67514"/>
    <w:rsid w:val="00A7055D"/>
    <w:rsid w:val="00A711A5"/>
    <w:rsid w:val="00A82154"/>
    <w:rsid w:val="00A843F1"/>
    <w:rsid w:val="00A85038"/>
    <w:rsid w:val="00A87873"/>
    <w:rsid w:val="00AA2D52"/>
    <w:rsid w:val="00AB2B5A"/>
    <w:rsid w:val="00AC1B94"/>
    <w:rsid w:val="00AC1E11"/>
    <w:rsid w:val="00AC2B4A"/>
    <w:rsid w:val="00AC6C30"/>
    <w:rsid w:val="00AD09C5"/>
    <w:rsid w:val="00AD4F94"/>
    <w:rsid w:val="00AE0F9E"/>
    <w:rsid w:val="00AE1751"/>
    <w:rsid w:val="00AE72A0"/>
    <w:rsid w:val="00AE7D38"/>
    <w:rsid w:val="00AF2502"/>
    <w:rsid w:val="00AF2A97"/>
    <w:rsid w:val="00AF5233"/>
    <w:rsid w:val="00AF7D5D"/>
    <w:rsid w:val="00B04A27"/>
    <w:rsid w:val="00B04FB6"/>
    <w:rsid w:val="00B05D6E"/>
    <w:rsid w:val="00B109A9"/>
    <w:rsid w:val="00B16D2C"/>
    <w:rsid w:val="00B16E3A"/>
    <w:rsid w:val="00B23014"/>
    <w:rsid w:val="00B32DBA"/>
    <w:rsid w:val="00B4650E"/>
    <w:rsid w:val="00B479AA"/>
    <w:rsid w:val="00B5416E"/>
    <w:rsid w:val="00B54BDB"/>
    <w:rsid w:val="00B62F86"/>
    <w:rsid w:val="00B63358"/>
    <w:rsid w:val="00B6555D"/>
    <w:rsid w:val="00B669C9"/>
    <w:rsid w:val="00B67018"/>
    <w:rsid w:val="00B728E8"/>
    <w:rsid w:val="00B72B7B"/>
    <w:rsid w:val="00B77243"/>
    <w:rsid w:val="00B77EB7"/>
    <w:rsid w:val="00B81BB8"/>
    <w:rsid w:val="00B82EAB"/>
    <w:rsid w:val="00B84B0F"/>
    <w:rsid w:val="00B84E33"/>
    <w:rsid w:val="00B8779D"/>
    <w:rsid w:val="00BA11BB"/>
    <w:rsid w:val="00BB4644"/>
    <w:rsid w:val="00BB67E8"/>
    <w:rsid w:val="00BB6913"/>
    <w:rsid w:val="00BB703D"/>
    <w:rsid w:val="00BB7AB4"/>
    <w:rsid w:val="00BD5314"/>
    <w:rsid w:val="00BD69AA"/>
    <w:rsid w:val="00BD7DF6"/>
    <w:rsid w:val="00BD7F4D"/>
    <w:rsid w:val="00BE1905"/>
    <w:rsid w:val="00BF0289"/>
    <w:rsid w:val="00BF296E"/>
    <w:rsid w:val="00BF5F5B"/>
    <w:rsid w:val="00BF6308"/>
    <w:rsid w:val="00C04D6C"/>
    <w:rsid w:val="00C10CA4"/>
    <w:rsid w:val="00C123FC"/>
    <w:rsid w:val="00C135B1"/>
    <w:rsid w:val="00C13B99"/>
    <w:rsid w:val="00C13CAB"/>
    <w:rsid w:val="00C23A1D"/>
    <w:rsid w:val="00C2560F"/>
    <w:rsid w:val="00C26AFE"/>
    <w:rsid w:val="00C30865"/>
    <w:rsid w:val="00C31C9E"/>
    <w:rsid w:val="00C320A0"/>
    <w:rsid w:val="00C3400D"/>
    <w:rsid w:val="00C37594"/>
    <w:rsid w:val="00C3774B"/>
    <w:rsid w:val="00C453CF"/>
    <w:rsid w:val="00C47A41"/>
    <w:rsid w:val="00C5026F"/>
    <w:rsid w:val="00C529F7"/>
    <w:rsid w:val="00C53D2B"/>
    <w:rsid w:val="00C61AC9"/>
    <w:rsid w:val="00C808E3"/>
    <w:rsid w:val="00C83A3D"/>
    <w:rsid w:val="00C8733E"/>
    <w:rsid w:val="00C907BC"/>
    <w:rsid w:val="00C91CA4"/>
    <w:rsid w:val="00C96062"/>
    <w:rsid w:val="00C977EF"/>
    <w:rsid w:val="00C97D11"/>
    <w:rsid w:val="00CA1A44"/>
    <w:rsid w:val="00CA4BE0"/>
    <w:rsid w:val="00CA76A8"/>
    <w:rsid w:val="00CB09FB"/>
    <w:rsid w:val="00CB3268"/>
    <w:rsid w:val="00CB3C53"/>
    <w:rsid w:val="00CB5210"/>
    <w:rsid w:val="00CB790A"/>
    <w:rsid w:val="00CD171B"/>
    <w:rsid w:val="00CD45C6"/>
    <w:rsid w:val="00CD4A06"/>
    <w:rsid w:val="00CD4E39"/>
    <w:rsid w:val="00CE1F42"/>
    <w:rsid w:val="00CF10EE"/>
    <w:rsid w:val="00CF5C91"/>
    <w:rsid w:val="00CF670E"/>
    <w:rsid w:val="00D034FD"/>
    <w:rsid w:val="00D101CC"/>
    <w:rsid w:val="00D13988"/>
    <w:rsid w:val="00D166B1"/>
    <w:rsid w:val="00D17E4A"/>
    <w:rsid w:val="00D20373"/>
    <w:rsid w:val="00D254C7"/>
    <w:rsid w:val="00D257FE"/>
    <w:rsid w:val="00D31D04"/>
    <w:rsid w:val="00D34748"/>
    <w:rsid w:val="00D407A7"/>
    <w:rsid w:val="00D40CC4"/>
    <w:rsid w:val="00D41571"/>
    <w:rsid w:val="00D424F3"/>
    <w:rsid w:val="00D52747"/>
    <w:rsid w:val="00D64531"/>
    <w:rsid w:val="00D65342"/>
    <w:rsid w:val="00D67F60"/>
    <w:rsid w:val="00D77229"/>
    <w:rsid w:val="00D804FD"/>
    <w:rsid w:val="00D82BC9"/>
    <w:rsid w:val="00D8524E"/>
    <w:rsid w:val="00D8533A"/>
    <w:rsid w:val="00D90790"/>
    <w:rsid w:val="00D94128"/>
    <w:rsid w:val="00DB4F26"/>
    <w:rsid w:val="00DB6F51"/>
    <w:rsid w:val="00DC136B"/>
    <w:rsid w:val="00DD18C8"/>
    <w:rsid w:val="00DD214E"/>
    <w:rsid w:val="00DD4FE7"/>
    <w:rsid w:val="00DD668C"/>
    <w:rsid w:val="00DD7963"/>
    <w:rsid w:val="00DE0CF6"/>
    <w:rsid w:val="00DE0EC9"/>
    <w:rsid w:val="00DE164E"/>
    <w:rsid w:val="00DE1E77"/>
    <w:rsid w:val="00DE7A38"/>
    <w:rsid w:val="00DF0DE1"/>
    <w:rsid w:val="00DF378C"/>
    <w:rsid w:val="00E03548"/>
    <w:rsid w:val="00E03A07"/>
    <w:rsid w:val="00E046AF"/>
    <w:rsid w:val="00E04AB0"/>
    <w:rsid w:val="00E0775F"/>
    <w:rsid w:val="00E101C1"/>
    <w:rsid w:val="00E10991"/>
    <w:rsid w:val="00E1678D"/>
    <w:rsid w:val="00E16CF4"/>
    <w:rsid w:val="00E208C4"/>
    <w:rsid w:val="00E210A0"/>
    <w:rsid w:val="00E218A4"/>
    <w:rsid w:val="00E22970"/>
    <w:rsid w:val="00E229D5"/>
    <w:rsid w:val="00E25588"/>
    <w:rsid w:val="00E31D09"/>
    <w:rsid w:val="00E33DEE"/>
    <w:rsid w:val="00E41657"/>
    <w:rsid w:val="00E41A8C"/>
    <w:rsid w:val="00E429BA"/>
    <w:rsid w:val="00E50197"/>
    <w:rsid w:val="00E56CAF"/>
    <w:rsid w:val="00E627BE"/>
    <w:rsid w:val="00E629B7"/>
    <w:rsid w:val="00E6527F"/>
    <w:rsid w:val="00E66E19"/>
    <w:rsid w:val="00E66EA6"/>
    <w:rsid w:val="00E67D54"/>
    <w:rsid w:val="00E706BA"/>
    <w:rsid w:val="00E71389"/>
    <w:rsid w:val="00E71C87"/>
    <w:rsid w:val="00E72674"/>
    <w:rsid w:val="00E732DC"/>
    <w:rsid w:val="00E7335B"/>
    <w:rsid w:val="00E75675"/>
    <w:rsid w:val="00E76534"/>
    <w:rsid w:val="00E80FF8"/>
    <w:rsid w:val="00E84780"/>
    <w:rsid w:val="00E90544"/>
    <w:rsid w:val="00E95186"/>
    <w:rsid w:val="00E958A6"/>
    <w:rsid w:val="00E95D71"/>
    <w:rsid w:val="00EA2C0E"/>
    <w:rsid w:val="00EA4932"/>
    <w:rsid w:val="00EB1936"/>
    <w:rsid w:val="00EB4693"/>
    <w:rsid w:val="00EC1B7F"/>
    <w:rsid w:val="00EC4908"/>
    <w:rsid w:val="00EC6489"/>
    <w:rsid w:val="00ED2C14"/>
    <w:rsid w:val="00ED6803"/>
    <w:rsid w:val="00ED6B22"/>
    <w:rsid w:val="00EE647A"/>
    <w:rsid w:val="00EF14B0"/>
    <w:rsid w:val="00EF2C41"/>
    <w:rsid w:val="00F062E6"/>
    <w:rsid w:val="00F07FC3"/>
    <w:rsid w:val="00F130FB"/>
    <w:rsid w:val="00F1558E"/>
    <w:rsid w:val="00F21FBD"/>
    <w:rsid w:val="00F22697"/>
    <w:rsid w:val="00F270B3"/>
    <w:rsid w:val="00F3718F"/>
    <w:rsid w:val="00F44277"/>
    <w:rsid w:val="00F447A5"/>
    <w:rsid w:val="00F46DE3"/>
    <w:rsid w:val="00F5058B"/>
    <w:rsid w:val="00F518CE"/>
    <w:rsid w:val="00F545FB"/>
    <w:rsid w:val="00F566B8"/>
    <w:rsid w:val="00F56CFF"/>
    <w:rsid w:val="00F57204"/>
    <w:rsid w:val="00F61665"/>
    <w:rsid w:val="00F771CE"/>
    <w:rsid w:val="00F817CE"/>
    <w:rsid w:val="00F82E9B"/>
    <w:rsid w:val="00F8304B"/>
    <w:rsid w:val="00F85816"/>
    <w:rsid w:val="00F87A02"/>
    <w:rsid w:val="00F916A5"/>
    <w:rsid w:val="00FA22C9"/>
    <w:rsid w:val="00FA4841"/>
    <w:rsid w:val="00FB3150"/>
    <w:rsid w:val="00FB3F03"/>
    <w:rsid w:val="00FB489F"/>
    <w:rsid w:val="00FB7323"/>
    <w:rsid w:val="00FC043B"/>
    <w:rsid w:val="00FC0A47"/>
    <w:rsid w:val="00FC2A7E"/>
    <w:rsid w:val="00FC7E59"/>
    <w:rsid w:val="00FD6765"/>
    <w:rsid w:val="00FF04E4"/>
    <w:rsid w:val="00FF190E"/>
    <w:rsid w:val="00FF477C"/>
    <w:rsid w:val="00FF4BA3"/>
    <w:rsid w:val="00FF64E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DE40E47"/>
  <w15:chartTrackingRefBased/>
  <w15:docId w15:val="{F629D17B-1E7D-4783-96EC-E8BD0FE17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firstLine="357"/>
      <w:jc w:val="both"/>
    </w:pPr>
    <w:rPr>
      <w:szCs w:val="24"/>
      <w:lang w:val="en-US" w:eastAsia="ja-JP"/>
    </w:rPr>
  </w:style>
  <w:style w:type="paragraph" w:styleId="Heading1">
    <w:name w:val="heading 1"/>
    <w:basedOn w:val="Normal"/>
    <w:next w:val="NoindentNormal"/>
    <w:qFormat/>
    <w:pPr>
      <w:keepNext/>
      <w:keepLines/>
      <w:numPr>
        <w:numId w:val="4"/>
      </w:numPr>
      <w:suppressAutoHyphens/>
      <w:spacing w:before="480" w:after="240"/>
      <w:jc w:val="left"/>
      <w:outlineLvl w:val="0"/>
    </w:pPr>
    <w:rPr>
      <w:rFonts w:cs="Arial"/>
      <w:b/>
      <w:bCs/>
      <w:kern w:val="32"/>
      <w:szCs w:val="32"/>
    </w:rPr>
  </w:style>
  <w:style w:type="paragraph" w:styleId="Heading2">
    <w:name w:val="heading 2"/>
    <w:basedOn w:val="Normal"/>
    <w:next w:val="NoindentNormal"/>
    <w:qFormat/>
    <w:pPr>
      <w:keepNext/>
      <w:keepLines/>
      <w:numPr>
        <w:ilvl w:val="1"/>
        <w:numId w:val="4"/>
      </w:numPr>
      <w:suppressAutoHyphens/>
      <w:spacing w:before="240" w:after="240"/>
      <w:jc w:val="left"/>
      <w:outlineLvl w:val="1"/>
    </w:pPr>
    <w:rPr>
      <w:rFonts w:cs="Arial"/>
      <w:bCs/>
      <w:i/>
      <w:iCs/>
      <w:szCs w:val="28"/>
    </w:rPr>
  </w:style>
  <w:style w:type="paragraph" w:styleId="Heading3">
    <w:name w:val="heading 3"/>
    <w:basedOn w:val="Normal"/>
    <w:next w:val="NoindentNormal"/>
    <w:qFormat/>
    <w:pPr>
      <w:keepNext/>
      <w:keepLines/>
      <w:numPr>
        <w:ilvl w:val="2"/>
        <w:numId w:val="4"/>
      </w:numPr>
      <w:suppressAutoHyphens/>
      <w:spacing w:before="240" w:after="120"/>
      <w:jc w:val="left"/>
      <w:outlineLvl w:val="2"/>
    </w:pPr>
    <w:rPr>
      <w:rFonts w:cs="Arial"/>
      <w:bCs/>
      <w:i/>
      <w:szCs w:val="26"/>
    </w:rPr>
  </w:style>
  <w:style w:type="paragraph" w:styleId="Heading4">
    <w:name w:val="heading 4"/>
    <w:basedOn w:val="Normal"/>
    <w:next w:val="NoindentNormal"/>
    <w:qFormat/>
    <w:pPr>
      <w:keepNext/>
      <w:numPr>
        <w:ilvl w:val="3"/>
        <w:numId w:val="4"/>
      </w:numPr>
      <w:suppressAutoHyphens/>
      <w:spacing w:before="120"/>
      <w:jc w:val="left"/>
      <w:outlineLvl w:val="3"/>
    </w:pPr>
    <w:rPr>
      <w:bCs/>
      <w:i/>
      <w:szCs w:val="28"/>
    </w:rPr>
  </w:style>
  <w:style w:type="paragraph" w:styleId="Heading5">
    <w:name w:val="heading 5"/>
    <w:basedOn w:val="Normal"/>
    <w:next w:val="NoindentNormal"/>
    <w:qFormat/>
    <w:pPr>
      <w:numPr>
        <w:ilvl w:val="4"/>
        <w:numId w:val="4"/>
      </w:numPr>
      <w:jc w:val="left"/>
      <w:outlineLvl w:val="4"/>
    </w:pPr>
    <w:rPr>
      <w:bCs/>
      <w:i/>
      <w:iCs/>
      <w:szCs w:val="26"/>
    </w:rPr>
  </w:style>
  <w:style w:type="paragraph" w:styleId="Heading6">
    <w:name w:val="heading 6"/>
    <w:basedOn w:val="Normal"/>
    <w:next w:val="Normal"/>
    <w:qFormat/>
    <w:pPr>
      <w:numPr>
        <w:ilvl w:val="5"/>
        <w:numId w:val="4"/>
      </w:numPr>
      <w:spacing w:before="240"/>
      <w:outlineLvl w:val="5"/>
    </w:pPr>
    <w:rPr>
      <w:bCs/>
      <w:szCs w:val="22"/>
    </w:rPr>
  </w:style>
  <w:style w:type="paragraph" w:styleId="Heading7">
    <w:name w:val="heading 7"/>
    <w:basedOn w:val="Normal"/>
    <w:next w:val="Normal"/>
    <w:qFormat/>
    <w:pPr>
      <w:spacing w:before="240" w:after="60"/>
      <w:outlineLvl w:val="6"/>
    </w:pPr>
    <w:rPr>
      <w:sz w:val="24"/>
    </w:rPr>
  </w:style>
  <w:style w:type="paragraph" w:styleId="Heading8">
    <w:name w:val="heading 8"/>
    <w:basedOn w:val="Normal"/>
    <w:next w:val="Normal"/>
    <w:qFormat/>
    <w:pPr>
      <w:spacing w:before="240" w:after="60"/>
      <w:outlineLvl w:val="7"/>
    </w:pPr>
    <w:rPr>
      <w:i/>
      <w:iCs/>
      <w:sz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indentNormal">
    <w:name w:val="NoindentNormal"/>
    <w:basedOn w:val="Normal"/>
    <w:next w:val="Normal"/>
    <w:pPr>
      <w:ind w:firstLine="0"/>
    </w:pPr>
  </w:style>
  <w:style w:type="paragraph" w:customStyle="1" w:styleId="Citaat1">
    <w:name w:val="Citaat1"/>
    <w:basedOn w:val="Normal"/>
    <w:pPr>
      <w:ind w:left="204"/>
    </w:pPr>
    <w:rPr>
      <w:sz w:val="18"/>
    </w:rPr>
  </w:style>
  <w:style w:type="paragraph" w:customStyle="1" w:styleId="Abstract">
    <w:name w:val="Abstract"/>
    <w:basedOn w:val="Normal"/>
    <w:pPr>
      <w:adjustRightInd w:val="0"/>
      <w:snapToGrid w:val="0"/>
      <w:spacing w:before="480"/>
      <w:ind w:left="851" w:right="851" w:firstLine="0"/>
    </w:pPr>
    <w:rPr>
      <w:sz w:val="16"/>
    </w:rPr>
  </w:style>
  <w:style w:type="paragraph" w:customStyle="1" w:styleId="Affiliation">
    <w:name w:val="Affiliation"/>
    <w:basedOn w:val="Normal"/>
    <w:pPr>
      <w:ind w:firstLine="0"/>
      <w:jc w:val="center"/>
    </w:pPr>
    <w:rPr>
      <w:i/>
    </w:rPr>
  </w:style>
  <w:style w:type="paragraph" w:customStyle="1" w:styleId="Equation">
    <w:name w:val="Equation"/>
    <w:basedOn w:val="Normal"/>
    <w:pPr>
      <w:tabs>
        <w:tab w:val="left" w:pos="6781"/>
      </w:tabs>
      <w:spacing w:before="240" w:after="240"/>
      <w:ind w:left="454" w:firstLine="0"/>
      <w:jc w:val="left"/>
    </w:pPr>
  </w:style>
  <w:style w:type="paragraph" w:customStyle="1" w:styleId="Footnote">
    <w:name w:val="Footnote"/>
    <w:basedOn w:val="Normal"/>
    <w:pPr>
      <w:ind w:firstLine="136"/>
    </w:pPr>
    <w:rPr>
      <w:sz w:val="16"/>
    </w:rPr>
  </w:style>
  <w:style w:type="paragraph" w:customStyle="1" w:styleId="LISTalph">
    <w:name w:val="LISTalph"/>
    <w:basedOn w:val="Normal"/>
    <w:pPr>
      <w:numPr>
        <w:numId w:val="1"/>
      </w:numPr>
      <w:tabs>
        <w:tab w:val="left" w:pos="499"/>
      </w:tabs>
    </w:pPr>
  </w:style>
  <w:style w:type="paragraph" w:customStyle="1" w:styleId="LISTdash">
    <w:name w:val="LISTdash"/>
    <w:basedOn w:val="Normal"/>
    <w:pPr>
      <w:numPr>
        <w:numId w:val="2"/>
      </w:numPr>
      <w:tabs>
        <w:tab w:val="left" w:pos="454"/>
      </w:tabs>
      <w:adjustRightInd w:val="0"/>
      <w:snapToGrid w:val="0"/>
    </w:pPr>
  </w:style>
  <w:style w:type="paragraph" w:customStyle="1" w:styleId="LISTnum">
    <w:name w:val="LISTnum"/>
    <w:basedOn w:val="Normal"/>
    <w:pPr>
      <w:numPr>
        <w:numId w:val="6"/>
      </w:numPr>
      <w:adjustRightInd w:val="0"/>
      <w:snapToGrid w:val="0"/>
      <w:ind w:left="714" w:hanging="357"/>
    </w:pPr>
  </w:style>
  <w:style w:type="paragraph" w:customStyle="1" w:styleId="References">
    <w:name w:val="References"/>
    <w:basedOn w:val="Normal"/>
    <w:pPr>
      <w:numPr>
        <w:numId w:val="7"/>
      </w:numPr>
      <w:tabs>
        <w:tab w:val="left" w:pos="85"/>
      </w:tabs>
    </w:pPr>
    <w:rPr>
      <w:sz w:val="16"/>
    </w:rPr>
  </w:style>
  <w:style w:type="paragraph" w:customStyle="1" w:styleId="Table">
    <w:name w:val="Table"/>
    <w:basedOn w:val="Normal"/>
    <w:pPr>
      <w:spacing w:before="60" w:after="60"/>
      <w:ind w:firstLine="0"/>
      <w:jc w:val="left"/>
    </w:pPr>
    <w:rPr>
      <w:sz w:val="16"/>
    </w:rPr>
  </w:style>
  <w:style w:type="paragraph" w:styleId="Title">
    <w:name w:val="Title"/>
    <w:basedOn w:val="Normal"/>
    <w:next w:val="Normal"/>
    <w:qFormat/>
    <w:pPr>
      <w:spacing w:before="480" w:after="320"/>
      <w:ind w:firstLine="0"/>
      <w:jc w:val="center"/>
    </w:pPr>
    <w:rPr>
      <w:noProof/>
      <w:kern w:val="28"/>
      <w:sz w:val="40"/>
    </w:rPr>
  </w:style>
  <w:style w:type="paragraph" w:customStyle="1" w:styleId="Author">
    <w:name w:val="Author"/>
    <w:basedOn w:val="Normal"/>
    <w:pPr>
      <w:ind w:firstLine="0"/>
      <w:jc w:val="center"/>
    </w:pPr>
  </w:style>
  <w:style w:type="paragraph" w:styleId="Caption">
    <w:name w:val="caption"/>
    <w:basedOn w:val="Normal"/>
    <w:next w:val="Normal"/>
    <w:qFormat/>
    <w:pPr>
      <w:spacing w:before="80" w:after="80"/>
      <w:ind w:firstLine="0"/>
    </w:pPr>
    <w:rPr>
      <w:sz w:val="16"/>
    </w:rPr>
  </w:style>
  <w:style w:type="paragraph" w:customStyle="1" w:styleId="LISTDescription">
    <w:name w:val="LISTDescription"/>
    <w:basedOn w:val="Normal"/>
    <w:pPr>
      <w:ind w:left="454" w:hanging="454"/>
    </w:pPr>
  </w:style>
  <w:style w:type="paragraph" w:customStyle="1" w:styleId="Notes">
    <w:name w:val="Notes"/>
    <w:basedOn w:val="Normal"/>
    <w:rPr>
      <w:sz w:val="16"/>
    </w:rPr>
  </w:style>
  <w:style w:type="paragraph" w:styleId="BodyText">
    <w:name w:val="Body Text"/>
    <w:basedOn w:val="Normal"/>
    <w:link w:val="BodyTextChar"/>
    <w:uiPriority w:val="99"/>
    <w:pPr>
      <w:spacing w:after="120"/>
    </w:pPr>
  </w:style>
  <w:style w:type="paragraph" w:customStyle="1" w:styleId="CaptionLong">
    <w:name w:val="CaptionLong"/>
    <w:basedOn w:val="Normal"/>
    <w:pPr>
      <w:spacing w:before="80" w:after="80"/>
      <w:ind w:firstLine="0"/>
    </w:pPr>
    <w:rPr>
      <w:sz w:val="16"/>
    </w:rPr>
  </w:style>
  <w:style w:type="paragraph" w:customStyle="1" w:styleId="HeadingUnn1">
    <w:name w:val="HeadingUnn1"/>
    <w:basedOn w:val="Heading1"/>
    <w:next w:val="NoindentNormal"/>
    <w:pPr>
      <w:numPr>
        <w:numId w:val="0"/>
      </w:numPr>
    </w:pPr>
    <w:rPr>
      <w:bCs w:val="0"/>
    </w:rPr>
  </w:style>
  <w:style w:type="paragraph" w:customStyle="1" w:styleId="HeadingUnn2">
    <w:name w:val="HeadingUnn2"/>
    <w:basedOn w:val="Heading2"/>
    <w:next w:val="NoindentNormal"/>
    <w:pPr>
      <w:numPr>
        <w:ilvl w:val="0"/>
        <w:numId w:val="0"/>
      </w:numPr>
    </w:pPr>
  </w:style>
  <w:style w:type="paragraph" w:customStyle="1" w:styleId="HeadingUnn3">
    <w:name w:val="HeadingUnn3"/>
    <w:basedOn w:val="Heading3"/>
    <w:next w:val="NoindentNormal"/>
    <w:pPr>
      <w:numPr>
        <w:ilvl w:val="0"/>
        <w:numId w:val="0"/>
      </w:numPr>
    </w:pPr>
  </w:style>
  <w:style w:type="paragraph" w:customStyle="1" w:styleId="HeadingUnn4">
    <w:name w:val="HeadingUnn4"/>
    <w:basedOn w:val="Heading4"/>
    <w:next w:val="NoindentNormal"/>
    <w:pPr>
      <w:numPr>
        <w:ilvl w:val="0"/>
        <w:numId w:val="0"/>
      </w:numPr>
    </w:pPr>
  </w:style>
  <w:style w:type="paragraph" w:customStyle="1" w:styleId="HeadingUnn5">
    <w:name w:val="HeadingUnn5"/>
    <w:basedOn w:val="Heading5"/>
    <w:next w:val="Normal"/>
    <w:pPr>
      <w:numPr>
        <w:ilvl w:val="0"/>
        <w:numId w:val="0"/>
      </w:numPr>
      <w:spacing w:before="120"/>
    </w:pPr>
  </w:style>
  <w:style w:type="paragraph" w:styleId="ListNumber">
    <w:name w:val="List Number"/>
    <w:basedOn w:val="Normal"/>
    <w:semiHidden/>
    <w:pPr>
      <w:numPr>
        <w:numId w:val="3"/>
      </w:numPr>
    </w:pPr>
  </w:style>
  <w:style w:type="paragraph" w:customStyle="1" w:styleId="CaptionShort">
    <w:name w:val="CaptionShort"/>
    <w:basedOn w:val="Normal"/>
    <w:pPr>
      <w:spacing w:before="80" w:after="80"/>
      <w:ind w:firstLine="0"/>
      <w:jc w:val="center"/>
    </w:pPr>
    <w:rPr>
      <w:sz w:val="16"/>
    </w:rPr>
  </w:style>
  <w:style w:type="paragraph" w:customStyle="1" w:styleId="Listbul">
    <w:name w:val="Listbul"/>
    <w:basedOn w:val="Normal"/>
    <w:pPr>
      <w:numPr>
        <w:numId w:val="5"/>
      </w:numPr>
    </w:pPr>
  </w:style>
  <w:style w:type="paragraph" w:customStyle="1" w:styleId="Keywords">
    <w:name w:val="Keywords"/>
    <w:basedOn w:val="Abstract"/>
    <w:next w:val="Heading1"/>
    <w:pPr>
      <w:spacing w:before="240" w:after="240"/>
    </w:pPr>
  </w:style>
  <w:style w:type="paragraph" w:styleId="FootnoteText">
    <w:name w:val="footnote text"/>
    <w:basedOn w:val="Normal"/>
    <w:semiHidden/>
    <w:rPr>
      <w:szCs w:val="20"/>
    </w:rPr>
  </w:style>
  <w:style w:type="character" w:styleId="FootnoteReference">
    <w:name w:val="footnote reference"/>
    <w:semiHidden/>
    <w:rPr>
      <w:vertAlign w:val="superscript"/>
    </w:rPr>
  </w:style>
  <w:style w:type="character" w:customStyle="1" w:styleId="FootnoteChar">
    <w:name w:val="Footnote Char"/>
    <w:rPr>
      <w:rFonts w:eastAsia="MS Mincho"/>
      <w:sz w:val="16"/>
      <w:szCs w:val="24"/>
      <w:lang w:val="en-US" w:eastAsia="ja-JP" w:bidi="ar-SA"/>
    </w:rPr>
  </w:style>
  <w:style w:type="character" w:customStyle="1" w:styleId="MTEquationSection">
    <w:name w:val="MTEquationSection"/>
    <w:rPr>
      <w:i/>
      <w:vanish/>
      <w:color w:val="FF0000"/>
    </w:rPr>
  </w:style>
  <w:style w:type="character" w:styleId="Hyperlink">
    <w:name w:val="Hyperlink"/>
    <w:basedOn w:val="DefaultParagraphFont"/>
    <w:uiPriority w:val="99"/>
    <w:unhideWhenUsed/>
    <w:rsid w:val="00411859"/>
    <w:rPr>
      <w:color w:val="0563C1" w:themeColor="hyperlink"/>
      <w:u w:val="single"/>
    </w:rPr>
  </w:style>
  <w:style w:type="paragraph" w:customStyle="1" w:styleId="Default">
    <w:name w:val="Default"/>
    <w:rsid w:val="00411859"/>
    <w:pPr>
      <w:autoSpaceDE w:val="0"/>
      <w:autoSpaceDN w:val="0"/>
      <w:adjustRightInd w:val="0"/>
    </w:pPr>
    <w:rPr>
      <w:rFonts w:eastAsiaTheme="minorHAnsi"/>
      <w:color w:val="000000"/>
      <w:sz w:val="24"/>
      <w:szCs w:val="24"/>
      <w:lang w:val="it-IT" w:eastAsia="en-US"/>
    </w:rPr>
  </w:style>
  <w:style w:type="table" w:styleId="TableGrid">
    <w:name w:val="Table Grid"/>
    <w:basedOn w:val="TableNormal"/>
    <w:rsid w:val="00E627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Figs and tables"/>
    <w:basedOn w:val="Normal"/>
    <w:link w:val="ListParagraphChar"/>
    <w:uiPriority w:val="34"/>
    <w:qFormat/>
    <w:rsid w:val="00A27D6D"/>
    <w:pPr>
      <w:ind w:left="720"/>
      <w:contextualSpacing/>
    </w:pPr>
  </w:style>
  <w:style w:type="paragraph" w:styleId="CommentText">
    <w:name w:val="annotation text"/>
    <w:basedOn w:val="Normal"/>
    <w:link w:val="CommentTextChar"/>
    <w:uiPriority w:val="99"/>
    <w:unhideWhenUsed/>
    <w:rsid w:val="00D17E4A"/>
    <w:pPr>
      <w:spacing w:before="120" w:after="120"/>
      <w:ind w:firstLine="0"/>
    </w:pPr>
    <w:rPr>
      <w:rFonts w:ascii="Century Gothic" w:eastAsiaTheme="minorHAnsi" w:hAnsi="Century Gothic" w:cs="Calibri (Hoofdtekst)"/>
      <w:szCs w:val="20"/>
      <w:lang w:val="en-GB" w:eastAsia="de-DE"/>
    </w:rPr>
  </w:style>
  <w:style w:type="character" w:customStyle="1" w:styleId="CommentTextChar">
    <w:name w:val="Comment Text Char"/>
    <w:basedOn w:val="DefaultParagraphFont"/>
    <w:link w:val="CommentText"/>
    <w:uiPriority w:val="99"/>
    <w:rsid w:val="00D17E4A"/>
    <w:rPr>
      <w:rFonts w:ascii="Century Gothic" w:eastAsiaTheme="minorHAnsi" w:hAnsi="Century Gothic" w:cs="Calibri (Hoofdtekst)"/>
      <w:lang w:val="en-GB" w:eastAsia="de-DE"/>
    </w:rPr>
  </w:style>
  <w:style w:type="character" w:styleId="CommentReference">
    <w:name w:val="annotation reference"/>
    <w:basedOn w:val="DefaultParagraphFont"/>
    <w:uiPriority w:val="99"/>
    <w:semiHidden/>
    <w:unhideWhenUsed/>
    <w:rsid w:val="00D17E4A"/>
    <w:rPr>
      <w:sz w:val="16"/>
      <w:szCs w:val="16"/>
    </w:rPr>
  </w:style>
  <w:style w:type="character" w:customStyle="1" w:styleId="BodyTextChar">
    <w:name w:val="Body Text Char"/>
    <w:basedOn w:val="DefaultParagraphFont"/>
    <w:link w:val="BodyText"/>
    <w:uiPriority w:val="99"/>
    <w:rsid w:val="00473019"/>
    <w:rPr>
      <w:szCs w:val="24"/>
      <w:lang w:val="en-US" w:eastAsia="ja-JP"/>
    </w:rPr>
  </w:style>
  <w:style w:type="character" w:customStyle="1" w:styleId="ListParagraphChar">
    <w:name w:val="List Paragraph Char"/>
    <w:aliases w:val="Figs and tables Char"/>
    <w:basedOn w:val="DefaultParagraphFont"/>
    <w:link w:val="ListParagraph"/>
    <w:uiPriority w:val="34"/>
    <w:locked/>
    <w:rsid w:val="00D64531"/>
    <w:rPr>
      <w:szCs w:val="24"/>
      <w:lang w:val="en-US" w:eastAsia="ja-JP"/>
    </w:rPr>
  </w:style>
  <w:style w:type="paragraph" w:styleId="NormalWeb">
    <w:name w:val="Normal (Web)"/>
    <w:basedOn w:val="Normal"/>
    <w:uiPriority w:val="99"/>
    <w:unhideWhenUsed/>
    <w:rsid w:val="00FF04E4"/>
    <w:pPr>
      <w:spacing w:before="100" w:beforeAutospacing="1" w:after="100" w:afterAutospacing="1"/>
      <w:ind w:firstLine="0"/>
      <w:jc w:val="left"/>
    </w:pPr>
    <w:rPr>
      <w:rFonts w:eastAsia="Times New Roman"/>
      <w:sz w:val="24"/>
    </w:rPr>
  </w:style>
  <w:style w:type="paragraph" w:styleId="ListBullet3">
    <w:name w:val="List Bullet 3"/>
    <w:basedOn w:val="Normal"/>
    <w:autoRedefine/>
    <w:rsid w:val="004977B1"/>
    <w:pPr>
      <w:widowControl w:val="0"/>
      <w:numPr>
        <w:numId w:val="12"/>
      </w:numPr>
      <w:jc w:val="left"/>
    </w:pPr>
    <w:rPr>
      <w:rFonts w:eastAsia="SimSun"/>
      <w:snapToGrid w:val="0"/>
      <w:szCs w:val="20"/>
      <w:lang w:eastAsia="en-US"/>
    </w:rPr>
  </w:style>
  <w:style w:type="paragraph" w:customStyle="1" w:styleId="OPSOMMING">
    <w:name w:val="OPSOMMING"/>
    <w:basedOn w:val="Normal"/>
    <w:qFormat/>
    <w:rsid w:val="00E22970"/>
    <w:pPr>
      <w:numPr>
        <w:numId w:val="13"/>
      </w:numPr>
      <w:spacing w:before="120" w:after="120" w:line="276" w:lineRule="auto"/>
      <w:jc w:val="left"/>
    </w:pPr>
    <w:rPr>
      <w:rFonts w:ascii="Century Gothic" w:eastAsia="SimSun" w:hAnsi="Century Gothic" w:cs="Calibri (Hoofdtekst)"/>
      <w:szCs w:val="22"/>
      <w:lang w:val="en-GB" w:eastAsia="de-DE"/>
    </w:rPr>
  </w:style>
  <w:style w:type="paragraph" w:styleId="CommentSubject">
    <w:name w:val="annotation subject"/>
    <w:basedOn w:val="CommentText"/>
    <w:next w:val="CommentText"/>
    <w:link w:val="CommentSubjectChar"/>
    <w:uiPriority w:val="99"/>
    <w:semiHidden/>
    <w:unhideWhenUsed/>
    <w:rsid w:val="00A24C78"/>
    <w:pPr>
      <w:spacing w:before="0" w:after="0"/>
      <w:ind w:firstLine="357"/>
    </w:pPr>
    <w:rPr>
      <w:rFonts w:ascii="Times New Roman" w:eastAsia="MS Mincho" w:hAnsi="Times New Roman" w:cs="Times New Roman"/>
      <w:b/>
      <w:bCs/>
      <w:lang w:val="en-US" w:eastAsia="ja-JP"/>
    </w:rPr>
  </w:style>
  <w:style w:type="character" w:customStyle="1" w:styleId="CommentSubjectChar">
    <w:name w:val="Comment Subject Char"/>
    <w:basedOn w:val="CommentTextChar"/>
    <w:link w:val="CommentSubject"/>
    <w:uiPriority w:val="99"/>
    <w:semiHidden/>
    <w:rsid w:val="00A24C78"/>
    <w:rPr>
      <w:rFonts w:ascii="Century Gothic" w:eastAsiaTheme="minorHAnsi" w:hAnsi="Century Gothic" w:cs="Calibri (Hoofdtekst)"/>
      <w:b/>
      <w:bCs/>
      <w:lang w:val="en-US" w:eastAsia="ja-JP"/>
    </w:rPr>
  </w:style>
  <w:style w:type="paragraph" w:styleId="BalloonText">
    <w:name w:val="Balloon Text"/>
    <w:basedOn w:val="Normal"/>
    <w:link w:val="BalloonTextChar"/>
    <w:uiPriority w:val="99"/>
    <w:semiHidden/>
    <w:unhideWhenUsed/>
    <w:rsid w:val="005875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7531"/>
    <w:rPr>
      <w:rFonts w:ascii="Segoe UI" w:hAnsi="Segoe UI" w:cs="Segoe UI"/>
      <w:sz w:val="18"/>
      <w:szCs w:val="18"/>
      <w:lang w:val="en-US" w:eastAsia="ja-JP"/>
    </w:rPr>
  </w:style>
  <w:style w:type="character" w:customStyle="1" w:styleId="authors">
    <w:name w:val="authors"/>
    <w:basedOn w:val="DefaultParagraphFont"/>
    <w:rsid w:val="00E03A07"/>
  </w:style>
  <w:style w:type="character" w:customStyle="1" w:styleId="Date1">
    <w:name w:val="Date1"/>
    <w:basedOn w:val="DefaultParagraphFont"/>
    <w:rsid w:val="00E03A07"/>
  </w:style>
  <w:style w:type="character" w:customStyle="1" w:styleId="arttitle">
    <w:name w:val="art_title"/>
    <w:basedOn w:val="DefaultParagraphFont"/>
    <w:rsid w:val="00E03A07"/>
  </w:style>
  <w:style w:type="character" w:customStyle="1" w:styleId="serialtitle">
    <w:name w:val="serial_title"/>
    <w:basedOn w:val="DefaultParagraphFont"/>
    <w:rsid w:val="00E03A07"/>
  </w:style>
  <w:style w:type="character" w:customStyle="1" w:styleId="doilink">
    <w:name w:val="doi_link"/>
    <w:basedOn w:val="DefaultParagraphFont"/>
    <w:rsid w:val="00E03A07"/>
  </w:style>
  <w:style w:type="character" w:styleId="Emphasis">
    <w:name w:val="Emphasis"/>
    <w:basedOn w:val="DefaultParagraphFont"/>
    <w:uiPriority w:val="20"/>
    <w:qFormat/>
    <w:rsid w:val="0037345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356068">
      <w:bodyDiv w:val="1"/>
      <w:marLeft w:val="0"/>
      <w:marRight w:val="0"/>
      <w:marTop w:val="0"/>
      <w:marBottom w:val="0"/>
      <w:divBdr>
        <w:top w:val="none" w:sz="0" w:space="0" w:color="auto"/>
        <w:left w:val="none" w:sz="0" w:space="0" w:color="auto"/>
        <w:bottom w:val="none" w:sz="0" w:space="0" w:color="auto"/>
        <w:right w:val="none" w:sz="0" w:space="0" w:color="auto"/>
      </w:divBdr>
      <w:divsChild>
        <w:div w:id="783891872">
          <w:marLeft w:val="720"/>
          <w:marRight w:val="0"/>
          <w:marTop w:val="0"/>
          <w:marBottom w:val="0"/>
          <w:divBdr>
            <w:top w:val="none" w:sz="0" w:space="0" w:color="auto"/>
            <w:left w:val="none" w:sz="0" w:space="0" w:color="auto"/>
            <w:bottom w:val="none" w:sz="0" w:space="0" w:color="auto"/>
            <w:right w:val="none" w:sz="0" w:space="0" w:color="auto"/>
          </w:divBdr>
        </w:div>
        <w:div w:id="351761660">
          <w:marLeft w:val="720"/>
          <w:marRight w:val="0"/>
          <w:marTop w:val="0"/>
          <w:marBottom w:val="0"/>
          <w:divBdr>
            <w:top w:val="none" w:sz="0" w:space="0" w:color="auto"/>
            <w:left w:val="none" w:sz="0" w:space="0" w:color="auto"/>
            <w:bottom w:val="none" w:sz="0" w:space="0" w:color="auto"/>
            <w:right w:val="none" w:sz="0" w:space="0" w:color="auto"/>
          </w:divBdr>
        </w:div>
      </w:divsChild>
    </w:div>
    <w:div w:id="71464506">
      <w:bodyDiv w:val="1"/>
      <w:marLeft w:val="0"/>
      <w:marRight w:val="0"/>
      <w:marTop w:val="0"/>
      <w:marBottom w:val="0"/>
      <w:divBdr>
        <w:top w:val="none" w:sz="0" w:space="0" w:color="auto"/>
        <w:left w:val="none" w:sz="0" w:space="0" w:color="auto"/>
        <w:bottom w:val="none" w:sz="0" w:space="0" w:color="auto"/>
        <w:right w:val="none" w:sz="0" w:space="0" w:color="auto"/>
      </w:divBdr>
      <w:divsChild>
        <w:div w:id="1015619701">
          <w:marLeft w:val="720"/>
          <w:marRight w:val="0"/>
          <w:marTop w:val="0"/>
          <w:marBottom w:val="0"/>
          <w:divBdr>
            <w:top w:val="none" w:sz="0" w:space="0" w:color="auto"/>
            <w:left w:val="none" w:sz="0" w:space="0" w:color="auto"/>
            <w:bottom w:val="none" w:sz="0" w:space="0" w:color="auto"/>
            <w:right w:val="none" w:sz="0" w:space="0" w:color="auto"/>
          </w:divBdr>
        </w:div>
        <w:div w:id="1358392679">
          <w:marLeft w:val="720"/>
          <w:marRight w:val="0"/>
          <w:marTop w:val="0"/>
          <w:marBottom w:val="0"/>
          <w:divBdr>
            <w:top w:val="none" w:sz="0" w:space="0" w:color="auto"/>
            <w:left w:val="none" w:sz="0" w:space="0" w:color="auto"/>
            <w:bottom w:val="none" w:sz="0" w:space="0" w:color="auto"/>
            <w:right w:val="none" w:sz="0" w:space="0" w:color="auto"/>
          </w:divBdr>
        </w:div>
        <w:div w:id="355083223">
          <w:marLeft w:val="720"/>
          <w:marRight w:val="0"/>
          <w:marTop w:val="0"/>
          <w:marBottom w:val="0"/>
          <w:divBdr>
            <w:top w:val="none" w:sz="0" w:space="0" w:color="auto"/>
            <w:left w:val="none" w:sz="0" w:space="0" w:color="auto"/>
            <w:bottom w:val="none" w:sz="0" w:space="0" w:color="auto"/>
            <w:right w:val="none" w:sz="0" w:space="0" w:color="auto"/>
          </w:divBdr>
        </w:div>
      </w:divsChild>
    </w:div>
    <w:div w:id="85346818">
      <w:bodyDiv w:val="1"/>
      <w:marLeft w:val="0"/>
      <w:marRight w:val="0"/>
      <w:marTop w:val="0"/>
      <w:marBottom w:val="0"/>
      <w:divBdr>
        <w:top w:val="none" w:sz="0" w:space="0" w:color="auto"/>
        <w:left w:val="none" w:sz="0" w:space="0" w:color="auto"/>
        <w:bottom w:val="none" w:sz="0" w:space="0" w:color="auto"/>
        <w:right w:val="none" w:sz="0" w:space="0" w:color="auto"/>
      </w:divBdr>
      <w:divsChild>
        <w:div w:id="2095779622">
          <w:marLeft w:val="720"/>
          <w:marRight w:val="0"/>
          <w:marTop w:val="0"/>
          <w:marBottom w:val="0"/>
          <w:divBdr>
            <w:top w:val="none" w:sz="0" w:space="0" w:color="auto"/>
            <w:left w:val="none" w:sz="0" w:space="0" w:color="auto"/>
            <w:bottom w:val="none" w:sz="0" w:space="0" w:color="auto"/>
            <w:right w:val="none" w:sz="0" w:space="0" w:color="auto"/>
          </w:divBdr>
        </w:div>
        <w:div w:id="56439892">
          <w:marLeft w:val="720"/>
          <w:marRight w:val="0"/>
          <w:marTop w:val="0"/>
          <w:marBottom w:val="0"/>
          <w:divBdr>
            <w:top w:val="none" w:sz="0" w:space="0" w:color="auto"/>
            <w:left w:val="none" w:sz="0" w:space="0" w:color="auto"/>
            <w:bottom w:val="none" w:sz="0" w:space="0" w:color="auto"/>
            <w:right w:val="none" w:sz="0" w:space="0" w:color="auto"/>
          </w:divBdr>
        </w:div>
        <w:div w:id="877208282">
          <w:marLeft w:val="720"/>
          <w:marRight w:val="0"/>
          <w:marTop w:val="0"/>
          <w:marBottom w:val="0"/>
          <w:divBdr>
            <w:top w:val="none" w:sz="0" w:space="0" w:color="auto"/>
            <w:left w:val="none" w:sz="0" w:space="0" w:color="auto"/>
            <w:bottom w:val="none" w:sz="0" w:space="0" w:color="auto"/>
            <w:right w:val="none" w:sz="0" w:space="0" w:color="auto"/>
          </w:divBdr>
        </w:div>
      </w:divsChild>
    </w:div>
    <w:div w:id="216167027">
      <w:bodyDiv w:val="1"/>
      <w:marLeft w:val="0"/>
      <w:marRight w:val="0"/>
      <w:marTop w:val="0"/>
      <w:marBottom w:val="0"/>
      <w:divBdr>
        <w:top w:val="none" w:sz="0" w:space="0" w:color="auto"/>
        <w:left w:val="none" w:sz="0" w:space="0" w:color="auto"/>
        <w:bottom w:val="none" w:sz="0" w:space="0" w:color="auto"/>
        <w:right w:val="none" w:sz="0" w:space="0" w:color="auto"/>
      </w:divBdr>
    </w:div>
    <w:div w:id="401342792">
      <w:bodyDiv w:val="1"/>
      <w:marLeft w:val="0"/>
      <w:marRight w:val="0"/>
      <w:marTop w:val="0"/>
      <w:marBottom w:val="0"/>
      <w:divBdr>
        <w:top w:val="none" w:sz="0" w:space="0" w:color="auto"/>
        <w:left w:val="none" w:sz="0" w:space="0" w:color="auto"/>
        <w:bottom w:val="none" w:sz="0" w:space="0" w:color="auto"/>
        <w:right w:val="none" w:sz="0" w:space="0" w:color="auto"/>
      </w:divBdr>
      <w:divsChild>
        <w:div w:id="792865226">
          <w:marLeft w:val="0"/>
          <w:marRight w:val="0"/>
          <w:marTop w:val="200"/>
          <w:marBottom w:val="0"/>
          <w:divBdr>
            <w:top w:val="none" w:sz="0" w:space="0" w:color="auto"/>
            <w:left w:val="none" w:sz="0" w:space="0" w:color="auto"/>
            <w:bottom w:val="none" w:sz="0" w:space="0" w:color="auto"/>
            <w:right w:val="none" w:sz="0" w:space="0" w:color="auto"/>
          </w:divBdr>
        </w:div>
        <w:div w:id="519243090">
          <w:marLeft w:val="0"/>
          <w:marRight w:val="0"/>
          <w:marTop w:val="200"/>
          <w:marBottom w:val="0"/>
          <w:divBdr>
            <w:top w:val="none" w:sz="0" w:space="0" w:color="auto"/>
            <w:left w:val="none" w:sz="0" w:space="0" w:color="auto"/>
            <w:bottom w:val="none" w:sz="0" w:space="0" w:color="auto"/>
            <w:right w:val="none" w:sz="0" w:space="0" w:color="auto"/>
          </w:divBdr>
        </w:div>
      </w:divsChild>
    </w:div>
    <w:div w:id="419251789">
      <w:bodyDiv w:val="1"/>
      <w:marLeft w:val="0"/>
      <w:marRight w:val="0"/>
      <w:marTop w:val="0"/>
      <w:marBottom w:val="0"/>
      <w:divBdr>
        <w:top w:val="none" w:sz="0" w:space="0" w:color="auto"/>
        <w:left w:val="none" w:sz="0" w:space="0" w:color="auto"/>
        <w:bottom w:val="none" w:sz="0" w:space="0" w:color="auto"/>
        <w:right w:val="none" w:sz="0" w:space="0" w:color="auto"/>
      </w:divBdr>
    </w:div>
    <w:div w:id="612980128">
      <w:bodyDiv w:val="1"/>
      <w:marLeft w:val="0"/>
      <w:marRight w:val="0"/>
      <w:marTop w:val="0"/>
      <w:marBottom w:val="0"/>
      <w:divBdr>
        <w:top w:val="none" w:sz="0" w:space="0" w:color="auto"/>
        <w:left w:val="none" w:sz="0" w:space="0" w:color="auto"/>
        <w:bottom w:val="none" w:sz="0" w:space="0" w:color="auto"/>
        <w:right w:val="none" w:sz="0" w:space="0" w:color="auto"/>
      </w:divBdr>
      <w:divsChild>
        <w:div w:id="1596867286">
          <w:marLeft w:val="0"/>
          <w:marRight w:val="0"/>
          <w:marTop w:val="0"/>
          <w:marBottom w:val="0"/>
          <w:divBdr>
            <w:top w:val="none" w:sz="0" w:space="0" w:color="auto"/>
            <w:left w:val="none" w:sz="0" w:space="0" w:color="auto"/>
            <w:bottom w:val="none" w:sz="0" w:space="0" w:color="auto"/>
            <w:right w:val="none" w:sz="0" w:space="0" w:color="auto"/>
          </w:divBdr>
        </w:div>
      </w:divsChild>
    </w:div>
    <w:div w:id="722143262">
      <w:bodyDiv w:val="1"/>
      <w:marLeft w:val="0"/>
      <w:marRight w:val="0"/>
      <w:marTop w:val="0"/>
      <w:marBottom w:val="0"/>
      <w:divBdr>
        <w:top w:val="none" w:sz="0" w:space="0" w:color="auto"/>
        <w:left w:val="none" w:sz="0" w:space="0" w:color="auto"/>
        <w:bottom w:val="none" w:sz="0" w:space="0" w:color="auto"/>
        <w:right w:val="none" w:sz="0" w:space="0" w:color="auto"/>
      </w:divBdr>
      <w:divsChild>
        <w:div w:id="1984894134">
          <w:marLeft w:val="547"/>
          <w:marRight w:val="0"/>
          <w:marTop w:val="200"/>
          <w:marBottom w:val="0"/>
          <w:divBdr>
            <w:top w:val="none" w:sz="0" w:space="0" w:color="auto"/>
            <w:left w:val="none" w:sz="0" w:space="0" w:color="auto"/>
            <w:bottom w:val="none" w:sz="0" w:space="0" w:color="auto"/>
            <w:right w:val="none" w:sz="0" w:space="0" w:color="auto"/>
          </w:divBdr>
        </w:div>
        <w:div w:id="1765491019">
          <w:marLeft w:val="547"/>
          <w:marRight w:val="0"/>
          <w:marTop w:val="200"/>
          <w:marBottom w:val="0"/>
          <w:divBdr>
            <w:top w:val="none" w:sz="0" w:space="0" w:color="auto"/>
            <w:left w:val="none" w:sz="0" w:space="0" w:color="auto"/>
            <w:bottom w:val="none" w:sz="0" w:space="0" w:color="auto"/>
            <w:right w:val="none" w:sz="0" w:space="0" w:color="auto"/>
          </w:divBdr>
        </w:div>
        <w:div w:id="1985231551">
          <w:marLeft w:val="547"/>
          <w:marRight w:val="0"/>
          <w:marTop w:val="200"/>
          <w:marBottom w:val="0"/>
          <w:divBdr>
            <w:top w:val="none" w:sz="0" w:space="0" w:color="auto"/>
            <w:left w:val="none" w:sz="0" w:space="0" w:color="auto"/>
            <w:bottom w:val="none" w:sz="0" w:space="0" w:color="auto"/>
            <w:right w:val="none" w:sz="0" w:space="0" w:color="auto"/>
          </w:divBdr>
        </w:div>
        <w:div w:id="538468473">
          <w:marLeft w:val="547"/>
          <w:marRight w:val="0"/>
          <w:marTop w:val="200"/>
          <w:marBottom w:val="0"/>
          <w:divBdr>
            <w:top w:val="none" w:sz="0" w:space="0" w:color="auto"/>
            <w:left w:val="none" w:sz="0" w:space="0" w:color="auto"/>
            <w:bottom w:val="none" w:sz="0" w:space="0" w:color="auto"/>
            <w:right w:val="none" w:sz="0" w:space="0" w:color="auto"/>
          </w:divBdr>
        </w:div>
      </w:divsChild>
    </w:div>
    <w:div w:id="723063177">
      <w:bodyDiv w:val="1"/>
      <w:marLeft w:val="0"/>
      <w:marRight w:val="0"/>
      <w:marTop w:val="0"/>
      <w:marBottom w:val="0"/>
      <w:divBdr>
        <w:top w:val="none" w:sz="0" w:space="0" w:color="auto"/>
        <w:left w:val="none" w:sz="0" w:space="0" w:color="auto"/>
        <w:bottom w:val="none" w:sz="0" w:space="0" w:color="auto"/>
        <w:right w:val="none" w:sz="0" w:space="0" w:color="auto"/>
      </w:divBdr>
      <w:divsChild>
        <w:div w:id="1982691443">
          <w:marLeft w:val="547"/>
          <w:marRight w:val="0"/>
          <w:marTop w:val="0"/>
          <w:marBottom w:val="0"/>
          <w:divBdr>
            <w:top w:val="none" w:sz="0" w:space="0" w:color="auto"/>
            <w:left w:val="none" w:sz="0" w:space="0" w:color="auto"/>
            <w:bottom w:val="none" w:sz="0" w:space="0" w:color="auto"/>
            <w:right w:val="none" w:sz="0" w:space="0" w:color="auto"/>
          </w:divBdr>
        </w:div>
        <w:div w:id="1834249937">
          <w:marLeft w:val="547"/>
          <w:marRight w:val="0"/>
          <w:marTop w:val="0"/>
          <w:marBottom w:val="0"/>
          <w:divBdr>
            <w:top w:val="none" w:sz="0" w:space="0" w:color="auto"/>
            <w:left w:val="none" w:sz="0" w:space="0" w:color="auto"/>
            <w:bottom w:val="none" w:sz="0" w:space="0" w:color="auto"/>
            <w:right w:val="none" w:sz="0" w:space="0" w:color="auto"/>
          </w:divBdr>
        </w:div>
        <w:div w:id="259947297">
          <w:marLeft w:val="547"/>
          <w:marRight w:val="0"/>
          <w:marTop w:val="0"/>
          <w:marBottom w:val="0"/>
          <w:divBdr>
            <w:top w:val="none" w:sz="0" w:space="0" w:color="auto"/>
            <w:left w:val="none" w:sz="0" w:space="0" w:color="auto"/>
            <w:bottom w:val="none" w:sz="0" w:space="0" w:color="auto"/>
            <w:right w:val="none" w:sz="0" w:space="0" w:color="auto"/>
          </w:divBdr>
        </w:div>
        <w:div w:id="1370186963">
          <w:marLeft w:val="547"/>
          <w:marRight w:val="0"/>
          <w:marTop w:val="0"/>
          <w:marBottom w:val="0"/>
          <w:divBdr>
            <w:top w:val="none" w:sz="0" w:space="0" w:color="auto"/>
            <w:left w:val="none" w:sz="0" w:space="0" w:color="auto"/>
            <w:bottom w:val="none" w:sz="0" w:space="0" w:color="auto"/>
            <w:right w:val="none" w:sz="0" w:space="0" w:color="auto"/>
          </w:divBdr>
        </w:div>
      </w:divsChild>
    </w:div>
    <w:div w:id="740248471">
      <w:bodyDiv w:val="1"/>
      <w:marLeft w:val="0"/>
      <w:marRight w:val="0"/>
      <w:marTop w:val="0"/>
      <w:marBottom w:val="0"/>
      <w:divBdr>
        <w:top w:val="none" w:sz="0" w:space="0" w:color="auto"/>
        <w:left w:val="none" w:sz="0" w:space="0" w:color="auto"/>
        <w:bottom w:val="none" w:sz="0" w:space="0" w:color="auto"/>
        <w:right w:val="none" w:sz="0" w:space="0" w:color="auto"/>
      </w:divBdr>
      <w:divsChild>
        <w:div w:id="1676959985">
          <w:marLeft w:val="547"/>
          <w:marRight w:val="0"/>
          <w:marTop w:val="200"/>
          <w:marBottom w:val="0"/>
          <w:divBdr>
            <w:top w:val="none" w:sz="0" w:space="0" w:color="auto"/>
            <w:left w:val="none" w:sz="0" w:space="0" w:color="auto"/>
            <w:bottom w:val="none" w:sz="0" w:space="0" w:color="auto"/>
            <w:right w:val="none" w:sz="0" w:space="0" w:color="auto"/>
          </w:divBdr>
        </w:div>
      </w:divsChild>
    </w:div>
    <w:div w:id="871193553">
      <w:bodyDiv w:val="1"/>
      <w:marLeft w:val="0"/>
      <w:marRight w:val="0"/>
      <w:marTop w:val="0"/>
      <w:marBottom w:val="0"/>
      <w:divBdr>
        <w:top w:val="none" w:sz="0" w:space="0" w:color="auto"/>
        <w:left w:val="none" w:sz="0" w:space="0" w:color="auto"/>
        <w:bottom w:val="none" w:sz="0" w:space="0" w:color="auto"/>
        <w:right w:val="none" w:sz="0" w:space="0" w:color="auto"/>
      </w:divBdr>
    </w:div>
    <w:div w:id="914633931">
      <w:bodyDiv w:val="1"/>
      <w:marLeft w:val="0"/>
      <w:marRight w:val="0"/>
      <w:marTop w:val="0"/>
      <w:marBottom w:val="0"/>
      <w:divBdr>
        <w:top w:val="none" w:sz="0" w:space="0" w:color="auto"/>
        <w:left w:val="none" w:sz="0" w:space="0" w:color="auto"/>
        <w:bottom w:val="none" w:sz="0" w:space="0" w:color="auto"/>
        <w:right w:val="none" w:sz="0" w:space="0" w:color="auto"/>
      </w:divBdr>
    </w:div>
    <w:div w:id="928467305">
      <w:bodyDiv w:val="1"/>
      <w:marLeft w:val="0"/>
      <w:marRight w:val="0"/>
      <w:marTop w:val="0"/>
      <w:marBottom w:val="0"/>
      <w:divBdr>
        <w:top w:val="none" w:sz="0" w:space="0" w:color="auto"/>
        <w:left w:val="none" w:sz="0" w:space="0" w:color="auto"/>
        <w:bottom w:val="none" w:sz="0" w:space="0" w:color="auto"/>
        <w:right w:val="none" w:sz="0" w:space="0" w:color="auto"/>
      </w:divBdr>
    </w:div>
    <w:div w:id="954019552">
      <w:bodyDiv w:val="1"/>
      <w:marLeft w:val="0"/>
      <w:marRight w:val="0"/>
      <w:marTop w:val="0"/>
      <w:marBottom w:val="0"/>
      <w:divBdr>
        <w:top w:val="none" w:sz="0" w:space="0" w:color="auto"/>
        <w:left w:val="none" w:sz="0" w:space="0" w:color="auto"/>
        <w:bottom w:val="none" w:sz="0" w:space="0" w:color="auto"/>
        <w:right w:val="none" w:sz="0" w:space="0" w:color="auto"/>
      </w:divBdr>
    </w:div>
    <w:div w:id="1010832732">
      <w:bodyDiv w:val="1"/>
      <w:marLeft w:val="0"/>
      <w:marRight w:val="0"/>
      <w:marTop w:val="0"/>
      <w:marBottom w:val="0"/>
      <w:divBdr>
        <w:top w:val="none" w:sz="0" w:space="0" w:color="auto"/>
        <w:left w:val="none" w:sz="0" w:space="0" w:color="auto"/>
        <w:bottom w:val="none" w:sz="0" w:space="0" w:color="auto"/>
        <w:right w:val="none" w:sz="0" w:space="0" w:color="auto"/>
      </w:divBdr>
      <w:divsChild>
        <w:div w:id="952517575">
          <w:marLeft w:val="720"/>
          <w:marRight w:val="0"/>
          <w:marTop w:val="0"/>
          <w:marBottom w:val="0"/>
          <w:divBdr>
            <w:top w:val="none" w:sz="0" w:space="0" w:color="auto"/>
            <w:left w:val="none" w:sz="0" w:space="0" w:color="auto"/>
            <w:bottom w:val="none" w:sz="0" w:space="0" w:color="auto"/>
            <w:right w:val="none" w:sz="0" w:space="0" w:color="auto"/>
          </w:divBdr>
        </w:div>
      </w:divsChild>
    </w:div>
    <w:div w:id="1118569106">
      <w:bodyDiv w:val="1"/>
      <w:marLeft w:val="0"/>
      <w:marRight w:val="0"/>
      <w:marTop w:val="0"/>
      <w:marBottom w:val="0"/>
      <w:divBdr>
        <w:top w:val="none" w:sz="0" w:space="0" w:color="auto"/>
        <w:left w:val="none" w:sz="0" w:space="0" w:color="auto"/>
        <w:bottom w:val="none" w:sz="0" w:space="0" w:color="auto"/>
        <w:right w:val="none" w:sz="0" w:space="0" w:color="auto"/>
      </w:divBdr>
    </w:div>
    <w:div w:id="1293248000">
      <w:bodyDiv w:val="1"/>
      <w:marLeft w:val="0"/>
      <w:marRight w:val="0"/>
      <w:marTop w:val="0"/>
      <w:marBottom w:val="0"/>
      <w:divBdr>
        <w:top w:val="none" w:sz="0" w:space="0" w:color="auto"/>
        <w:left w:val="none" w:sz="0" w:space="0" w:color="auto"/>
        <w:bottom w:val="none" w:sz="0" w:space="0" w:color="auto"/>
        <w:right w:val="none" w:sz="0" w:space="0" w:color="auto"/>
      </w:divBdr>
      <w:divsChild>
        <w:div w:id="561453674">
          <w:marLeft w:val="720"/>
          <w:marRight w:val="0"/>
          <w:marTop w:val="0"/>
          <w:marBottom w:val="0"/>
          <w:divBdr>
            <w:top w:val="none" w:sz="0" w:space="0" w:color="auto"/>
            <w:left w:val="none" w:sz="0" w:space="0" w:color="auto"/>
            <w:bottom w:val="none" w:sz="0" w:space="0" w:color="auto"/>
            <w:right w:val="none" w:sz="0" w:space="0" w:color="auto"/>
          </w:divBdr>
        </w:div>
        <w:div w:id="1032731576">
          <w:marLeft w:val="720"/>
          <w:marRight w:val="0"/>
          <w:marTop w:val="0"/>
          <w:marBottom w:val="0"/>
          <w:divBdr>
            <w:top w:val="none" w:sz="0" w:space="0" w:color="auto"/>
            <w:left w:val="none" w:sz="0" w:space="0" w:color="auto"/>
            <w:bottom w:val="none" w:sz="0" w:space="0" w:color="auto"/>
            <w:right w:val="none" w:sz="0" w:space="0" w:color="auto"/>
          </w:divBdr>
        </w:div>
        <w:div w:id="1050569113">
          <w:marLeft w:val="720"/>
          <w:marRight w:val="0"/>
          <w:marTop w:val="0"/>
          <w:marBottom w:val="0"/>
          <w:divBdr>
            <w:top w:val="none" w:sz="0" w:space="0" w:color="auto"/>
            <w:left w:val="none" w:sz="0" w:space="0" w:color="auto"/>
            <w:bottom w:val="none" w:sz="0" w:space="0" w:color="auto"/>
            <w:right w:val="none" w:sz="0" w:space="0" w:color="auto"/>
          </w:divBdr>
        </w:div>
      </w:divsChild>
    </w:div>
    <w:div w:id="1315448152">
      <w:bodyDiv w:val="1"/>
      <w:marLeft w:val="0"/>
      <w:marRight w:val="0"/>
      <w:marTop w:val="0"/>
      <w:marBottom w:val="0"/>
      <w:divBdr>
        <w:top w:val="none" w:sz="0" w:space="0" w:color="auto"/>
        <w:left w:val="none" w:sz="0" w:space="0" w:color="auto"/>
        <w:bottom w:val="none" w:sz="0" w:space="0" w:color="auto"/>
        <w:right w:val="none" w:sz="0" w:space="0" w:color="auto"/>
      </w:divBdr>
    </w:div>
    <w:div w:id="1329022575">
      <w:bodyDiv w:val="1"/>
      <w:marLeft w:val="0"/>
      <w:marRight w:val="0"/>
      <w:marTop w:val="0"/>
      <w:marBottom w:val="0"/>
      <w:divBdr>
        <w:top w:val="none" w:sz="0" w:space="0" w:color="auto"/>
        <w:left w:val="none" w:sz="0" w:space="0" w:color="auto"/>
        <w:bottom w:val="none" w:sz="0" w:space="0" w:color="auto"/>
        <w:right w:val="none" w:sz="0" w:space="0" w:color="auto"/>
      </w:divBdr>
      <w:divsChild>
        <w:div w:id="586840560">
          <w:marLeft w:val="720"/>
          <w:marRight w:val="0"/>
          <w:marTop w:val="0"/>
          <w:marBottom w:val="0"/>
          <w:divBdr>
            <w:top w:val="none" w:sz="0" w:space="0" w:color="auto"/>
            <w:left w:val="none" w:sz="0" w:space="0" w:color="auto"/>
            <w:bottom w:val="none" w:sz="0" w:space="0" w:color="auto"/>
            <w:right w:val="none" w:sz="0" w:space="0" w:color="auto"/>
          </w:divBdr>
        </w:div>
        <w:div w:id="1657227548">
          <w:marLeft w:val="720"/>
          <w:marRight w:val="0"/>
          <w:marTop w:val="0"/>
          <w:marBottom w:val="0"/>
          <w:divBdr>
            <w:top w:val="none" w:sz="0" w:space="0" w:color="auto"/>
            <w:left w:val="none" w:sz="0" w:space="0" w:color="auto"/>
            <w:bottom w:val="none" w:sz="0" w:space="0" w:color="auto"/>
            <w:right w:val="none" w:sz="0" w:space="0" w:color="auto"/>
          </w:divBdr>
        </w:div>
        <w:div w:id="1915553825">
          <w:marLeft w:val="720"/>
          <w:marRight w:val="0"/>
          <w:marTop w:val="0"/>
          <w:marBottom w:val="0"/>
          <w:divBdr>
            <w:top w:val="none" w:sz="0" w:space="0" w:color="auto"/>
            <w:left w:val="none" w:sz="0" w:space="0" w:color="auto"/>
            <w:bottom w:val="none" w:sz="0" w:space="0" w:color="auto"/>
            <w:right w:val="none" w:sz="0" w:space="0" w:color="auto"/>
          </w:divBdr>
        </w:div>
        <w:div w:id="1408645699">
          <w:marLeft w:val="1440"/>
          <w:marRight w:val="0"/>
          <w:marTop w:val="0"/>
          <w:marBottom w:val="0"/>
          <w:divBdr>
            <w:top w:val="none" w:sz="0" w:space="0" w:color="auto"/>
            <w:left w:val="none" w:sz="0" w:space="0" w:color="auto"/>
            <w:bottom w:val="none" w:sz="0" w:space="0" w:color="auto"/>
            <w:right w:val="none" w:sz="0" w:space="0" w:color="auto"/>
          </w:divBdr>
        </w:div>
        <w:div w:id="431701511">
          <w:marLeft w:val="1440"/>
          <w:marRight w:val="0"/>
          <w:marTop w:val="0"/>
          <w:marBottom w:val="0"/>
          <w:divBdr>
            <w:top w:val="none" w:sz="0" w:space="0" w:color="auto"/>
            <w:left w:val="none" w:sz="0" w:space="0" w:color="auto"/>
            <w:bottom w:val="none" w:sz="0" w:space="0" w:color="auto"/>
            <w:right w:val="none" w:sz="0" w:space="0" w:color="auto"/>
          </w:divBdr>
        </w:div>
        <w:div w:id="40525450">
          <w:marLeft w:val="1440"/>
          <w:marRight w:val="0"/>
          <w:marTop w:val="0"/>
          <w:marBottom w:val="0"/>
          <w:divBdr>
            <w:top w:val="none" w:sz="0" w:space="0" w:color="auto"/>
            <w:left w:val="none" w:sz="0" w:space="0" w:color="auto"/>
            <w:bottom w:val="none" w:sz="0" w:space="0" w:color="auto"/>
            <w:right w:val="none" w:sz="0" w:space="0" w:color="auto"/>
          </w:divBdr>
        </w:div>
        <w:div w:id="1926955897">
          <w:marLeft w:val="1440"/>
          <w:marRight w:val="0"/>
          <w:marTop w:val="0"/>
          <w:marBottom w:val="0"/>
          <w:divBdr>
            <w:top w:val="none" w:sz="0" w:space="0" w:color="auto"/>
            <w:left w:val="none" w:sz="0" w:space="0" w:color="auto"/>
            <w:bottom w:val="none" w:sz="0" w:space="0" w:color="auto"/>
            <w:right w:val="none" w:sz="0" w:space="0" w:color="auto"/>
          </w:divBdr>
        </w:div>
      </w:divsChild>
    </w:div>
    <w:div w:id="1628389006">
      <w:bodyDiv w:val="1"/>
      <w:marLeft w:val="0"/>
      <w:marRight w:val="0"/>
      <w:marTop w:val="0"/>
      <w:marBottom w:val="0"/>
      <w:divBdr>
        <w:top w:val="none" w:sz="0" w:space="0" w:color="auto"/>
        <w:left w:val="none" w:sz="0" w:space="0" w:color="auto"/>
        <w:bottom w:val="none" w:sz="0" w:space="0" w:color="auto"/>
        <w:right w:val="none" w:sz="0" w:space="0" w:color="auto"/>
      </w:divBdr>
      <w:divsChild>
        <w:div w:id="558059732">
          <w:marLeft w:val="547"/>
          <w:marRight w:val="0"/>
          <w:marTop w:val="120"/>
          <w:marBottom w:val="120"/>
          <w:divBdr>
            <w:top w:val="none" w:sz="0" w:space="0" w:color="auto"/>
            <w:left w:val="none" w:sz="0" w:space="0" w:color="auto"/>
            <w:bottom w:val="none" w:sz="0" w:space="0" w:color="auto"/>
            <w:right w:val="none" w:sz="0" w:space="0" w:color="auto"/>
          </w:divBdr>
        </w:div>
        <w:div w:id="898368370">
          <w:marLeft w:val="547"/>
          <w:marRight w:val="0"/>
          <w:marTop w:val="120"/>
          <w:marBottom w:val="120"/>
          <w:divBdr>
            <w:top w:val="none" w:sz="0" w:space="0" w:color="auto"/>
            <w:left w:val="none" w:sz="0" w:space="0" w:color="auto"/>
            <w:bottom w:val="none" w:sz="0" w:space="0" w:color="auto"/>
            <w:right w:val="none" w:sz="0" w:space="0" w:color="auto"/>
          </w:divBdr>
        </w:div>
        <w:div w:id="111555069">
          <w:marLeft w:val="547"/>
          <w:marRight w:val="0"/>
          <w:marTop w:val="120"/>
          <w:marBottom w:val="120"/>
          <w:divBdr>
            <w:top w:val="none" w:sz="0" w:space="0" w:color="auto"/>
            <w:left w:val="none" w:sz="0" w:space="0" w:color="auto"/>
            <w:bottom w:val="none" w:sz="0" w:space="0" w:color="auto"/>
            <w:right w:val="none" w:sz="0" w:space="0" w:color="auto"/>
          </w:divBdr>
        </w:div>
        <w:div w:id="896166115">
          <w:marLeft w:val="547"/>
          <w:marRight w:val="0"/>
          <w:marTop w:val="120"/>
          <w:marBottom w:val="120"/>
          <w:divBdr>
            <w:top w:val="none" w:sz="0" w:space="0" w:color="auto"/>
            <w:left w:val="none" w:sz="0" w:space="0" w:color="auto"/>
            <w:bottom w:val="none" w:sz="0" w:space="0" w:color="auto"/>
            <w:right w:val="none" w:sz="0" w:space="0" w:color="auto"/>
          </w:divBdr>
        </w:div>
      </w:divsChild>
    </w:div>
    <w:div w:id="1765107976">
      <w:bodyDiv w:val="1"/>
      <w:marLeft w:val="0"/>
      <w:marRight w:val="0"/>
      <w:marTop w:val="0"/>
      <w:marBottom w:val="0"/>
      <w:divBdr>
        <w:top w:val="none" w:sz="0" w:space="0" w:color="auto"/>
        <w:left w:val="none" w:sz="0" w:space="0" w:color="auto"/>
        <w:bottom w:val="none" w:sz="0" w:space="0" w:color="auto"/>
        <w:right w:val="none" w:sz="0" w:space="0" w:color="auto"/>
      </w:divBdr>
      <w:divsChild>
        <w:div w:id="996031217">
          <w:marLeft w:val="547"/>
          <w:marRight w:val="0"/>
          <w:marTop w:val="200"/>
          <w:marBottom w:val="0"/>
          <w:divBdr>
            <w:top w:val="none" w:sz="0" w:space="0" w:color="auto"/>
            <w:left w:val="none" w:sz="0" w:space="0" w:color="auto"/>
            <w:bottom w:val="none" w:sz="0" w:space="0" w:color="auto"/>
            <w:right w:val="none" w:sz="0" w:space="0" w:color="auto"/>
          </w:divBdr>
        </w:div>
        <w:div w:id="1351224008">
          <w:marLeft w:val="547"/>
          <w:marRight w:val="0"/>
          <w:marTop w:val="200"/>
          <w:marBottom w:val="0"/>
          <w:divBdr>
            <w:top w:val="none" w:sz="0" w:space="0" w:color="auto"/>
            <w:left w:val="none" w:sz="0" w:space="0" w:color="auto"/>
            <w:bottom w:val="none" w:sz="0" w:space="0" w:color="auto"/>
            <w:right w:val="none" w:sz="0" w:space="0" w:color="auto"/>
          </w:divBdr>
        </w:div>
        <w:div w:id="1127889210">
          <w:marLeft w:val="547"/>
          <w:marRight w:val="0"/>
          <w:marTop w:val="200"/>
          <w:marBottom w:val="0"/>
          <w:divBdr>
            <w:top w:val="none" w:sz="0" w:space="0" w:color="auto"/>
            <w:left w:val="none" w:sz="0" w:space="0" w:color="auto"/>
            <w:bottom w:val="none" w:sz="0" w:space="0" w:color="auto"/>
            <w:right w:val="none" w:sz="0" w:space="0" w:color="auto"/>
          </w:divBdr>
        </w:div>
        <w:div w:id="1902248563">
          <w:marLeft w:val="547"/>
          <w:marRight w:val="0"/>
          <w:marTop w:val="200"/>
          <w:marBottom w:val="0"/>
          <w:divBdr>
            <w:top w:val="none" w:sz="0" w:space="0" w:color="auto"/>
            <w:left w:val="none" w:sz="0" w:space="0" w:color="auto"/>
            <w:bottom w:val="none" w:sz="0" w:space="0" w:color="auto"/>
            <w:right w:val="none" w:sz="0" w:space="0" w:color="auto"/>
          </w:divBdr>
        </w:div>
        <w:div w:id="623655234">
          <w:marLeft w:val="547"/>
          <w:marRight w:val="0"/>
          <w:marTop w:val="200"/>
          <w:marBottom w:val="0"/>
          <w:divBdr>
            <w:top w:val="none" w:sz="0" w:space="0" w:color="auto"/>
            <w:left w:val="none" w:sz="0" w:space="0" w:color="auto"/>
            <w:bottom w:val="none" w:sz="0" w:space="0" w:color="auto"/>
            <w:right w:val="none" w:sz="0" w:space="0" w:color="auto"/>
          </w:divBdr>
        </w:div>
        <w:div w:id="1370959278">
          <w:marLeft w:val="547"/>
          <w:marRight w:val="0"/>
          <w:marTop w:val="200"/>
          <w:marBottom w:val="0"/>
          <w:divBdr>
            <w:top w:val="none" w:sz="0" w:space="0" w:color="auto"/>
            <w:left w:val="none" w:sz="0" w:space="0" w:color="auto"/>
            <w:bottom w:val="none" w:sz="0" w:space="0" w:color="auto"/>
            <w:right w:val="none" w:sz="0" w:space="0" w:color="auto"/>
          </w:divBdr>
        </w:div>
        <w:div w:id="672339023">
          <w:marLeft w:val="446"/>
          <w:marRight w:val="0"/>
          <w:marTop w:val="200"/>
          <w:marBottom w:val="0"/>
          <w:divBdr>
            <w:top w:val="none" w:sz="0" w:space="0" w:color="auto"/>
            <w:left w:val="none" w:sz="0" w:space="0" w:color="auto"/>
            <w:bottom w:val="none" w:sz="0" w:space="0" w:color="auto"/>
            <w:right w:val="none" w:sz="0" w:space="0" w:color="auto"/>
          </w:divBdr>
        </w:div>
        <w:div w:id="1284311754">
          <w:marLeft w:val="547"/>
          <w:marRight w:val="0"/>
          <w:marTop w:val="200"/>
          <w:marBottom w:val="0"/>
          <w:divBdr>
            <w:top w:val="none" w:sz="0" w:space="0" w:color="auto"/>
            <w:left w:val="none" w:sz="0" w:space="0" w:color="auto"/>
            <w:bottom w:val="none" w:sz="0" w:space="0" w:color="auto"/>
            <w:right w:val="none" w:sz="0" w:space="0" w:color="auto"/>
          </w:divBdr>
        </w:div>
        <w:div w:id="595603178">
          <w:marLeft w:val="547"/>
          <w:marRight w:val="0"/>
          <w:marTop w:val="200"/>
          <w:marBottom w:val="0"/>
          <w:divBdr>
            <w:top w:val="none" w:sz="0" w:space="0" w:color="auto"/>
            <w:left w:val="none" w:sz="0" w:space="0" w:color="auto"/>
            <w:bottom w:val="none" w:sz="0" w:space="0" w:color="auto"/>
            <w:right w:val="none" w:sz="0" w:space="0" w:color="auto"/>
          </w:divBdr>
        </w:div>
      </w:divsChild>
    </w:div>
    <w:div w:id="1929192817">
      <w:bodyDiv w:val="1"/>
      <w:marLeft w:val="0"/>
      <w:marRight w:val="0"/>
      <w:marTop w:val="0"/>
      <w:marBottom w:val="0"/>
      <w:divBdr>
        <w:top w:val="none" w:sz="0" w:space="0" w:color="auto"/>
        <w:left w:val="none" w:sz="0" w:space="0" w:color="auto"/>
        <w:bottom w:val="none" w:sz="0" w:space="0" w:color="auto"/>
        <w:right w:val="none" w:sz="0" w:space="0" w:color="auto"/>
      </w:divBdr>
    </w:div>
    <w:div w:id="1933976259">
      <w:bodyDiv w:val="1"/>
      <w:marLeft w:val="0"/>
      <w:marRight w:val="0"/>
      <w:marTop w:val="0"/>
      <w:marBottom w:val="0"/>
      <w:divBdr>
        <w:top w:val="none" w:sz="0" w:space="0" w:color="auto"/>
        <w:left w:val="none" w:sz="0" w:space="0" w:color="auto"/>
        <w:bottom w:val="none" w:sz="0" w:space="0" w:color="auto"/>
        <w:right w:val="none" w:sz="0" w:space="0" w:color="auto"/>
      </w:divBdr>
    </w:div>
    <w:div w:id="2080251658">
      <w:bodyDiv w:val="1"/>
      <w:marLeft w:val="0"/>
      <w:marRight w:val="0"/>
      <w:marTop w:val="0"/>
      <w:marBottom w:val="0"/>
      <w:divBdr>
        <w:top w:val="none" w:sz="0" w:space="0" w:color="auto"/>
        <w:left w:val="none" w:sz="0" w:space="0" w:color="auto"/>
        <w:bottom w:val="none" w:sz="0" w:space="0" w:color="auto"/>
        <w:right w:val="none" w:sz="0" w:space="0" w:color="auto"/>
      </w:divBdr>
    </w:div>
    <w:div w:id="2131312635">
      <w:bodyDiv w:val="1"/>
      <w:marLeft w:val="0"/>
      <w:marRight w:val="0"/>
      <w:marTop w:val="0"/>
      <w:marBottom w:val="0"/>
      <w:divBdr>
        <w:top w:val="none" w:sz="0" w:space="0" w:color="auto"/>
        <w:left w:val="none" w:sz="0" w:space="0" w:color="auto"/>
        <w:bottom w:val="none" w:sz="0" w:space="0" w:color="auto"/>
        <w:right w:val="none" w:sz="0" w:space="0" w:color="auto"/>
      </w:divBdr>
      <w:divsChild>
        <w:div w:id="20683352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doi.org/10.1080/17445302.2021.1932023" TargetMode="Externa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ssmc\OneDrive%20-%20RINA%20S.p.A\Documents\presentazioni%20-%20conferenze%20-%20articoli%20-%20rass%20stampa\NAV%202022%20Genova\istruzioni%20per%20paper\IOSPressBookArticleWordTemplate%20with%20Text.dotx"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F20B35-6A09-4A61-B695-69BF4A3AA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IOSPressBookArticleWordTemplate with Text</Template>
  <TotalTime>16</TotalTime>
  <Pages>8</Pages>
  <Words>3657</Words>
  <Characters>20849</Characters>
  <Application>Microsoft Office Word</Application>
  <DocSecurity>0</DocSecurity>
  <Lines>173</Lines>
  <Paragraphs>48</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1</vt:lpstr>
      <vt:lpstr>1</vt:lpstr>
      <vt:lpstr>1</vt:lpstr>
    </vt:vector>
  </TitlesOfParts>
  <Company>VTEX</Company>
  <LinksUpToDate>false</LinksUpToDate>
  <CharactersWithSpaces>24458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Alessandro MACCARI</dc:creator>
  <cp:keywords/>
  <cp:lastModifiedBy>Alessandro MACCARI</cp:lastModifiedBy>
  <cp:revision>16</cp:revision>
  <cp:lastPrinted>2008-10-24T08:15:00Z</cp:lastPrinted>
  <dcterms:created xsi:type="dcterms:W3CDTF">2022-04-06T16:02:00Z</dcterms:created>
  <dcterms:modified xsi:type="dcterms:W3CDTF">2022-04-06T16:10:00Z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6175487-42af-4492-84fe-2b4054e011bd_Enabled">
    <vt:lpwstr>true</vt:lpwstr>
  </property>
  <property fmtid="{D5CDD505-2E9C-101B-9397-08002B2CF9AE}" pid="3" name="MSIP_Label_a6175487-42af-4492-84fe-2b4054e011bd_SetDate">
    <vt:lpwstr>2022-04-01T10:12:34Z</vt:lpwstr>
  </property>
  <property fmtid="{D5CDD505-2E9C-101B-9397-08002B2CF9AE}" pid="4" name="MSIP_Label_a6175487-42af-4492-84fe-2b4054e011bd_Method">
    <vt:lpwstr>Privileged</vt:lpwstr>
  </property>
  <property fmtid="{D5CDD505-2E9C-101B-9397-08002B2CF9AE}" pid="5" name="MSIP_Label_a6175487-42af-4492-84fe-2b4054e011bd_Name">
    <vt:lpwstr>Public</vt:lpwstr>
  </property>
  <property fmtid="{D5CDD505-2E9C-101B-9397-08002B2CF9AE}" pid="6" name="MSIP_Label_a6175487-42af-4492-84fe-2b4054e011bd_SiteId">
    <vt:lpwstr>76e3e3ff-fce0-45ec-a946-bc44d69a9b7e</vt:lpwstr>
  </property>
  <property fmtid="{D5CDD505-2E9C-101B-9397-08002B2CF9AE}" pid="7" name="MSIP_Label_a6175487-42af-4492-84fe-2b4054e011bd_ActionId">
    <vt:lpwstr>b3bcbc61-988c-4fb1-9949-77eaf27ae415</vt:lpwstr>
  </property>
  <property fmtid="{D5CDD505-2E9C-101B-9397-08002B2CF9AE}" pid="8" name="MSIP_Label_a6175487-42af-4492-84fe-2b4054e011bd_ContentBits">
    <vt:lpwstr>0</vt:lpwstr>
  </property>
</Properties>
</file>