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Pr="004A78DC" w:rsidR="00B05D6E" w:rsidP="004A78DC" w:rsidRDefault="00EC36FD" w14:paraId="73453A8E" w14:textId="36DD0EB9">
      <w:pPr>
        <w:pStyle w:val="Titolo"/>
        <w:rPr>
          <w:b/>
          <w:lang w:val="en-GB"/>
        </w:rPr>
      </w:pPr>
      <w:r>
        <w:rPr>
          <w:lang w:val="it-IT" w:eastAsia="it-IT"/>
        </w:rPr>
        <mc:AlternateContent>
          <mc:Choice Requires="wpi">
            <w:drawing>
              <wp:anchor distT="0" distB="0" distL="114300" distR="114300" simplePos="0" relativeHeight="251659264" behindDoc="0" locked="0" layoutInCell="1" allowOverlap="1" wp14:editId="73D131DB" wp14:anchorId="598AA97F">
                <wp:simplePos x="0" y="0"/>
                <wp:positionH relativeFrom="column">
                  <wp:posOffset>2035470</wp:posOffset>
                </wp:positionH>
                <wp:positionV relativeFrom="paragraph">
                  <wp:posOffset>-1346805</wp:posOffset>
                </wp:positionV>
                <wp:extent cx="360" cy="360"/>
                <wp:effectExtent l="38100" t="19050" r="57150" b="57150"/>
                <wp:wrapNone/>
                <wp:docPr id="2" name="Input penna 2"/>
                <wp:cNvGraphicFramePr/>
                <a:graphic xmlns:a="http://schemas.openxmlformats.org/drawingml/2006/main">
                  <a:graphicData uri="http://schemas.microsoft.com/office/word/2010/wordprocessingInk">
                    <w14:contentPart r:id="rId8" bwMode="auto">
                      <w14:nvContentPartPr>
                        <w14:cNvContentPartPr/>
                      </w14:nvContentPartPr>
                      <w14:xfrm>
                        <a:off x="0" y="0"/>
                        <a:ext cx="360" cy="360"/>
                      </w14:xfrm>
                    </w14:contentPart>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a="http://schemas.openxmlformats.org/drawingml/2006/main" xmlns:pic="http://schemas.openxmlformats.org/drawingml/2006/picture" xmlns:a14="http://schemas.microsoft.com/office/drawing/2010/main">
            <w:pict>
              <v:shapetype id="_x0000_t75" coordsize="21600,21600" filled="f" stroked="f" o:spt="75" o:preferrelative="t" path="m@4@5l@4@11@9@11@9@5xe" w14:anchorId="415BA25D">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Input penna 2" style="position:absolute;margin-left:159.55pt;margin-top:-106.75pt;width:1.45pt;height:1.45pt;z-index:251659264;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">
                <v:imagedata o:title="" r:id="rId9"/>
              </v:shape>
            </w:pict>
          </mc:Fallback>
        </mc:AlternateContent>
      </w:r>
      <w:r w:rsidRPr="004A78DC" w:rsidR="004A78DC">
        <w:rPr>
          <w:lang w:val="en-GB"/>
        </w:rPr>
        <w:t>Experimental investigation on a lightweight ship balcony overhang with bimetallic welded joints</w:t>
      </w:r>
    </w:p>
    <w:p w:rsidRPr="004A78DC" w:rsidR="00B05D6E" w:rsidRDefault="004A78DC" w14:paraId="41E45A3D" w14:textId="77777777">
      <w:pPr>
        <w:pStyle w:val="Author"/>
        <w:rPr>
          <w:lang w:val="it-IT"/>
        </w:rPr>
      </w:pPr>
      <w:r w:rsidRPr="004A78DC">
        <w:rPr>
          <w:lang w:val="it-IT"/>
        </w:rPr>
        <w:t xml:space="preserve">Giulia </w:t>
      </w:r>
      <w:proofErr w:type="spellStart"/>
      <w:r w:rsidRPr="004A78DC">
        <w:rPr>
          <w:lang w:val="it-IT"/>
        </w:rPr>
        <w:t>PALOMBA</w:t>
      </w:r>
      <w:r w:rsidRPr="004A78DC" w:rsidR="00B05D6E">
        <w:rPr>
          <w:vertAlign w:val="superscript"/>
          <w:lang w:val="it-IT"/>
        </w:rPr>
        <w:t>a</w:t>
      </w:r>
      <w:proofErr w:type="spellEnd"/>
      <w:r w:rsidRPr="004A78DC" w:rsidR="00B05D6E">
        <w:rPr>
          <w:vertAlign w:val="superscript"/>
          <w:lang w:val="it-IT"/>
        </w:rPr>
        <w:t>,</w:t>
      </w:r>
      <w:r w:rsidRPr="002C12E6" w:rsidR="00B05D6E">
        <w:rPr>
          <w:rStyle w:val="Rimandonotaapidipagina"/>
        </w:rPr>
        <w:footnoteReference w:id="1"/>
      </w:r>
      <w:r w:rsidRPr="004A78DC">
        <w:rPr>
          <w:lang w:val="it-IT"/>
        </w:rPr>
        <w:t>,</w:t>
      </w:r>
      <w:r>
        <w:rPr>
          <w:lang w:val="it-IT"/>
        </w:rPr>
        <w:t xml:space="preserve"> Pasqualino </w:t>
      </w:r>
      <w:proofErr w:type="spellStart"/>
      <w:r>
        <w:rPr>
          <w:lang w:val="it-IT"/>
        </w:rPr>
        <w:t>CORIGLIANO</w:t>
      </w:r>
      <w:r w:rsidRPr="004A78DC">
        <w:rPr>
          <w:vertAlign w:val="superscript"/>
          <w:lang w:val="it-IT"/>
        </w:rPr>
        <w:t>a</w:t>
      </w:r>
      <w:proofErr w:type="spellEnd"/>
      <w:r>
        <w:rPr>
          <w:lang w:val="it-IT"/>
        </w:rPr>
        <w:t xml:space="preserve">, Vincenzo </w:t>
      </w:r>
      <w:proofErr w:type="spellStart"/>
      <w:r>
        <w:rPr>
          <w:lang w:val="it-IT"/>
        </w:rPr>
        <w:t>CRUPI</w:t>
      </w:r>
      <w:r w:rsidRPr="004A78DC">
        <w:rPr>
          <w:vertAlign w:val="superscript"/>
          <w:lang w:val="it-IT"/>
        </w:rPr>
        <w:t>a</w:t>
      </w:r>
      <w:proofErr w:type="spellEnd"/>
      <w:r>
        <w:rPr>
          <w:lang w:val="it-IT"/>
        </w:rPr>
        <w:t xml:space="preserve">, Gabriella </w:t>
      </w:r>
      <w:proofErr w:type="spellStart"/>
      <w:r>
        <w:rPr>
          <w:lang w:val="it-IT"/>
        </w:rPr>
        <w:t>EPASTO</w:t>
      </w:r>
      <w:r w:rsidRPr="004A78DC">
        <w:rPr>
          <w:vertAlign w:val="superscript"/>
          <w:lang w:val="it-IT"/>
        </w:rPr>
        <w:t>a</w:t>
      </w:r>
      <w:proofErr w:type="spellEnd"/>
      <w:r w:rsidRPr="004A78DC" w:rsidR="00B05D6E">
        <w:rPr>
          <w:lang w:val="it-IT"/>
        </w:rPr>
        <w:t xml:space="preserve"> and </w:t>
      </w:r>
      <w:r>
        <w:rPr>
          <w:lang w:val="it-IT"/>
        </w:rPr>
        <w:t>Eugenio</w:t>
      </w:r>
      <w:r w:rsidRPr="004A78DC" w:rsidR="00B05D6E">
        <w:rPr>
          <w:lang w:val="it-IT"/>
        </w:rPr>
        <w:t xml:space="preserve"> </w:t>
      </w:r>
      <w:r>
        <w:rPr>
          <w:lang w:val="it-IT"/>
        </w:rPr>
        <w:t>GUGLIELMINO</w:t>
      </w:r>
      <w:r w:rsidRPr="004A78DC" w:rsidR="00B05D6E">
        <w:rPr>
          <w:sz w:val="8"/>
          <w:szCs w:val="8"/>
          <w:lang w:val="it-IT"/>
        </w:rPr>
        <w:t xml:space="preserve"> </w:t>
      </w:r>
      <w:r>
        <w:rPr>
          <w:vertAlign w:val="superscript"/>
          <w:lang w:val="it-IT"/>
        </w:rPr>
        <w:t>a</w:t>
      </w:r>
    </w:p>
    <w:p w:rsidRPr="004A78DC" w:rsidR="00B05D6E" w:rsidP="004A78DC" w:rsidRDefault="00B05D6E" w14:paraId="015717A8" w14:textId="77777777">
      <w:pPr>
        <w:pStyle w:val="Affiliation"/>
        <w:rPr>
          <w:lang w:val="en-GB"/>
        </w:rPr>
      </w:pPr>
      <w:proofErr w:type="gramStart"/>
      <w:r>
        <w:rPr>
          <w:i w:val="0"/>
          <w:vertAlign w:val="superscript"/>
        </w:rPr>
        <w:t>a</w:t>
      </w:r>
      <w:proofErr w:type="gramEnd"/>
      <w:r>
        <w:rPr>
          <w:sz w:val="8"/>
          <w:szCs w:val="8"/>
        </w:rPr>
        <w:t xml:space="preserve"> </w:t>
      </w:r>
      <w:r w:rsidRPr="004A78DC" w:rsidR="004A78DC">
        <w:rPr>
          <w:lang w:val="en-GB"/>
        </w:rPr>
        <w:t>Department of Engineering, University of Messina, Messina, Italy</w:t>
      </w:r>
    </w:p>
    <w:p w:rsidRPr="00333AB5" w:rsidR="00333AB5" w:rsidP="00333AB5" w:rsidRDefault="00B05D6E" w14:paraId="05333F08" w14:textId="77777777">
      <w:pPr>
        <w:pStyle w:val="Abstract"/>
        <w:rPr>
          <w:lang w:val="en-GB"/>
        </w:rPr>
      </w:pPr>
      <w:r>
        <w:rPr>
          <w:b/>
        </w:rPr>
        <w:t>Abstract.</w:t>
      </w:r>
      <w:r>
        <w:t xml:space="preserve"> </w:t>
      </w:r>
      <w:r w:rsidRPr="00333AB5" w:rsidR="00333AB5">
        <w:rPr>
          <w:lang w:val="en-GB"/>
        </w:rPr>
        <w:t>Integration of lightweight and sustainable solutions in marine structures design is essential to achieve weight reduction goals and improve structural response. A key step to assess the reliability of innovative structural solutions is represented by large-scale experimental investigation.</w:t>
      </w:r>
      <w:r w:rsidR="00333AB5">
        <w:rPr>
          <w:lang w:val="en-GB"/>
        </w:rPr>
        <w:t xml:space="preserve"> </w:t>
      </w:r>
      <w:r w:rsidRPr="00333AB5" w:rsidR="00333AB5">
        <w:rPr>
          <w:lang w:val="en-GB"/>
        </w:rPr>
        <w:t>The current paper deals with the analysis of a lightweight ship balcony overhang, which includes an aluminium honeycomb sandwich structure and bimetallic welded joints. The design of the ship balcony overhang was previously performed, as an illustrative example, with the aim of suggesting the replacement of common marine structures with more green and lightweight alternatives.</w:t>
      </w:r>
      <w:r w:rsidR="00333AB5">
        <w:rPr>
          <w:lang w:val="en-GB"/>
        </w:rPr>
        <w:t xml:space="preserve"> </w:t>
      </w:r>
      <w:r w:rsidRPr="00333AB5" w:rsidR="00333AB5">
        <w:rPr>
          <w:lang w:val="en-GB"/>
        </w:rPr>
        <w:t>In order to validate the design procedure and to assess the feasibility of the suggested solution, an experimental investigation on a large-scale structure was performed. The ship balcony overhang was tested under bending with a configuration representative of severe loading conditions for ships balconies. The experimental analysis allowed the evaluation of the structure’s strength, stiffness and failure modes, which are useful data to improve the design methodology of such structures and to calibrate numerical models. Comparison with similar structures reported in literature were performed in order to assess the benefits and drawbacks of the suggested lightweight structure.</w:t>
      </w:r>
    </w:p>
    <w:p w:rsidR="00B05D6E" w:rsidRDefault="00B05D6E" w14:paraId="1A05D5D3" w14:textId="77777777">
      <w:pPr>
        <w:pStyle w:val="Keywords"/>
      </w:pPr>
      <w:r>
        <w:rPr>
          <w:b/>
        </w:rPr>
        <w:t>Keywords.</w:t>
      </w:r>
      <w:r>
        <w:t xml:space="preserve"> </w:t>
      </w:r>
      <w:r w:rsidR="00333AB5">
        <w:rPr>
          <w:lang w:val="en-GB"/>
        </w:rPr>
        <w:t>L</w:t>
      </w:r>
      <w:r w:rsidRPr="00333AB5" w:rsidR="00333AB5">
        <w:rPr>
          <w:lang w:val="en-GB"/>
        </w:rPr>
        <w:t>arge-scale testing; bimetallic joints, lightweight m</w:t>
      </w:r>
      <w:r w:rsidR="00333AB5">
        <w:rPr>
          <w:lang w:val="en-GB"/>
        </w:rPr>
        <w:t xml:space="preserve">arine structures, </w:t>
      </w:r>
      <w:proofErr w:type="gramStart"/>
      <w:r w:rsidR="00333AB5">
        <w:rPr>
          <w:lang w:val="en-GB"/>
        </w:rPr>
        <w:t>failure</w:t>
      </w:r>
      <w:proofErr w:type="gramEnd"/>
      <w:r w:rsidR="00333AB5">
        <w:rPr>
          <w:lang w:val="en-GB"/>
        </w:rPr>
        <w:t xml:space="preserve"> modes</w:t>
      </w:r>
    </w:p>
    <w:p w:rsidR="00B05D6E" w:rsidP="00F07FC3" w:rsidRDefault="00B05D6E" w14:paraId="6CE8BC4D" w14:textId="77777777">
      <w:pPr>
        <w:pStyle w:val="Titolo1"/>
      </w:pPr>
      <w:r>
        <w:t>Introduction</w:t>
      </w:r>
    </w:p>
    <w:p w:rsidRPr="00F725CB" w:rsidR="00EC3C31" w:rsidP="004D4E20" w:rsidRDefault="002048FA" w14:paraId="378CBCD5" w14:textId="16203693">
      <w:pPr>
        <w:pStyle w:val="NoindentNormal"/>
      </w:pPr>
      <w:r>
        <w:t>Introduction of sustainable solutions and technological improvements in shipbuilding industry are key topics to increase the competitiveness of the field and support its continuous innovation.</w:t>
      </w:r>
      <w:r w:rsidR="0086417B">
        <w:t xml:space="preserve"> Among the promising paths toward “green” targets, both weight reduction</w:t>
      </w:r>
      <w:r w:rsidR="008A71A1">
        <w:t xml:space="preserve"> </w:t>
      </w:r>
      <w:r w:rsidR="008A71A1">
        <w:fldChar w:fldCharType="begin" w:fldLock="1"/>
      </w:r>
      <w:r w:rsidR="00927555">
        <w:instrText>ADDIN CSL_CITATION {"citationItems":[{"id":"ITEM-1","itemData":{"DOI":"10.1016/j.matpr.2019.03.197","ISSN":"22147853","abstract":"Finite element model had been developed to evaluate the application of sandwich plate on structural strength of ship hull. The influence of different core types, core thicknesses, and stiffener configurations was studied. The results showed that its application resulted in lower stress and deflection values compared to existing model. Moreover, increasing core thickness marginally decreased the stress and deflection value. The most optimum stiffener configuration could be reached by eliminating all side longitudinal without changing the web frame spacing which contributed to weight reduction up to 17% where structural strength was still below DNV-GL criteria.","author":[{"dropping-particle":"","family":"Tuswan","given":"Tuswan","non-dropping-particle":"","parse-names":false,"suffix":""},{"dropping-particle":"","family":"Abdullah","given":"Kharis","non-dropping-particle":"","parse-names":false,"suffix":""},{"dropping-particle":"","family":"Zubaydi","given":"Achmad","non-dropping-particle":"","parse-names":false,"suffix":""},{"dropping-particle":"","family":"Budipriyanto","given":"Agung","non-dropping-particle":"","parse-names":false,"suffix":""}],"container-title":"Materials Today: Proceedings","id":"ITEM-1","issued":{"date-parts":[["2019"]]},"page":"109-114","title":"Finite-element analysis for structural strength assessment of marine sandwich material on ship side-shell structure","type":"article-journal","volume":"13"},"uris":["http://www.mendeley.com/documents/?uuid=ff09a360-79df-458b-b624-67567cf1db73"]}],"mendeley":{"formattedCitation":"[1]","plainTextFormattedCitation":"[1]","previouslyFormattedCitation":"[1]"},"properties":{"noteIndex":0},"schema":"https://github.com/citation-style-language/schema/raw/master/csl-citation.json"}</w:instrText>
      </w:r>
      <w:r w:rsidR="008A71A1">
        <w:fldChar w:fldCharType="separate"/>
      </w:r>
      <w:r w:rsidRPr="008A71A1" w:rsidR="008A71A1">
        <w:rPr>
          <w:noProof/>
        </w:rPr>
        <w:t>[1]</w:t>
      </w:r>
      <w:r w:rsidR="008A71A1">
        <w:fldChar w:fldCharType="end"/>
      </w:r>
      <w:r w:rsidR="0086417B">
        <w:t xml:space="preserve"> and a more extensive use of sustainable materials</w:t>
      </w:r>
      <w:r w:rsidR="008A71A1">
        <w:t xml:space="preserve"> </w:t>
      </w:r>
      <w:r w:rsidR="008A71A1">
        <w:fldChar w:fldCharType="begin" w:fldLock="1"/>
      </w:r>
      <w:r w:rsidR="00927555">
        <w:instrText>ADDIN CSL_CITATION {"citationItems":[{"id":"ITEM-1","itemData":{"DOI":"10.1080/17445302.2020.1816706","ISSN":"1744-5302","author":[{"dropping-particle":"","family":"Önal","given":"Mehmet","non-dropping-particle":"","parse-names":false,"suffix":""},{"dropping-particle":"","family":"Neşer","given":"Gökdeniz","non-dropping-particle":"","parse-names":false,"suffix":""},{"dropping-particle":"","family":"Gürsel","given":"K Turgut","non-dropping-particle":"","parse-names":false,"suffix":""}],"container-title":"Ships and Offshore Structures","id":"ITEM-1","issue":"0","issued":{"date-parts":[["2020"]]},"page":"1-6","publisher":"Taylor &amp; Francis","title":"Environmental impacts of steel ship hulls building and recycling by life cycle assessment ( LCA )","type":"article-journal","volume":"0"},"uris":["http://www.mendeley.com/documents/?uuid=6590ad69-5537-4137-aba5-5bab1b82dcec"]}],"mendeley":{"formattedCitation":"[2]","plainTextFormattedCitation":"[2]","previouslyFormattedCitation":"[2]"},"properties":{"noteIndex":0},"schema":"https://github.com/citation-style-language/schema/raw/master/csl-citation.json"}</w:instrText>
      </w:r>
      <w:r w:rsidR="008A71A1">
        <w:fldChar w:fldCharType="separate"/>
      </w:r>
      <w:r w:rsidRPr="008A71A1" w:rsidR="008A71A1">
        <w:rPr>
          <w:noProof/>
        </w:rPr>
        <w:t>[2]</w:t>
      </w:r>
      <w:r w:rsidR="008A71A1">
        <w:fldChar w:fldCharType="end"/>
      </w:r>
      <w:r w:rsidR="0086417B">
        <w:t xml:space="preserve"> could be suggested as feasible yet effective </w:t>
      </w:r>
      <w:r w:rsidR="001100EC">
        <w:t>solutions.</w:t>
      </w:r>
      <w:r w:rsidR="00BD4EE3">
        <w:t xml:space="preserve"> </w:t>
      </w:r>
      <w:r w:rsidR="00084136">
        <w:t>In this scenario, a broader use of sandwich structures</w:t>
      </w:r>
      <w:r w:rsidR="00FC2A84">
        <w:t>, based on sustainable materials,</w:t>
      </w:r>
      <w:r w:rsidR="00084136">
        <w:t xml:space="preserve"> is an attractive optio</w:t>
      </w:r>
      <w:r w:rsidR="00A436F1">
        <w:t>n for shipbuilding industry</w:t>
      </w:r>
      <w:r w:rsidR="00927555">
        <w:t xml:space="preserve"> </w:t>
      </w:r>
      <w:r w:rsidR="00083943">
        <w:fldChar w:fldCharType="begin" w:fldLock="1"/>
      </w:r>
      <w:r w:rsidR="00083943">
        <w:instrText>ADDIN CSL_CITATION {"citationItems":[{"id":"ITEM-1","itemData":{"DOI":"10.1080/15376494.2021.1941448","author":[{"dropping-particle":"","family":"Palomba","given":"Giulia","non-dropping-particle":"","parse-names":false,"suffix":""},{"dropping-particle":"","family":"Epasto","given":"Gabriella","non-dropping-particle":"","parse-names":false,"suffix":""},{"dropping-particle":"","family":"Crupi","given":"Vincenzo","non-dropping-particle":"","parse-names":false,"suffix":""}],"container-title":"Mechanics of Advanced Materials and Structures","id":"ITEM-1","issue":"0","issued":{"date-parts":[["2021"]]},"page":"1-26","publisher":"Taylor &amp; Francis","title":"Lightweight sandwich structures for marine applications: a review","type":"article-journal","volume":"0"},"uris":["http://www.mendeley.com/documents/?uuid=8584c028-8efd-48b3-9398-d8be106cb857"]},{"id":"ITEM-2","itemData":{"author":[{"dropping-particle":"","family":"Kortenoeven","given":"Jeroen","non-dropping-particle":"","parse-names":false,"suffix":""},{"dropping-particle":"","family":"Boon","given":"Bart","non-dropping-particle":"","parse-names":false,"suffix":""},{"dropping-particle":"","family":"Bruijn","given":"Arnold","non-dropping-particle":"de","parse-names":false,"suffix":""}],"container-title":"Journal of ship production","id":"ITEM-2","issue":"24","issued":{"date-parts":[["2008"]]},"page":"125-134","title":"Application of Sandwich Panels in Design and Building of Dredging Ships","type":"article-journal","volume":"3"},"uris":["http://www.mendeley.com/documents/?uuid=6617741d-a0d7-4491-9e51-b4f6622a6861"]},{"id":"ITEM-3","itemData":{"ISSN":"0007215X","abstract":"Steel sandwich panels welded by laser can offer 30-50 % weight savings compared to the conventional steel structures. Helsinki University of Technology/Ship Laboratory has done active research during the past 10 years on various topics related to the laser welded steel sandwich panels. The work carried out includes development of design formulations for the ultimate and impact strength, analysis of fatigue strength for the joints, and development of solutions to improve the behaviour under fire. A number of research projects both at the national and European level have been ongoing. In the paper, a summary of the marine applications, main benefits and prob- lem areas of the panels as well as available design tools are given. A case study for weight and cost optimisation of a hoistable cardeck is also presented proving some of the described benefits of all steel sandwich panels.","author":[{"dropping-particle":"","family":"Kujala","given":"Pentti","non-dropping-particle":"","parse-names":false,"suffix":""},{"dropping-particle":"","family":"Klanac","given":"Alan","non-dropping-particle":"","parse-names":false,"suffix":""}],"container-title":"Brodogradnja","id":"ITEM-3","issue":"4","issued":{"date-parts":[["2005"]]},"page":"305-314","title":"Steel sandwich panels in marine applications","type":"article-journal","volume":"56"},"uris":["http://www.mendeley.com/documents/?uuid=a632ef3c-adae-499d-b3ec-313ed4097402"]}],"mendeley":{"formattedCitation":"[3]–[5]","plainTextFormattedCitation":"[3]–[5]","previouslyFormattedCitation":"[3]–[5]"},"properties":{"noteIndex":0},"schema":"https://github.com/citation-style-language/schema/raw/master/csl-citation.json"}</w:instrText>
      </w:r>
      <w:r w:rsidR="00083943">
        <w:fldChar w:fldCharType="separate"/>
      </w:r>
      <w:r w:rsidRPr="00083943" w:rsidR="00083943">
        <w:rPr>
          <w:noProof/>
        </w:rPr>
        <w:t>[3]–[5]</w:t>
      </w:r>
      <w:r w:rsidR="00083943">
        <w:fldChar w:fldCharType="end"/>
      </w:r>
      <w:r w:rsidR="009D5BC3">
        <w:t xml:space="preserve">, since </w:t>
      </w:r>
      <w:r w:rsidR="00B25A76">
        <w:t>their</w:t>
      </w:r>
      <w:r w:rsidR="00FC2A84">
        <w:t xml:space="preserve"> </w:t>
      </w:r>
      <w:r w:rsidRPr="00B25A76" w:rsidR="00B25A76">
        <w:t xml:space="preserve">basic principle is to </w:t>
      </w:r>
      <w:r w:rsidR="00B25A76">
        <w:t xml:space="preserve">combine low weight with </w:t>
      </w:r>
      <w:r w:rsidRPr="00B25A76" w:rsidR="00B25A76">
        <w:t>high bending stiffness</w:t>
      </w:r>
      <w:r w:rsidR="00B25A76">
        <w:t xml:space="preserve"> and strength. </w:t>
      </w:r>
      <w:r w:rsidRPr="004D4E20" w:rsidR="00B25A76">
        <w:t xml:space="preserve">In addition, </w:t>
      </w:r>
      <w:r w:rsidRPr="004D4E20" w:rsidR="004D21DF">
        <w:t>sandwich structures</w:t>
      </w:r>
      <w:r w:rsidRPr="004D4E20" w:rsidR="00B25A76">
        <w:t xml:space="preserve"> could</w:t>
      </w:r>
      <w:r w:rsidR="004D4E20">
        <w:t xml:space="preserve"> be designed according to the according to the principles of biomimetic</w:t>
      </w:r>
      <w:r w:rsidRPr="004D4E20" w:rsidR="00B25A76">
        <w:t xml:space="preserve"> </w:t>
      </w:r>
      <w:r w:rsidR="004D4E20">
        <w:t xml:space="preserve">science </w:t>
      </w:r>
      <w:r w:rsidR="00083943">
        <w:fldChar w:fldCharType="begin" w:fldLock="1"/>
      </w:r>
      <w:r w:rsidR="00083943">
        <w:instrText>ADDIN CSL_CITATION {"citationItems":[{"id":"ITEM-1","itemData":{"DOI":"10.1088/1748-3190/aba1d1","ISSN":"1748-3190","author":[{"dropping-particle":"","family":"Palomba","given":"Giulia","non-dropping-particle":"","parse-names":false,"suffix":""},{"dropping-particle":"","family":"Hone","given":"Timothy","non-dropping-particle":"","parse-names":false,"suffix":""},{"dropping-particle":"","family":"Taylor","given":"David","non-dropping-particle":"","parse-names":false,"suffix":""},{"dropping-particle":"","family":"Crupi","given":"Vincenzo","non-dropping-particle":"","parse-names":false,"suffix":""}],"container-title":"Bioinspiration &amp; Biomimetics","id":"ITEM-1","issue":"5","issued":{"date-parts":[["2020","8","21"]]},"page":"056016","title":"Bio-inspired protective structures for marine applications","type":"article-journal","volume":"15"},"uris":["http://www.mendeley.com/documents/?uuid=93226ec7-7746-3a0a-8be0-aa7d84db33bc"]}],"mendeley":{"formattedCitation":"[6]","plainTextFormattedCitation":"[6]","previouslyFormattedCitation":"[6]"},"properties":{"noteIndex":0},"schema":"https://github.com/citation-style-language/schema/raw/master/csl-citation.json"}</w:instrText>
      </w:r>
      <w:r w:rsidR="00083943">
        <w:fldChar w:fldCharType="separate"/>
      </w:r>
      <w:r w:rsidRPr="00083943" w:rsidR="00083943">
        <w:rPr>
          <w:noProof/>
        </w:rPr>
        <w:t>[6]</w:t>
      </w:r>
      <w:r w:rsidR="00083943">
        <w:fldChar w:fldCharType="end"/>
      </w:r>
      <w:r w:rsidR="00083943">
        <w:t xml:space="preserve">. </w:t>
      </w:r>
      <w:r w:rsidR="004D21DF">
        <w:t xml:space="preserve">A consistent and wide use of sustainable sandwich structures requires reliable </w:t>
      </w:r>
      <w:r w:rsidR="00C22025">
        <w:t xml:space="preserve">design and technological </w:t>
      </w:r>
      <w:r w:rsidR="004D21DF">
        <w:t xml:space="preserve">solutions to integrate and </w:t>
      </w:r>
      <w:r w:rsidR="00C22025">
        <w:t>join</w:t>
      </w:r>
      <w:r w:rsidR="004D21DF">
        <w:t xml:space="preserve"> them to the main structure. </w:t>
      </w:r>
      <w:r w:rsidR="00350AE6">
        <w:t xml:space="preserve">Connection techniques in marine structures are a challenging topic also when considering the introduction of lightweight materials, such </w:t>
      </w:r>
      <w:r w:rsidR="00350AE6">
        <w:lastRenderedPageBreak/>
        <w:t>as aluminum, which require suitable methods to be joined with other parts made of different metals (e.g. steel). One of the most advanced technique</w:t>
      </w:r>
      <w:r w:rsidR="00755F88">
        <w:t xml:space="preserve"> to join</w:t>
      </w:r>
      <w:r w:rsidR="00350AE6">
        <w:t xml:space="preserve"> dissimilar metals </w:t>
      </w:r>
      <w:r w:rsidR="00755F88">
        <w:t>is explosion welding</w:t>
      </w:r>
      <w:r w:rsidR="00DB160C">
        <w:t xml:space="preserve"> </w:t>
      </w:r>
      <w:r w:rsidR="008261B0">
        <w:fldChar w:fldCharType="begin" w:fldLock="1"/>
      </w:r>
      <w:r w:rsidR="00083943">
        <w:instrText>ADDIN CSL_CITATION {"citationItems":[{"id":"ITEM-1","itemData":{"DOI":"10.1016/J.MARSTRUC.2020.102843","ISSN":"0951-8339","abstract":"The study presents an analysis of S355J2+N steel and AA5083 aluminum alloy welded structural joints using explosion welded transition joints of reduced thickness. The transition joint thickness reduction significantly hinders the welding of the joints due to the risk of damage to the Al/steel interface as a result of the high temperatures during welding. Numerical modeling of the welding process is performed to determine safe welding parameters for the transition joint. The numerical analysis is supported by measurements of the temperature areas by a thermographic method. Welded structural joints are analyzed to determine the welding influence on the mechanical properties and microstructure of the transition joints. On this basis, a number of tests are carried out, including microhardness distribution measurements, strength tests of joints in two welding configurations and strength tests of the microspecimens of transition joints. Moreover, an experimental and numerical analysis of strain and stress distributions is carried out in combination with the use of the finite element method and digital image correlation, which allow us to identify the critical areas of the joints with regards to their strength. The results of the microstructural and strength tests carried out using macro- and microspecimens show softening of the aluminum alloy layers. However, the AA5083 and AA1050 layer softening as a result of welding did not reduce the load capacity of the transition joints, which could determine the strength of the dissimilar Al/steel welded structural joints.","author":[{"dropping-particle":"","family":"Boroński","given":"Dariusz","non-dropping-particle":"","parse-names":false,"suffix":""},{"dropping-particle":"","family":"Skibicki","given":"Andrzej","non-dropping-particle":"","parse-names":false,"suffix":""},{"dropping-particle":"","family":"Maćkowiak","given":"Paweł","non-dropping-particle":"","parse-names":false,"suffix":""},{"dropping-particle":"","family":"Płaczek","given":"Dominka","non-dropping-particle":"","parse-names":false,"suffix":""}],"container-title":"Marine Structures","id":"ITEM-1","issued":{"date-parts":[["2020","11","1"]]},"page":"102843","publisher":"Elsevier","title":"Modeling and analysis of thin-walled Al/steel explosion welded transition joints for shipbuilding applications","type":"article-journal","volume":"74"},"uris":["http://www.mendeley.com/documents/?uuid=37663a33-c61b-3733-a0b6-fc43fb242bbb"]}],"mendeley":{"formattedCitation":"[7]","plainTextFormattedCitation":"[7]","previouslyFormattedCitation":"[7]"},"properties":{"noteIndex":0},"schema":"https://github.com/citation-style-language/schema/raw/master/csl-citation.json"}</w:instrText>
      </w:r>
      <w:r w:rsidR="008261B0">
        <w:fldChar w:fldCharType="separate"/>
      </w:r>
      <w:r w:rsidRPr="00083943" w:rsidR="00083943">
        <w:rPr>
          <w:noProof/>
        </w:rPr>
        <w:t>[7]</w:t>
      </w:r>
      <w:r w:rsidR="008261B0">
        <w:fldChar w:fldCharType="end"/>
      </w:r>
      <w:r w:rsidRPr="00350AE6" w:rsidR="00350AE6">
        <w:t>.</w:t>
      </w:r>
      <w:r w:rsidR="00A635F6">
        <w:t xml:space="preserve"> </w:t>
      </w:r>
      <w:r w:rsidR="00AF6342">
        <w:t>Extensive experimental investigations focused on different loading conditions</w:t>
      </w:r>
      <w:r w:rsidR="00083943">
        <w:t xml:space="preserve"> </w:t>
      </w:r>
      <w:r w:rsidR="00083943">
        <w:fldChar w:fldCharType="begin" w:fldLock="1"/>
      </w:r>
      <w:r w:rsidR="00083943">
        <w:instrText>ADDIN CSL_CITATION {"citationItems":[{"id":"ITEM-1","itemData":{"DOI":"10.1016/J.MARSTRUC.2020.102843","ISSN":"0951-8339","abstract":"The study presents an analysis of S355J2+N steel and AA5083 aluminum alloy welded structural joints using explosion welded transition joints of reduced thickness. The transition joint thickness reduction significantly hinders the welding of the joints due to the risk of damage to the Al/steel interface as a result of the high temperatures during welding. Numerical modeling of the welding process is performed to determine safe welding parameters for the transition joint. The numerical analysis is supported by measurements of the temperature areas by a thermographic method. Welded structural joints are analyzed to determine the welding influence on the mechanical properties and microstructure of the transition joints. On this basis, a number of tests are carried out, including microhardness distribution measurements, strength tests of joints in two welding configurations and strength tests of the microspecimens of transition joints. Moreover, an experimental and numerical analysis of strain and stress distributions is carried out in combination with the use of the finite element method and digital image correlation, which allow us to identify the critical areas of the joints with regards to their strength. The results of the microstructural and strength tests carried out using macro- and microspecimens show softening of the aluminum alloy layers. However, the AA5083 and AA1050 layer softening as a result of welding did not reduce the load capacity of the transition joints, which could determine the strength of the dissimilar Al/steel welded structural joints.","author":[{"dropping-particle":"","family":"Boroński","given":"Dariusz","non-dropping-particle":"","parse-names":false,"suffix":""},{"dropping-particle":"","family":"Skibicki","given":"Andrzej","non-dropping-particle":"","parse-names":false,"suffix":""},{"dropping-particle":"","family":"Maćkowiak","given":"Paweł","non-dropping-particle":"","parse-names":false,"suffix":""},{"dropping-particle":"","family":"Płaczek","given":"Dominka","non-dropping-particle":"","parse-names":false,"suffix":""}],"container-title":"Marine Structures","id":"ITEM-1","issued":{"date-parts":[["2020","11","1"]]},"page":"102843","publisher":"Elsevier","title":"Modeling and analysis of thin-walled Al/steel explosion welded transition joints for shipbuilding applications","type":"article-journal","volume":"74"},"uris":["http://www.mendeley.com/documents/?uuid=37663a33-c61b-3733-a0b6-fc43fb242bbb"]},{"id":"ITEM-2","itemData":{"DOI":"10.3390/met8070544","ISSN":"20754701","abstract":"In this study, explosive welding was used in the cladding of aluminum plates to ship steel plates at different explosive ratios. Ship steel-aluminum bimetal composite plates were manufactured and the influence of the explosive ratio on the cladded bonding interface was examined. Optical microscopy (OM), scanning electron microscopy (SEM), and energy dispersive spectrometry (EDS) studies were employed for the characterization of the bonding interface of the manufactured ship steel-aluminum bimetal composites. Tensile-shear, notch impact toughness, bending and twisting tests, and microhardness studies were implemented to determine the mechanical features of the bimetal composite materials. In addition, neutral salt spray (NSS) tests were performed in order to examine the corrosion behavior of the bimetal composites.","author":[{"dropping-particle":"","family":"Kaya","given":"Yakup","non-dropping-particle":"","parse-names":false,"suffix":""}],"container-title":"Metals","id":"ITEM-2","issue":"7","issued":{"date-parts":[["2018"]]},"title":"Microstructural, mechanical and corrosion investigations of ship steel-aluminum bimetal composites produced by explosive welding","type":"article-journal","volume":"8"},"uris":["http://www.mendeley.com/documents/?uuid=35ca2958-deb4-4d3e-9304-85c46ed0e0e3"]},{"id":"ITEM-3","itemData":{"DOI":"10.1016/j.oceaneng.2021.108582","ISSN":"00298018","abstract":"Offshore and oil &amp; gas industries have shown the interest toward the use of dissimilar metals, so there is the problem of their joining. The aim of this research activity was to analyze the fatigue behaviour of Ti6Al4V/Inconel 625 (Nickel alloy 625) welded joint, obtained by laser welding. The investigated joint was obtained including intermediate layers of Vanadium and AISI 304 stainless steel to enhance the mechanical properties. The experimental results in terms of fatigue strength demonstrated a good quality of the obtained joints. The temperature of the specimens during the fatigue tests was detected by means of an Infrared Camera for applying the Thermographic Method and assessing the fatigue strength. The value of the fatigue strength predicted by the Thermographic Method shows a good agreement with the value obtained from the traditional procedure.","author":[{"dropping-particle":"","family":"Corigliano","given":"Pasqualino","non-dropping-particle":"","parse-names":false,"suffix":""},{"dropping-particle":"","family":"Crupi","given":"Vincenzo","non-dropping-particle":"","parse-names":false,"suffix":""}],"container-title":"Ocean Engineering","id":"ITEM-3","issue":"November 2020","issued":{"date-parts":[["2021"]]},"page":"108582","publisher":"Elsevier Ltd","title":"Fatigue analysis of TI6AL4V/INCONEL 625 dissimilar welded joints","type":"article-journal","volume":"221"},"uris":["http://www.mendeley.com/documents/?uuid=81d6e7a7-c262-4aa6-a9f4-2b7a7dc955d8"]},{"id":"ITEM-4","itemData":{"DOI":"10.1016/j.oceaneng.2018.04.070","ISSN":"0029-8018","author":[{"dropping-particle":"","family":"Corigliano","given":"Pasqualino","non-dropping-particle":"","parse-names":false,"suffix":""},{"dropping-particle":"","family":"Crupi","given":"Vincenzo","non-dropping-particle":"","parse-names":false,"suffix":""},{"dropping-particle":"","family":"Guglielmino","given":"Eugenio","non-dropping-particle":"","parse-names":false,"suffix":""}],"container-title":"Ocean Engineering","id":"ITEM-4","issue":"April","issued":{"date-parts":[["2018"]]},"page":"346-353","publisher":"Elsevier Ltd","title":"Non linear finite element simulation of explosive welded joints of dissimilar metals for shipbuilding applications","type":"article-journal","volume":"160"},"uris":["http://www.mendeley.com/documents/?uuid=2d5f58d1-b72d-47fa-85ce-89072a6b8293"]},{"id":"ITEM-5","itemData":{"DOI":"10.1016/j.marstruc.2020.102739","ISSN":"09518339","abstract":"The problem with fatigue lifetime estimation of explosive cladded transition joints under random loading conditions has been described. The paper presents the fatigue test results performed for the random state of tension-compression under a generated spectrum according to the Pierson-Moskowitz model. The obtained spectrum has a non-Gaussian characteristic. The tested material consists out of a transition joint clad with four layers of aluminium alloy A5083, A1050, Titanium Grade 1 and steel Grade D. The material has been tested for the existence of residual stresses after the welding process with the hole drilling method. The welding process has been also simulated with ANSYS and the residual stresses have been generated for the Goldak volumetric distribution. The obtained values of residual stresses comprise to the values of real tests performed for the hole drilling method. The information about the residual stress values have been taken into account in the process of fatigue lifetime estimation in the form of non-zero mean stresses compensation inside the clad. The fatigue life has been calculated with the use of the frequency domain method. The Goodman mean stress compensation model has been used in the process of residual stress compensation. The non-gaussianity has been compensated with the use of the Bracessi formula. The obtained fatigue life assessment results have been compared with stand test results. The calculated results are within the scatter area of 3, but individual scatter values have been calculated for calculated series.","author":[{"dropping-particle":"","family":"Böhm","given":"Michał","non-dropping-particle":"","parse-names":false,"suffix":""},{"dropping-particle":"","family":"Kowalski","given":"Mateusz","non-dropping-particle":"","parse-names":false,"suffix":""}],"container-title":"Marine Structures","id":"ITEM-5","issue":"February","issued":{"date-parts":[["2020"]]},"title":"Fatigue life estimation of explosive cladded transition joints with the use of the spectral method for the case of a random sea state","type":"article-journal","volume":"71"},"uris":["http://www.mendeley.com/documents/?uuid=75e34984-0b4d-43ff-ad00-8fdaa0c8b844"]}],"mendeley":{"formattedCitation":"[7]–[11]","plainTextFormattedCitation":"[7]–[11]","previouslyFormattedCitation":"[7]–[11]"},"properties":{"noteIndex":0},"schema":"https://github.com/citation-style-language/schema/raw/master/csl-citation.json"}</w:instrText>
      </w:r>
      <w:r w:rsidR="00083943">
        <w:fldChar w:fldCharType="separate"/>
      </w:r>
      <w:r w:rsidRPr="00083943" w:rsidR="00083943">
        <w:rPr>
          <w:noProof/>
        </w:rPr>
        <w:t>[7]–[11]</w:t>
      </w:r>
      <w:r w:rsidR="00083943">
        <w:fldChar w:fldCharType="end"/>
      </w:r>
      <w:r w:rsidR="00AF6342">
        <w:t xml:space="preserve"> testify the interest toward this particular application. </w:t>
      </w:r>
      <w:r w:rsidR="00B84B70">
        <w:t>Among other advantages,</w:t>
      </w:r>
      <w:r w:rsidR="00020691">
        <w:t xml:space="preserve"> the excellent performance of explosion welded joints </w:t>
      </w:r>
      <w:r w:rsidR="00B84B70">
        <w:t>enabled a broader applications of lightweight alloys</w:t>
      </w:r>
      <w:r w:rsidR="00020691">
        <w:t xml:space="preserve">, which are useful to obtain </w:t>
      </w:r>
      <w:r w:rsidR="00A635F6">
        <w:t>structures lightening</w:t>
      </w:r>
      <w:r w:rsidR="00B84B70">
        <w:t>.</w:t>
      </w:r>
      <w:r w:rsidR="00DE7112">
        <w:t xml:space="preserve"> Shipbuilding industry is in constant search for effective solutions to minimize the mass, especially in the superstructures, and to guarantee high levels of resistance to corrosion </w:t>
      </w:r>
      <w:r w:rsidR="00DE7112">
        <w:fldChar w:fldCharType="begin" w:fldLock="1"/>
      </w:r>
      <w:r w:rsidR="00083943">
        <w:instrText>ADDIN CSL_CITATION {"citationItems":[{"id":"ITEM-1","itemData":{"DOI":"10.3390/met8070544","ISSN":"20754701","abstract":"In this study, explosive welding was used in the cladding of aluminum plates to ship steel plates at different explosive ratios. Ship steel-aluminum bimetal composite plates were manufactured and the influence of the explosive ratio on the cladded bonding interface was examined. Optical microscopy (OM), scanning electron microscopy (SEM), and energy dispersive spectrometry (EDS) studies were employed for the characterization of the bonding interface of the manufactured ship steel-aluminum bimetal composites. Tensile-shear, notch impact toughness, bending and twisting tests, and microhardness studies were implemented to determine the mechanical features of the bimetal composite materials. In addition, neutral salt spray (NSS) tests were performed in order to examine the corrosion behavior of the bimetal composites.","author":[{"dropping-particle":"","family":"Kaya","given":"Yakup","non-dropping-particle":"","parse-names":false,"suffix":""}],"container-title":"Metals","id":"ITEM-1","issue":"7","issued":{"date-parts":[["2018"]]},"title":"Microstructural, mechanical and corrosion investigations of ship steel-aluminum bimetal composites produced by explosive welding","type":"article-journal","volume":"8"},"uris":["http://www.mendeley.com/documents/?uuid=35ca2958-deb4-4d3e-9304-85c46ed0e0e3"]}],"mendeley":{"formattedCitation":"[8]","plainTextFormattedCitation":"[8]","previouslyFormattedCitation":"[8]"},"properties":{"noteIndex":0},"schema":"https://github.com/citation-style-language/schema/raw/master/csl-citation.json"}</w:instrText>
      </w:r>
      <w:r w:rsidR="00DE7112">
        <w:fldChar w:fldCharType="separate"/>
      </w:r>
      <w:r w:rsidRPr="00083943" w:rsidR="00083943">
        <w:rPr>
          <w:noProof/>
        </w:rPr>
        <w:t>[8]</w:t>
      </w:r>
      <w:r w:rsidR="00DE7112">
        <w:fldChar w:fldCharType="end"/>
      </w:r>
      <w:r w:rsidR="00EC3C31">
        <w:t xml:space="preserve">: aluminum is an ideal candidate for such purpose, </w:t>
      </w:r>
      <w:r w:rsidR="00F725CB">
        <w:t xml:space="preserve">therefore </w:t>
      </w:r>
      <w:r w:rsidRPr="00F725CB" w:rsidR="00F725CB">
        <w:t xml:space="preserve">Al/Steel </w:t>
      </w:r>
      <w:r w:rsidRPr="00F725CB" w:rsidR="008D0661">
        <w:t xml:space="preserve">explosive welded joint </w:t>
      </w:r>
      <w:r w:rsidRPr="00F725CB" w:rsidR="00F725CB">
        <w:t xml:space="preserve">type </w:t>
      </w:r>
      <w:r w:rsidR="00F725CB">
        <w:t xml:space="preserve">is the </w:t>
      </w:r>
      <w:r w:rsidRPr="00F725CB" w:rsidR="00F725CB">
        <w:t>predominant</w:t>
      </w:r>
      <w:r w:rsidR="008D0661">
        <w:t xml:space="preserve"> one</w:t>
      </w:r>
      <w:r w:rsidRPr="00F725CB" w:rsidR="00F725CB">
        <w:t xml:space="preserve"> </w:t>
      </w:r>
      <w:r w:rsidR="008D0661">
        <w:t>for</w:t>
      </w:r>
      <w:r w:rsidRPr="00F725CB" w:rsidR="00F725CB">
        <w:t xml:space="preserve"> marine industry</w:t>
      </w:r>
      <w:r w:rsidR="008D0661">
        <w:t>.</w:t>
      </w:r>
      <w:r w:rsidR="000B48D4">
        <w:t xml:space="preserve"> </w:t>
      </w:r>
    </w:p>
    <w:p w:rsidR="00CF3C1A" w:rsidP="00CF3C1A" w:rsidRDefault="00B7559C" w14:paraId="108AE9A7" w14:textId="2C32AC8A">
      <w:pPr>
        <w:rPr>
          <w:lang w:val="en-GB"/>
        </w:rPr>
      </w:pPr>
      <w:r>
        <w:t xml:space="preserve">The above premises inspired the main topics of the current work: suggesting a possible application of a lightweight </w:t>
      </w:r>
      <w:r w:rsidR="00F118F1">
        <w:t xml:space="preserve">sustainable </w:t>
      </w:r>
      <w:r>
        <w:t xml:space="preserve">structure for the shipbuilding industry, </w:t>
      </w:r>
      <w:r w:rsidR="00F118F1">
        <w:t xml:space="preserve">connected to the main structural parts with </w:t>
      </w:r>
      <w:r>
        <w:t>an</w:t>
      </w:r>
      <w:r w:rsidR="00F118F1">
        <w:t xml:space="preserve"> Al/steel</w:t>
      </w:r>
      <w:r>
        <w:t xml:space="preserve"> </w:t>
      </w:r>
      <w:r w:rsidR="00F118F1">
        <w:t>explosion welded joint.</w:t>
      </w:r>
      <w:r w:rsidR="008E3D9A">
        <w:t xml:space="preserve"> </w:t>
      </w:r>
      <w:r w:rsidR="00CF3C1A">
        <w:t xml:space="preserve">A ship balcony overhang, including an aluminum honeycomb sandwich (AHS) panel and </w:t>
      </w:r>
      <w:r w:rsidRPr="008E3D9A" w:rsidR="00CF3C1A">
        <w:rPr>
          <w:lang w:val="en-GB"/>
        </w:rPr>
        <w:t>bimetallic welded joints</w:t>
      </w:r>
      <w:r w:rsidR="00CF3C1A">
        <w:rPr>
          <w:lang w:val="en-GB"/>
        </w:rPr>
        <w:t xml:space="preserve">, was identified as a </w:t>
      </w:r>
      <w:r w:rsidRPr="00CF3C1A" w:rsidR="00CF3C1A">
        <w:rPr>
          <w:lang w:val="en-GB"/>
        </w:rPr>
        <w:t>commercially interesting component for the plausible integration of the sandwich structure concept into marine structure designs</w:t>
      </w:r>
      <w:r w:rsidR="008E3D9A">
        <w:rPr>
          <w:lang w:val="en-GB"/>
        </w:rPr>
        <w:t xml:space="preserve">. The </w:t>
      </w:r>
      <w:r w:rsidR="009E12A0">
        <w:rPr>
          <w:lang w:val="en-GB"/>
        </w:rPr>
        <w:t xml:space="preserve">AHS was selected according </w:t>
      </w:r>
      <w:r w:rsidR="00836E19">
        <w:rPr>
          <w:lang w:val="en-GB"/>
        </w:rPr>
        <w:t xml:space="preserve">to a comparative </w:t>
      </w:r>
      <w:r w:rsidR="009E12A0">
        <w:rPr>
          <w:lang w:val="en-GB"/>
        </w:rPr>
        <w:t xml:space="preserve">design </w:t>
      </w:r>
      <w:r w:rsidR="00836E19">
        <w:rPr>
          <w:lang w:val="en-GB"/>
        </w:rPr>
        <w:t xml:space="preserve">methodology developed in a previous work </w:t>
      </w:r>
      <w:r w:rsidR="00836E19">
        <w:rPr>
          <w:lang w:val="en-GB"/>
        </w:rPr>
        <w:fldChar w:fldCharType="begin" w:fldLock="1"/>
      </w:r>
      <w:r w:rsidR="00943BC5">
        <w:rPr>
          <w:lang w:val="en-GB"/>
        </w:rPr>
        <w:instrText>ADDIN CSL_CITATION {"citationItems":[{"id":"ITEM-1","itemData":{"DOI":"10.1080/17445302.2021.1996109","ISSN":"1744-5302","author":[{"dropping-particle":"","family":"Palomba","given":"G.","non-dropping-particle":"","parse-names":false,"suffix":""},{"dropping-particle":"","family":"Epasto","given":"G.","non-dropping-particle":"","parse-names":false,"suffix":""},{"dropping-particle":"","family":"Sutherland","given":"L.","non-dropping-particle":"","parse-names":false,"suffix":""},{"dropping-particle":"","family":"Crupi","given":"V.","non-dropping-particle":"","parse-names":false,"suffix":""}],"container-title":"Ships and Offshore Structures","id":"ITEM-1","issue":"0","issued":{"date-parts":[["2021"]]},"page":"1-12","publisher":"Taylor &amp; Francis","title":"Aluminium honeycomb sandwich as a design alternative for lightweight marine structures","type":"article-journal","volume":"0"},"uris":["http://www.mendeley.com/documents/?uuid=724d8408-de42-4548-b0ca-47b80fe66d12"]}],"mendeley":{"formattedCitation":"[12]","plainTextFormattedCitation":"[12]","previouslyFormattedCitation":"[12]"},"properties":{"noteIndex":0},"schema":"https://github.com/citation-style-language/schema/raw/master/csl-citation.json"}</w:instrText>
      </w:r>
      <w:r w:rsidR="00836E19">
        <w:rPr>
          <w:lang w:val="en-GB"/>
        </w:rPr>
        <w:fldChar w:fldCharType="separate"/>
      </w:r>
      <w:r w:rsidRPr="00083943" w:rsidR="00083943">
        <w:rPr>
          <w:noProof/>
          <w:lang w:val="en-GB"/>
        </w:rPr>
        <w:t>[12]</w:t>
      </w:r>
      <w:r w:rsidR="00836E19">
        <w:rPr>
          <w:lang w:val="en-GB"/>
        </w:rPr>
        <w:fldChar w:fldCharType="end"/>
      </w:r>
      <w:r w:rsidR="00836E19">
        <w:rPr>
          <w:lang w:val="en-GB"/>
        </w:rPr>
        <w:t xml:space="preserve">, as an alternative to a similar structure </w:t>
      </w:r>
      <w:r w:rsidR="00CF3C1A">
        <w:rPr>
          <w:lang w:val="en-GB"/>
        </w:rPr>
        <w:t xml:space="preserve">designed and tested by </w:t>
      </w:r>
      <w:proofErr w:type="spellStart"/>
      <w:r w:rsidR="00CF3C1A">
        <w:rPr>
          <w:lang w:val="en-GB"/>
        </w:rPr>
        <w:t>Kharghani</w:t>
      </w:r>
      <w:proofErr w:type="spellEnd"/>
      <w:r w:rsidR="00CF3C1A">
        <w:rPr>
          <w:lang w:val="en-GB"/>
        </w:rPr>
        <w:t xml:space="preserve"> and </w:t>
      </w:r>
      <w:proofErr w:type="spellStart"/>
      <w:r w:rsidR="00CF3C1A">
        <w:rPr>
          <w:lang w:val="en-GB"/>
        </w:rPr>
        <w:t>Soares</w:t>
      </w:r>
      <w:proofErr w:type="spellEnd"/>
      <w:r w:rsidR="00CF3C1A">
        <w:rPr>
          <w:lang w:val="en-GB"/>
        </w:rPr>
        <w:t xml:space="preserve"> </w:t>
      </w:r>
      <w:r w:rsidR="00CF3C1A">
        <w:rPr>
          <w:lang w:val="en-GB"/>
        </w:rPr>
        <w:fldChar w:fldCharType="begin" w:fldLock="1"/>
      </w:r>
      <w:r w:rsidR="00943BC5">
        <w:rPr>
          <w:lang w:val="en-GB"/>
        </w:rPr>
        <w:instrText>ADDIN CSL_CITATION {"citationItems":[{"id":"ITEM-1","itemData":{"DOI":"10.1016/J.MARSTRUC.2018.03.003","ISSN":"0951-8339","abstract":"A model of a composite-to-steel hybrid balcony overhang is tested to find its strength and stiffness under imposed shear and bending loads. The configuration tested is representative of a solution being considered for the balconies of cruise ships, where the substitution of steel by composites aims at weight saving. The steel component is a channel type of structure made of two plates that serve as external supports of the sandwich plate. A finite element model is used to compare with the experimental results and to predict the critical regions of stress concentration. The results include load-deflection and load-strain curves with the maximum value of the shear and bending loads. The critical locations and failure loads have been investigated too.","author":[{"dropping-particle":"","family":"Kharghani","given":"N.","non-dropping-particle":"","parse-names":false,"suffix":""},{"dropping-particle":"","family":"Guedes Soares","given":"C.","non-dropping-particle":"","parse-names":false,"suffix":""}],"container-title":"Marine Structures","id":"ITEM-1","issued":{"date-parts":[["2018","7","1"]]},"page":"15-33","publisher":"Elsevier","title":"Experimental and numerical study of hybrid steel-FRP balcony overhang of ships under shear and bending","type":"article-journal","volume":"60"},"uris":["http://www.mendeley.com/documents/?uuid=3f0e3dc6-6e0b-31d8-b43e-ad17e127d131"]},{"id":"ITEM-2","itemData":{"DOI":"10.1201/9780429505294-46","ISBN":"9781138585393","abstract":"A composite-to-steel hybrid balcony overhang is tested in order to find strength and stiffness under imposed bending load at the second load cycle after initial failure. The specimens are loaded under shear at the first cycle until the failure occurs. The configuration tested is representative of a solution being considered for the balconies of cruise ships, where the substitution of steel by composites aims at weight saving. The steel component is a channel type of structure made of two plates that serve as external supports of the sandwich plate. The purpose of the current study is evaluating the reduction of ultimate strength and stiffness of the damaged structure and identifying the critical locations and failure progress in bending condition.","author":[{"dropping-particle":"","family":"Kharghani","given":"N.","non-dropping-particle":"","parse-names":false,"suffix":""},{"dropping-particle":"","family":"Guedes Soares","given":"C.","non-dropping-particle":"","parse-names":false,"suffix":""}],"container-title":"Progress in Maritime Technology and Engineering - Proceedings of the 4th International Conference on Maritime Technology and Engineering, MARTECH 2018","id":"ITEM-2","issue":"2014","issued":{"date-parts":[["2018"]]},"page":"403-412","title":"Experimental study of the residual strength of damaged hybrid steel-FRP balcony overhangs of ships","type":"article-journal"},"uris":["http://www.mendeley.com/documents/?uuid=12b5adee-570c-4bdf-b159-a57bf7ed70f0"]},{"id":"ITEM-3","itemData":{"DOI":"10.1016/j.marstruc.2019.102647","ISSN":"09518339","abstract":"The mechanical properties of a sandwich panel and its skin, which are the main components of a steel-composite balcony overhang, are compared before and after the failure of the large-scale hybrid joint specimen subjected to imposed shear and bending loads. For this purpose, unidirectional tensile and three-point bending tests are performed on the extracted specimens from the failed balconies. The results include load-deflection and stress-strain curves and tables containing the strength and elasticity modulus for all extracted specimens. Repeating the tensile and flexural tests regarding to ASTM standards and comparing the results with the initial values of properties, contributed to find that the core shear modulus and the flexural strength of the skin reduce remarkably.","author":[{"dropping-particle":"","family":"Kharghani","given":"N.","non-dropping-particle":"","parse-names":false,"suffix":""},{"dropping-particle":"","family":"Guedes Soares","given":"C.","non-dropping-particle":"","parse-names":false,"suffix":""}],"container-title":"Marine Structures","id":"ITEM-3","issued":{"date-parts":[["2019","11","1"]]},"page":"102647","publisher":"Elsevier","title":"Mechanical properties evaluation of the components of a failed hybrid steel-FRP balcony overhang in ships","type":"article-journal","volume":"68"},"uris":["http://www.mendeley.com/documents/?uuid=894f28fa-676e-3f50-972b-ef3aa495cf66"]}],"mendeley":{"formattedCitation":"[13]–[15]","plainTextFormattedCitation":"[13]–[15]","previouslyFormattedCitation":"[13]–[15]"},"properties":{"noteIndex":0},"schema":"https://github.com/citation-style-language/schema/raw/master/csl-citation.json"}</w:instrText>
      </w:r>
      <w:r w:rsidR="00CF3C1A">
        <w:rPr>
          <w:lang w:val="en-GB"/>
        </w:rPr>
        <w:fldChar w:fldCharType="separate"/>
      </w:r>
      <w:r w:rsidRPr="00083943" w:rsidR="00083943">
        <w:rPr>
          <w:noProof/>
          <w:lang w:val="en-GB"/>
        </w:rPr>
        <w:t>[13]–[15]</w:t>
      </w:r>
      <w:r w:rsidR="00CF3C1A">
        <w:rPr>
          <w:lang w:val="en-GB"/>
        </w:rPr>
        <w:fldChar w:fldCharType="end"/>
      </w:r>
      <w:r w:rsidR="00CF3C1A">
        <w:rPr>
          <w:lang w:val="en-GB"/>
        </w:rPr>
        <w:t xml:space="preserve">, which </w:t>
      </w:r>
      <w:r w:rsidRPr="00CF3C1A" w:rsidR="00CF3C1A">
        <w:rPr>
          <w:lang w:val="en-GB"/>
        </w:rPr>
        <w:t>consist</w:t>
      </w:r>
      <w:r w:rsidR="00CF3C1A">
        <w:rPr>
          <w:lang w:val="en-GB"/>
        </w:rPr>
        <w:t>ed</w:t>
      </w:r>
      <w:r w:rsidRPr="00CF3C1A" w:rsidR="00CF3C1A">
        <w:rPr>
          <w:lang w:val="en-GB"/>
        </w:rPr>
        <w:t xml:space="preserve"> in a steel support frame </w:t>
      </w:r>
      <w:r w:rsidR="00CF3C1A">
        <w:rPr>
          <w:lang w:val="en-GB"/>
        </w:rPr>
        <w:t>with a</w:t>
      </w:r>
      <w:r w:rsidRPr="00CF3C1A" w:rsidR="00CF3C1A">
        <w:rPr>
          <w:lang w:val="en-GB"/>
        </w:rPr>
        <w:t xml:space="preserve"> balcony floor </w:t>
      </w:r>
      <w:r w:rsidR="00CF3C1A">
        <w:rPr>
          <w:lang w:val="en-GB"/>
        </w:rPr>
        <w:t>made of a</w:t>
      </w:r>
      <w:r w:rsidRPr="00CF3C1A" w:rsidR="00CF3C1A">
        <w:rPr>
          <w:lang w:val="en-GB"/>
        </w:rPr>
        <w:t xml:space="preserve"> sandwich panel of balsa core and GFRP</w:t>
      </w:r>
      <w:r w:rsidR="00E65DFA">
        <w:rPr>
          <w:lang w:val="en-GB"/>
        </w:rPr>
        <w:t xml:space="preserve"> </w:t>
      </w:r>
      <w:r w:rsidR="00CF3C1A">
        <w:rPr>
          <w:lang w:val="en-GB"/>
        </w:rPr>
        <w:t xml:space="preserve">(glass-fibre reinforced plastics) </w:t>
      </w:r>
      <w:r w:rsidRPr="00CF3C1A" w:rsidR="00CF3C1A">
        <w:rPr>
          <w:lang w:val="en-GB"/>
        </w:rPr>
        <w:t>skins.</w:t>
      </w:r>
    </w:p>
    <w:p w:rsidRPr="00B05EA3" w:rsidR="00B05D6E" w:rsidP="00425CD6" w:rsidRDefault="00D63C09" w14:paraId="3654345E" w14:textId="65C3B8A6">
      <w:pPr>
        <w:rPr>
          <w:lang w:val="en-GB"/>
        </w:rPr>
      </w:pPr>
      <w:r>
        <w:rPr>
          <w:lang w:val="en-GB"/>
        </w:rPr>
        <w:t>Since both</w:t>
      </w:r>
      <w:r w:rsidR="009E12A0">
        <w:rPr>
          <w:lang w:val="en-GB"/>
        </w:rPr>
        <w:t xml:space="preserve"> AHS and</w:t>
      </w:r>
      <w:r>
        <w:rPr>
          <w:lang w:val="en-GB"/>
        </w:rPr>
        <w:t xml:space="preserve"> bimetallic joints </w:t>
      </w:r>
      <w:r w:rsidR="009E12A0">
        <w:rPr>
          <w:lang w:val="en-GB"/>
        </w:rPr>
        <w:t xml:space="preserve">are unusual solutions, </w:t>
      </w:r>
      <w:r>
        <w:rPr>
          <w:lang w:val="en-GB"/>
        </w:rPr>
        <w:t xml:space="preserve">reliable information from experimental analysis are crucial to support future effective and consistent design of similar structures. Data from small-scale experimental investigations can contribute to </w:t>
      </w:r>
      <w:r w:rsidR="000E20D3">
        <w:rPr>
          <w:lang w:val="en-GB"/>
        </w:rPr>
        <w:t xml:space="preserve">structural design, however, when it comes to complex and unusual structures, </w:t>
      </w:r>
      <w:r w:rsidR="002B2CC6">
        <w:rPr>
          <w:lang w:val="en-GB"/>
        </w:rPr>
        <w:t xml:space="preserve">especially if </w:t>
      </w:r>
      <w:r w:rsidR="000E20D3">
        <w:rPr>
          <w:lang w:val="en-GB"/>
        </w:rPr>
        <w:t xml:space="preserve">destined to applications where safety is a primary matter, large-scale experimental </w:t>
      </w:r>
      <w:r w:rsidR="00367439">
        <w:rPr>
          <w:lang w:val="en-GB"/>
        </w:rPr>
        <w:t>analys</w:t>
      </w:r>
      <w:r w:rsidR="00927555">
        <w:rPr>
          <w:lang w:val="en-GB"/>
        </w:rPr>
        <w:t>i</w:t>
      </w:r>
      <w:r w:rsidR="00367439">
        <w:rPr>
          <w:lang w:val="en-GB"/>
        </w:rPr>
        <w:t xml:space="preserve">s </w:t>
      </w:r>
      <w:r w:rsidR="000E20D3">
        <w:rPr>
          <w:lang w:val="en-GB"/>
        </w:rPr>
        <w:t xml:space="preserve">are </w:t>
      </w:r>
      <w:r w:rsidR="002B2CC6">
        <w:rPr>
          <w:lang w:val="en-GB"/>
        </w:rPr>
        <w:t xml:space="preserve">essential </w:t>
      </w:r>
      <w:r w:rsidRPr="00755571" w:rsidR="000D29CD">
        <w:rPr>
          <w:lang w:val="en-GB"/>
        </w:rPr>
        <w:t xml:space="preserve">for the design of ship </w:t>
      </w:r>
      <w:r w:rsidRPr="00755571" w:rsidR="00295CF0">
        <w:rPr>
          <w:lang w:val="en-GB"/>
        </w:rPr>
        <w:t xml:space="preserve">hull and </w:t>
      </w:r>
      <w:r w:rsidRPr="00755571" w:rsidR="000D29CD">
        <w:rPr>
          <w:lang w:val="en-GB"/>
        </w:rPr>
        <w:t xml:space="preserve">structures </w:t>
      </w:r>
      <w:r w:rsidRPr="00755571" w:rsidR="00083943">
        <w:rPr>
          <w:lang w:val="en-GB"/>
        </w:rPr>
        <w:fldChar w:fldCharType="begin" w:fldLock="1"/>
      </w:r>
      <w:r w:rsidR="00943BC5">
        <w:rPr>
          <w:lang w:val="en-GB"/>
        </w:rPr>
        <w:instrText>ADDIN CSL_CITATION {"citationItems":[{"id":"ITEM-1","itemData":{"DOI":"10.1016/j.engstruct.2015.06.003","ISSN":"18737323","abstract":"The objective of this work is to perform a hull girder ultimate strength verification according to the Class Society rules based on experimental results and the dimensional theory. The results of the ultimate strength test of three box girders, that may represent the behaviour of a mid-ship section of a ship, deteriorated in a real corrosive seawater environment representing different levels of corrosion degradation of ageing ship structures, is used to evaluate the ultimate strength. The analysis is based on a structural model, used in the experimental test, which maintains the first-order similarity between the model and real structures. The present analysis may be used to validate the global ultimate strength of ship hull structures in the phase of the new structural design or during the service life and to calibrate the new developed codes.","author":[{"dropping-particle":"","family":"Garbatov","given":"Y.","non-dropping-particle":"","parse-names":false,"suffix":""},{"dropping-particle":"","family":"Saad-Eldeen","given":"S.","non-dropping-particle":"","parse-names":false,"suffix":""},{"dropping-particle":"","family":"Guedes Soares","given":"C.","non-dropping-particle":"","parse-names":false,"suffix":""}],"container-title":"Engineering Structures","id":"ITEM-1","issued":{"date-parts":[["2015"]]},"page":"742-750","publisher":"Elsevier Ltd","title":"Hull girder ultimate strength assessment based on experimental results and the dimensional theory","type":"article-journal","volume":"100"},"uris":["http://www.mendeley.com/documents/?uuid=ce4c2953-2876-4def-8d8b-4fac7006bfd4"]}],"mendeley":{"formattedCitation":"[16]","plainTextFormattedCitation":"[16]","previouslyFormattedCitation":"[16]"},"properties":{"noteIndex":0},"schema":"https://github.com/citation-style-language/schema/raw/master/csl-citation.json"}</w:instrText>
      </w:r>
      <w:r w:rsidRPr="00755571" w:rsidR="00083943">
        <w:rPr>
          <w:lang w:val="en-GB"/>
        </w:rPr>
        <w:fldChar w:fldCharType="separate"/>
      </w:r>
      <w:r w:rsidRPr="00755571" w:rsidR="00083943">
        <w:rPr>
          <w:noProof/>
          <w:lang w:val="en-GB"/>
        </w:rPr>
        <w:t>[16]</w:t>
      </w:r>
      <w:r w:rsidRPr="00755571" w:rsidR="00083943">
        <w:rPr>
          <w:lang w:val="en-GB"/>
        </w:rPr>
        <w:fldChar w:fldCharType="end"/>
      </w:r>
      <w:r w:rsidR="000D29CD">
        <w:rPr>
          <w:lang w:val="en-GB"/>
        </w:rPr>
        <w:t xml:space="preserve">. </w:t>
      </w:r>
      <w:r w:rsidR="00B05EA3">
        <w:rPr>
          <w:lang w:val="en-GB"/>
        </w:rPr>
        <w:t xml:space="preserve">As a result, the current paper aims at performing large-scale experimental analysis on a prototype of the designed balcony overhang, in order to </w:t>
      </w:r>
      <w:r w:rsidRPr="008E3D9A" w:rsidR="008E3D9A">
        <w:rPr>
          <w:lang w:val="en-GB"/>
        </w:rPr>
        <w:t>validat</w:t>
      </w:r>
      <w:r w:rsidR="00B05EA3">
        <w:rPr>
          <w:lang w:val="en-GB"/>
        </w:rPr>
        <w:t>e the design procedure,</w:t>
      </w:r>
      <w:r w:rsidRPr="008E3D9A" w:rsidR="008E3D9A">
        <w:rPr>
          <w:lang w:val="en-GB"/>
        </w:rPr>
        <w:t xml:space="preserve"> assess the feasib</w:t>
      </w:r>
      <w:r w:rsidR="00E845F7">
        <w:rPr>
          <w:lang w:val="en-GB"/>
        </w:rPr>
        <w:t>ility of the suggested solution and highlight potential criticalities</w:t>
      </w:r>
      <w:r w:rsidRPr="008E3D9A" w:rsidR="008E3D9A">
        <w:rPr>
          <w:lang w:val="en-GB"/>
        </w:rPr>
        <w:t xml:space="preserve">. The ship balcony overhang was tested under bending </w:t>
      </w:r>
      <w:r w:rsidR="00CF3C1A">
        <w:rPr>
          <w:lang w:val="en-GB"/>
        </w:rPr>
        <w:t>load applied at the free extremity of the balcony</w:t>
      </w:r>
      <w:r w:rsidRPr="008E3D9A" w:rsidR="008E3D9A">
        <w:rPr>
          <w:lang w:val="en-GB"/>
        </w:rPr>
        <w:t xml:space="preserve">. </w:t>
      </w:r>
      <w:r w:rsidR="00C46CAE">
        <w:rPr>
          <w:lang w:val="en-GB"/>
        </w:rPr>
        <w:t>Bimetallic parts were introduced as transition joints between the aluminium flooring and the steel ship’s side.</w:t>
      </w:r>
      <w:r w:rsidR="00D41952">
        <w:rPr>
          <w:lang w:val="en-GB"/>
        </w:rPr>
        <w:t xml:space="preserve"> </w:t>
      </w:r>
      <w:r w:rsidRPr="003B004A" w:rsidR="00D41952">
        <w:rPr>
          <w:lang w:val="en-GB"/>
        </w:rPr>
        <w:t>The results obtained from full-scale experimental testing disclosed the mechanical resp</w:t>
      </w:r>
      <w:r w:rsidRPr="003B004A" w:rsidR="00F542DA">
        <w:rPr>
          <w:lang w:val="en-GB"/>
        </w:rPr>
        <w:t xml:space="preserve">onse of such complex structure and </w:t>
      </w:r>
      <w:r w:rsidR="00384867">
        <w:rPr>
          <w:lang w:val="en-GB"/>
        </w:rPr>
        <w:t>allowed acquiring</w:t>
      </w:r>
      <w:r w:rsidRPr="003B004A" w:rsidR="00D147BD">
        <w:rPr>
          <w:lang w:val="en-GB"/>
        </w:rPr>
        <w:t xml:space="preserve"> information</w:t>
      </w:r>
      <w:r w:rsidRPr="003B004A" w:rsidR="00D41952">
        <w:rPr>
          <w:lang w:val="en-GB"/>
        </w:rPr>
        <w:t xml:space="preserve"> </w:t>
      </w:r>
      <w:r w:rsidR="00384867">
        <w:rPr>
          <w:lang w:val="en-GB"/>
        </w:rPr>
        <w:t xml:space="preserve">that </w:t>
      </w:r>
      <w:r w:rsidRPr="003B004A" w:rsidR="00D41952">
        <w:rPr>
          <w:lang w:val="en-GB"/>
        </w:rPr>
        <w:t>would be useful to support future design of marine structures involving both lightweight sandwich structures and bimetallic parts.</w:t>
      </w:r>
    </w:p>
    <w:p w:rsidR="00B05D6E" w:rsidRDefault="005E3076" w14:paraId="5769C7EC" w14:textId="7589A327">
      <w:pPr>
        <w:pStyle w:val="Titolo1"/>
        <w:rPr>
          <w:szCs w:val="20"/>
          <w:lang w:eastAsia="en-US"/>
        </w:rPr>
      </w:pPr>
      <w:r>
        <w:rPr>
          <w:lang w:eastAsia="en-US"/>
        </w:rPr>
        <w:t>Preliminar</w:t>
      </w:r>
      <w:r w:rsidR="00704B2B">
        <w:rPr>
          <w:lang w:eastAsia="en-US"/>
        </w:rPr>
        <w:t>y design</w:t>
      </w:r>
    </w:p>
    <w:p w:rsidR="00B05D6E" w:rsidRDefault="00290128" w14:paraId="10279768" w14:textId="649EA1B6">
      <w:pPr>
        <w:pStyle w:val="NoindentNormal"/>
      </w:pPr>
      <w:r>
        <w:t xml:space="preserve">In order to </w:t>
      </w:r>
      <w:r w:rsidR="00A632F2">
        <w:t>clarify</w:t>
      </w:r>
      <w:r>
        <w:t xml:space="preserve"> the</w:t>
      </w:r>
      <w:r w:rsidR="00A632F2">
        <w:t xml:space="preserve"> </w:t>
      </w:r>
      <w:r w:rsidR="00CB6BD9">
        <w:t>design methodology and the driving reasons behind the experimental analysis, a brief summary of the developed method</w:t>
      </w:r>
      <w:r w:rsidR="00D219BC">
        <w:t xml:space="preserve"> </w:t>
      </w:r>
      <w:r w:rsidR="00955A52">
        <w:t>wi</w:t>
      </w:r>
      <w:r w:rsidR="00D219BC">
        <w:t>ll be yielded below.</w:t>
      </w:r>
      <w:r w:rsidR="00955A52">
        <w:t xml:space="preserve"> </w:t>
      </w:r>
    </w:p>
    <w:p w:rsidR="00FF6BA6" w:rsidP="00FF6BA6" w:rsidRDefault="00A017A5" w14:paraId="6146A6D0" w14:textId="3A68F336">
      <w:pPr>
        <w:rPr>
          <w:lang w:val="en-GB"/>
        </w:rPr>
      </w:pPr>
      <w:r>
        <w:t>The AHS-based balcony overhang was</w:t>
      </w:r>
      <w:r w:rsidR="00F40A2D">
        <w:t xml:space="preserve"> suggested as a lightweight sustainable alternative to a</w:t>
      </w:r>
      <w:r w:rsidR="00F3326C">
        <w:t xml:space="preserve"> similar</w:t>
      </w:r>
      <w:r w:rsidR="00F40A2D">
        <w:t xml:space="preserve"> structure designed and tested in Refs.</w:t>
      </w:r>
      <w:r w:rsidRPr="001229C0" w:rsidR="001229C0">
        <w:rPr>
          <w:lang w:val="en-GB"/>
        </w:rPr>
        <w:t xml:space="preserve"> </w:t>
      </w:r>
      <w:r w:rsidR="001229C0">
        <w:rPr>
          <w:lang w:val="en-GB"/>
        </w:rPr>
        <w:fldChar w:fldCharType="begin" w:fldLock="1"/>
      </w:r>
      <w:r w:rsidR="00943BC5">
        <w:rPr>
          <w:lang w:val="en-GB"/>
        </w:rPr>
        <w:instrText>ADDIN CSL_CITATION {"citationItems":[{"id":"ITEM-1","itemData":{"DOI":"10.1016/J.MARSTRUC.2018.03.003","ISSN":"0951-8339","abstract":"A model of a composite-to-steel hybrid balcony overhang is tested to find its strength and stiffness under imposed shear and bending loads. The configuration tested is representative of a solution being considered for the balconies of cruise ships, where the substitution of steel by composites aims at weight saving. The steel component is a channel type of structure made of two plates that serve as external supports of the sandwich plate. A finite element model is used to compare with the experimental results and to predict the critical regions of stress concentration. The results include load-deflection and load-strain curves with the maximum value of the shear and bending loads. The critical locations and failure loads have been investigated too.","author":[{"dropping-particle":"","family":"Kharghani","given":"N.","non-dropping-particle":"","parse-names":false,"suffix":""},{"dropping-particle":"","family":"Guedes Soares","given":"C.","non-dropping-particle":"","parse-names":false,"suffix":""}],"container-title":"Marine Structures","id":"ITEM-1","issued":{"date-parts":[["2018","7","1"]]},"page":"15-33","publisher":"Elsevier","title":"Experimental and numerical study of hybrid steel-FRP balcony overhang of ships under shear and bending","type":"article-journal","volume":"60"},"uris":["http://www.mendeley.com/documents/?uuid=3f0e3dc6-6e0b-31d8-b43e-ad17e127d131"]},{"id":"ITEM-2","itemData":{"DOI":"10.1201/9780429505294-46","ISBN":"9781138585393","abstract":"A composite-to-steel hybrid balcony overhang is tested in order to find strength and stiffness under imposed bending load at the second load cycle after initial failure. The specimens are loaded under shear at the first cycle until the failure occurs. The configuration tested is representative of a solution being considered for the balconies of cruise ships, where the substitution of steel by composites aims at weight saving. The steel component is a channel type of structure made of two plates that serve as external supports of the sandwich plate. The purpose of the current study is evaluating the reduction of ultimate strength and stiffness of the damaged structure and identifying the critical locations and failure progress in bending condition.","author":[{"dropping-particle":"","family":"Kharghani","given":"N.","non-dropping-particle":"","parse-names":false,"suffix":""},{"dropping-particle":"","family":"Guedes Soares","given":"C.","non-dropping-particle":"","parse-names":false,"suffix":""}],"container-title":"Progress in Maritime Technology and Engineering - Proceedings of the 4th International Conference on Maritime Technology and Engineering, MARTECH 2018","id":"ITEM-2","issue":"2014","issued":{"date-parts":[["2018"]]},"page":"403-412","title":"Experimental study of the residual strength of damaged hybrid steel-FRP balcony overhangs of ships","type":"article-journal"},"uris":["http://www.mendeley.com/documents/?uuid=12b5adee-570c-4bdf-b159-a57bf7ed70f0"]},{"id":"ITEM-3","itemData":{"DOI":"10.1016/j.marstruc.2019.102647","ISSN":"09518339","abstract":"The mechanical properties of a sandwich panel and its skin, which are the main components of a steel-composite balcony overhang, are compared before and after the failure of the large-scale hybrid joint specimen subjected to imposed shear and bending loads. For this purpose, unidirectional tensile and three-point bending tests are performed on the extracted specimens from the failed balconies. The results include load-deflection and stress-strain curves and tables containing the strength and elasticity modulus for all extracted specimens. Repeating the tensile and flexural tests regarding to ASTM standards and comparing the results with the initial values of properties, contributed to find that the core shear modulus and the flexural strength of the skin reduce remarkably.","author":[{"dropping-particle":"","family":"Kharghani","given":"N.","non-dropping-particle":"","parse-names":false,"suffix":""},{"dropping-particle":"","family":"Guedes Soares","given":"C.","non-dropping-particle":"","parse-names":false,"suffix":""}],"container-title":"Marine Structures","id":"ITEM-3","issued":{"date-parts":[["2019","11","1"]]},"page":"102647","publisher":"Elsevier","title":"Mechanical properties evaluation of the components of a failed hybrid steel-FRP balcony overhang in ships","type":"article-journal","volume":"68"},"uris":["http://www.mendeley.com/documents/?uuid=894f28fa-676e-3f50-972b-ef3aa495cf66"]}],"mendeley":{"formattedCitation":"[13]–[15]","plainTextFormattedCitation":"[13]–[15]","previouslyFormattedCitation":"[13]–[15]"},"properties":{"noteIndex":0},"schema":"https://github.com/citation-style-language/schema/raw/master/csl-citation.json"}</w:instrText>
      </w:r>
      <w:r w:rsidR="001229C0">
        <w:rPr>
          <w:lang w:val="en-GB"/>
        </w:rPr>
        <w:fldChar w:fldCharType="separate"/>
      </w:r>
      <w:r w:rsidRPr="00083943" w:rsidR="00083943">
        <w:rPr>
          <w:noProof/>
          <w:lang w:val="en-GB"/>
        </w:rPr>
        <w:t>[13]–[15]</w:t>
      </w:r>
      <w:r w:rsidR="001229C0">
        <w:rPr>
          <w:lang w:val="en-GB"/>
        </w:rPr>
        <w:fldChar w:fldCharType="end"/>
      </w:r>
      <w:r w:rsidR="001229C0">
        <w:rPr>
          <w:lang w:val="en-GB"/>
        </w:rPr>
        <w:t>.</w:t>
      </w:r>
      <w:r w:rsidR="00FF6BA6">
        <w:rPr>
          <w:lang w:val="en-GB"/>
        </w:rPr>
        <w:t xml:space="preserve"> The design </w:t>
      </w:r>
      <w:r w:rsidR="005541C1">
        <w:rPr>
          <w:lang w:val="en-GB"/>
        </w:rPr>
        <w:t>procedure was at first focused only on replacement</w:t>
      </w:r>
      <w:r w:rsidRPr="003B343D" w:rsidR="005541C1">
        <w:rPr>
          <w:lang w:val="en-GB"/>
        </w:rPr>
        <w:t xml:space="preserve"> the </w:t>
      </w:r>
      <w:r w:rsidR="005541C1">
        <w:rPr>
          <w:lang w:val="en-GB"/>
        </w:rPr>
        <w:t xml:space="preserve">balcony </w:t>
      </w:r>
      <w:r w:rsidRPr="003B343D" w:rsidR="005541C1">
        <w:rPr>
          <w:lang w:val="en-GB"/>
        </w:rPr>
        <w:t xml:space="preserve">GFRP sandwich panel with </w:t>
      </w:r>
      <w:r w:rsidR="005541C1">
        <w:rPr>
          <w:lang w:val="en-GB"/>
        </w:rPr>
        <w:t>a lighter and more sustainable</w:t>
      </w:r>
      <w:r w:rsidRPr="003B343D" w:rsidR="005541C1">
        <w:rPr>
          <w:lang w:val="en-GB"/>
        </w:rPr>
        <w:t xml:space="preserve"> </w:t>
      </w:r>
      <w:r w:rsidR="005541C1">
        <w:rPr>
          <w:lang w:val="en-GB"/>
        </w:rPr>
        <w:t>solution</w:t>
      </w:r>
      <w:r w:rsidRPr="003B343D" w:rsidR="005541C1">
        <w:rPr>
          <w:lang w:val="en-GB"/>
        </w:rPr>
        <w:t>.</w:t>
      </w:r>
      <w:r w:rsidR="001F65EA">
        <w:rPr>
          <w:lang w:val="en-GB"/>
        </w:rPr>
        <w:t xml:space="preserve"> </w:t>
      </w:r>
      <w:r w:rsidRPr="00C16C50" w:rsidR="001F65EA">
        <w:t xml:space="preserve">The </w:t>
      </w:r>
      <w:r w:rsidR="001F65EA">
        <w:t xml:space="preserve">sandwich </w:t>
      </w:r>
      <w:r w:rsidRPr="00C16C50" w:rsidR="001F65EA">
        <w:t xml:space="preserve">width, </w:t>
      </w:r>
      <w:r w:rsidRPr="00C16C50" w:rsidR="001F65EA">
        <w:rPr>
          <w:i/>
        </w:rPr>
        <w:t>b</w:t>
      </w:r>
      <w:r w:rsidRPr="00C16C50" w:rsidR="001F65EA">
        <w:t xml:space="preserve"> and the length, </w:t>
      </w:r>
      <w:r w:rsidRPr="00C16C50" w:rsidR="001F65EA">
        <w:rPr>
          <w:i/>
        </w:rPr>
        <w:t>L</w:t>
      </w:r>
      <w:r w:rsidRPr="00C16C50" w:rsidR="001F65EA">
        <w:t xml:space="preserve"> of were kept the same as in the original structure, i.e. 750 and 1050 mm,</w:t>
      </w:r>
      <w:r w:rsidR="001F65EA">
        <w:t xml:space="preserve"> respectively</w:t>
      </w:r>
      <w:r w:rsidRPr="003B343D" w:rsidR="005541C1">
        <w:rPr>
          <w:lang w:val="en-GB"/>
        </w:rPr>
        <w:t xml:space="preserve">. </w:t>
      </w:r>
      <w:r w:rsidR="005541C1">
        <w:rPr>
          <w:lang w:val="en-GB"/>
        </w:rPr>
        <w:t>The design methodology included the</w:t>
      </w:r>
      <w:r w:rsidR="00FF6BA6">
        <w:rPr>
          <w:lang w:val="en-GB"/>
        </w:rPr>
        <w:t xml:space="preserve"> </w:t>
      </w:r>
      <w:r w:rsidR="005541C1">
        <w:rPr>
          <w:lang w:val="en-GB"/>
        </w:rPr>
        <w:t>following</w:t>
      </w:r>
      <w:r w:rsidR="00FF6BA6">
        <w:rPr>
          <w:lang w:val="en-GB"/>
        </w:rPr>
        <w:t xml:space="preserve"> steps:</w:t>
      </w:r>
    </w:p>
    <w:p w:rsidR="00D14137" w:rsidP="006A1AE2" w:rsidRDefault="005D2A4E" w14:paraId="69014C62" w14:textId="380BF9CB">
      <w:pPr>
        <w:pStyle w:val="Paragrafoelenco"/>
        <w:numPr>
          <w:ilvl w:val="0"/>
          <w:numId w:val="13"/>
        </w:numPr>
        <w:ind w:left="709"/>
        <w:rPr>
          <w:lang w:val="en-GB"/>
        </w:rPr>
      </w:pPr>
      <w:r w:rsidRPr="005E3076">
        <w:rPr>
          <w:lang w:val="en-GB"/>
        </w:rPr>
        <w:lastRenderedPageBreak/>
        <w:t>The bending stiffness</w:t>
      </w:r>
      <w:r w:rsidR="001F65EA">
        <w:rPr>
          <w:lang w:val="en-GB"/>
        </w:rPr>
        <w:t xml:space="preserve"> (</w:t>
      </w:r>
      <w:r w:rsidRPr="001F65EA" w:rsidR="001F65EA">
        <w:rPr>
          <w:i/>
          <w:lang w:val="en-GB"/>
        </w:rPr>
        <w:t>D</w:t>
      </w:r>
      <w:r w:rsidR="001F65EA">
        <w:rPr>
          <w:lang w:val="en-GB"/>
        </w:rPr>
        <w:t>)</w:t>
      </w:r>
      <w:r w:rsidRPr="005E3076">
        <w:rPr>
          <w:lang w:val="en-GB"/>
        </w:rPr>
        <w:t xml:space="preserve"> of the reference structure was chosen as a</w:t>
      </w:r>
      <w:r w:rsidR="00F3326C">
        <w:rPr>
          <w:lang w:val="en-GB"/>
        </w:rPr>
        <w:t>n equivalence</w:t>
      </w:r>
      <w:r w:rsidRPr="005E3076">
        <w:rPr>
          <w:lang w:val="en-GB"/>
        </w:rPr>
        <w:t xml:space="preserve"> parameter to</w:t>
      </w:r>
      <w:r w:rsidRPr="005E3076" w:rsidR="00D6733A">
        <w:rPr>
          <w:lang w:val="en-GB"/>
        </w:rPr>
        <w:t xml:space="preserve"> select an alternative sandwich structure</w:t>
      </w:r>
      <w:r w:rsidR="001F65EA">
        <w:rPr>
          <w:lang w:val="en-GB"/>
        </w:rPr>
        <w:t>,</w:t>
      </w:r>
      <w:r w:rsidR="002C2ECE">
        <w:rPr>
          <w:lang w:val="en-GB"/>
        </w:rPr>
        <w:t xml:space="preserve"> </w:t>
      </w:r>
      <w:r w:rsidR="002C2ECE">
        <w:t>since such feature</w:t>
      </w:r>
      <w:r w:rsidRPr="00C16C50" w:rsidR="002C2ECE">
        <w:t xml:space="preserve"> is often </w:t>
      </w:r>
      <w:r w:rsidR="002C2ECE">
        <w:t>a</w:t>
      </w:r>
      <w:r w:rsidRPr="00C16C50" w:rsidR="002C2ECE">
        <w:t xml:space="preserve"> </w:t>
      </w:r>
      <w:r w:rsidRPr="00C16C50" w:rsidR="00783DF1">
        <w:t>critica</w:t>
      </w:r>
      <w:r w:rsidR="00783DF1">
        <w:t>l design criterion</w:t>
      </w:r>
      <w:r w:rsidR="002C2ECE">
        <w:t xml:space="preserve"> in such cases</w:t>
      </w:r>
      <w:r w:rsidR="00012AF9">
        <w:rPr>
          <w:lang w:val="en-GB"/>
        </w:rPr>
        <w:t>.</w:t>
      </w:r>
      <w:r w:rsidR="00652A8B">
        <w:rPr>
          <w:lang w:val="en-GB"/>
        </w:rPr>
        <w:t xml:space="preserve"> Considering t</w:t>
      </w:r>
      <w:r w:rsidRPr="00652A8B" w:rsidR="00652A8B">
        <w:rPr>
          <w:lang w:val="en-GB"/>
        </w:rPr>
        <w:t>he</w:t>
      </w:r>
      <w:r w:rsidR="00652A8B">
        <w:rPr>
          <w:lang w:val="en-GB"/>
        </w:rPr>
        <w:t xml:space="preserve"> sandwich panel</w:t>
      </w:r>
      <w:r w:rsidRPr="00652A8B" w:rsidR="00652A8B">
        <w:rPr>
          <w:lang w:val="en-GB"/>
        </w:rPr>
        <w:t xml:space="preserve"> geometry</w:t>
      </w:r>
      <w:r w:rsidR="00652A8B">
        <w:rPr>
          <w:lang w:val="en-GB"/>
        </w:rPr>
        <w:t xml:space="preserve">, the </w:t>
      </w:r>
      <w:r w:rsidRPr="00652A8B" w:rsidR="00652A8B">
        <w:rPr>
          <w:lang w:val="en-GB"/>
        </w:rPr>
        <w:t xml:space="preserve">plate theory </w:t>
      </w:r>
      <w:r w:rsidR="00652A8B">
        <w:rPr>
          <w:lang w:val="en-GB"/>
        </w:rPr>
        <w:t>was applied and t</w:t>
      </w:r>
      <w:r w:rsidRPr="00012AF9" w:rsidR="00012AF9">
        <w:rPr>
          <w:lang w:val="en-GB"/>
        </w:rPr>
        <w:t>he</w:t>
      </w:r>
      <w:r w:rsidR="001F65EA">
        <w:rPr>
          <w:lang w:val="en-GB"/>
        </w:rPr>
        <w:t xml:space="preserve"> reference </w:t>
      </w:r>
      <w:r w:rsidRPr="00012AF9" w:rsidR="00012AF9">
        <w:rPr>
          <w:lang w:val="en-GB"/>
        </w:rPr>
        <w:t>bending stiff</w:t>
      </w:r>
      <w:r w:rsidR="00012AF9">
        <w:rPr>
          <w:lang w:val="en-GB"/>
        </w:rPr>
        <w:t>ness</w:t>
      </w:r>
      <w:r w:rsidR="001F65EA">
        <w:rPr>
          <w:lang w:val="en-GB"/>
        </w:rPr>
        <w:t xml:space="preserve"> was</w:t>
      </w:r>
      <w:r w:rsidR="00012AF9">
        <w:rPr>
          <w:lang w:val="en-GB"/>
        </w:rPr>
        <w:t xml:space="preserve"> </w:t>
      </w:r>
      <w:r w:rsidRPr="00012AF9" w:rsidR="00012AF9">
        <w:rPr>
          <w:lang w:val="en-GB"/>
        </w:rPr>
        <w:t xml:space="preserve">evaluated </w:t>
      </w:r>
      <w:r w:rsidR="00012AF9">
        <w:rPr>
          <w:lang w:val="en-GB"/>
        </w:rPr>
        <w:t xml:space="preserve">according to </w:t>
      </w:r>
      <w:r w:rsidR="001F65EA">
        <w:rPr>
          <w:lang w:val="en-GB"/>
        </w:rPr>
        <w:t xml:space="preserve">the </w:t>
      </w:r>
      <w:r w:rsidR="00012AF9">
        <w:rPr>
          <w:lang w:val="en-GB"/>
        </w:rPr>
        <w:t>well-known theoretical</w:t>
      </w:r>
      <w:r w:rsidRPr="00012AF9" w:rsidR="00012AF9">
        <w:rPr>
          <w:lang w:val="en-GB"/>
        </w:rPr>
        <w:t xml:space="preserve"> formulation</w:t>
      </w:r>
      <w:r w:rsidR="001F65EA">
        <w:rPr>
          <w:lang w:val="en-GB"/>
        </w:rPr>
        <w:t xml:space="preserve"> </w:t>
      </w:r>
      <w:r w:rsidRPr="001F65EA" w:rsidR="001F65EA">
        <w:rPr>
          <w:lang w:val="en-GB"/>
        </w:rPr>
        <w:t>for sandwich panel cylindrical bending</w:t>
      </w:r>
      <w:r w:rsidR="008B4B44">
        <w:rPr>
          <w:lang w:val="en-GB"/>
        </w:rPr>
        <w:t xml:space="preserve"> </w:t>
      </w:r>
      <w:r w:rsidRPr="008B4B44" w:rsidR="001F65EA">
        <w:rPr>
          <w:lang w:val="en-GB"/>
        </w:rPr>
        <w:fldChar w:fldCharType="begin" w:fldLock="1"/>
      </w:r>
      <w:r w:rsidR="00943BC5">
        <w:rPr>
          <w:strike/>
          <w:lang w:val="en-GB"/>
        </w:rPr>
        <w:instrText>ADDIN CSL_CITATION {"citationItems":[{"id":"ITEM-1","itemData":{"ISBN":"978-0-08-012870-2","author":[{"dropping-particle":"","family":"Allen","given":"Howard G.","non-dropping-particle":"","parse-names":false,"suffix":""}],"id":"ITEM-1","issued":{"date-parts":[["1969"]]},"publisher":"Pergamon Press","publisher-place":"London","title":"Analysis and Design of Structural Sandwich Panels","type":"book"},"uris":["http://www.mendeley.com/documents/?uuid=f97786c6-a504-451c-a1f7-a1077a6b1b0b"]}],"mendeley":{"formattedCitation":"[17]","plainTextFormattedCitation":"[17]","previouslyFormattedCitation":"[17]"},"properties":{"noteIndex":0},"schema":"https://github.com/citation-style-language/schema/raw/master/csl-citation.json"}</w:instrText>
      </w:r>
      <w:r w:rsidRPr="008B4B44" w:rsidR="001F65EA">
        <w:rPr>
          <w:lang w:val="en-GB"/>
        </w:rPr>
        <w:fldChar w:fldCharType="separate"/>
      </w:r>
      <w:r w:rsidRPr="00755571" w:rsidR="00083943">
        <w:rPr>
          <w:noProof/>
          <w:lang w:val="en-GB"/>
        </w:rPr>
        <w:t>[17]</w:t>
      </w:r>
      <w:r w:rsidRPr="008B4B44" w:rsidR="001F65EA">
        <w:rPr>
          <w:lang w:val="en-GB"/>
        </w:rPr>
        <w:fldChar w:fldCharType="end"/>
      </w:r>
      <w:r w:rsidRPr="008B4B44" w:rsidR="00652A8B">
        <w:rPr>
          <w:lang w:val="en-GB"/>
        </w:rPr>
        <w:t>,</w:t>
      </w:r>
      <w:r w:rsidR="00FD1E98">
        <w:rPr>
          <w:lang w:val="en-GB"/>
        </w:rPr>
        <w:t xml:space="preserve"> </w:t>
      </w:r>
      <w:r w:rsidRPr="00012AF9" w:rsidR="00012AF9">
        <w:rPr>
          <w:lang w:val="en-GB"/>
        </w:rPr>
        <w:t>result</w:t>
      </w:r>
      <w:r w:rsidR="00652A8B">
        <w:rPr>
          <w:lang w:val="en-GB"/>
        </w:rPr>
        <w:t xml:space="preserve">ing </w:t>
      </w:r>
      <w:r w:rsidRPr="00012AF9" w:rsidR="00012AF9">
        <w:rPr>
          <w:lang w:val="en-GB"/>
        </w:rPr>
        <w:t xml:space="preserve">equal to </w:t>
      </w:r>
      <w:r w:rsidR="001F65EA">
        <w:rPr>
          <w:lang w:val="en-GB"/>
        </w:rPr>
        <w:t>3.15</w:t>
      </w:r>
      <w:r w:rsidRPr="00012AF9" w:rsidR="00012AF9">
        <w:rPr>
          <w:lang w:val="en-GB"/>
        </w:rPr>
        <w:t>∙10</w:t>
      </w:r>
      <w:r w:rsidR="001F65EA">
        <w:rPr>
          <w:vertAlign w:val="superscript"/>
          <w:lang w:val="en-GB"/>
        </w:rPr>
        <w:t>7</w:t>
      </w:r>
      <w:r w:rsidRPr="00012AF9" w:rsidR="00012AF9">
        <w:rPr>
          <w:lang w:val="en-GB"/>
        </w:rPr>
        <w:t xml:space="preserve"> N mm</w:t>
      </w:r>
      <w:r w:rsidR="00652A8B">
        <w:rPr>
          <w:lang w:val="en-GB"/>
        </w:rPr>
        <w:t>. Such value is the target</w:t>
      </w:r>
      <w:r w:rsidRPr="00012AF9" w:rsidR="00012AF9">
        <w:rPr>
          <w:lang w:val="en-GB"/>
        </w:rPr>
        <w:t xml:space="preserve"> that the replacing </w:t>
      </w:r>
      <w:r w:rsidR="00012AF9">
        <w:rPr>
          <w:lang w:val="en-GB"/>
        </w:rPr>
        <w:t>structure</w:t>
      </w:r>
      <w:r w:rsidRPr="00012AF9" w:rsidR="00012AF9">
        <w:rPr>
          <w:lang w:val="en-GB"/>
        </w:rPr>
        <w:t xml:space="preserve"> must satisfy</w:t>
      </w:r>
      <w:r w:rsidR="00FD1E98">
        <w:rPr>
          <w:lang w:val="en-GB"/>
        </w:rPr>
        <w:t>.</w:t>
      </w:r>
    </w:p>
    <w:p w:rsidR="006A1AE2" w:rsidP="006A1AE2" w:rsidRDefault="00D14137" w14:paraId="39A4CC1F" w14:textId="08A44D2C">
      <w:pPr>
        <w:pStyle w:val="Paragrafoelenco"/>
        <w:numPr>
          <w:ilvl w:val="0"/>
          <w:numId w:val="13"/>
        </w:numPr>
        <w:ind w:left="709"/>
        <w:rPr>
          <w:lang w:val="en-GB"/>
        </w:rPr>
      </w:pPr>
      <w:r>
        <w:rPr>
          <w:lang w:val="en-GB"/>
        </w:rPr>
        <w:t>Materials charts r</w:t>
      </w:r>
      <w:r w:rsidR="00E61F4D">
        <w:rPr>
          <w:lang w:val="en-GB"/>
        </w:rPr>
        <w:t xml:space="preserve">eporting the bending stiffness of several different alternatives (e.g. AHS, GFRP-PVC, aluminium foam sandwich, etc.), against </w:t>
      </w:r>
      <w:r w:rsidR="00E61F4D">
        <w:t xml:space="preserve">other useful </w:t>
      </w:r>
      <w:r w:rsidRPr="00E61F4D" w:rsidR="00E61F4D">
        <w:t xml:space="preserve">properties </w:t>
      </w:r>
      <w:r w:rsidR="00E61F4D">
        <w:t xml:space="preserve">(e.g. </w:t>
      </w:r>
      <w:r w:rsidRPr="00E61F4D" w:rsidR="00E61F4D">
        <w:t>core thickness, overall panel density</w:t>
      </w:r>
      <w:r w:rsidR="00E61F4D">
        <w:t>,</w:t>
      </w:r>
      <w:r w:rsidRPr="00E61F4D" w:rsidR="00E61F4D">
        <w:t xml:space="preserve"> areal density</w:t>
      </w:r>
      <w:r w:rsidR="00E61F4D">
        <w:t>)</w:t>
      </w:r>
      <w:r w:rsidRPr="00E61F4D" w:rsidR="00E61F4D">
        <w:rPr>
          <w:lang w:val="en-GB"/>
        </w:rPr>
        <w:t xml:space="preserve"> </w:t>
      </w:r>
      <w:r>
        <w:rPr>
          <w:lang w:val="en-GB"/>
        </w:rPr>
        <w:t>were drawn</w:t>
      </w:r>
      <w:r w:rsidR="00704B2B">
        <w:rPr>
          <w:lang w:val="en-GB"/>
        </w:rPr>
        <w:t>, with the aim of obtaining an intuitive tool to compare several alternatives</w:t>
      </w:r>
      <w:r>
        <w:rPr>
          <w:lang w:val="en-GB"/>
        </w:rPr>
        <w:t>.</w:t>
      </w:r>
      <w:r w:rsidRPr="005E3076" w:rsidR="0009391E">
        <w:rPr>
          <w:lang w:val="en-GB"/>
        </w:rPr>
        <w:t xml:space="preserve"> </w:t>
      </w:r>
      <w:r w:rsidR="00E61F4D">
        <w:rPr>
          <w:lang w:val="en-GB"/>
        </w:rPr>
        <w:t xml:space="preserve">AHS </w:t>
      </w:r>
      <w:r w:rsidR="009C19D3">
        <w:rPr>
          <w:lang w:val="en-GB"/>
        </w:rPr>
        <w:t xml:space="preserve">was </w:t>
      </w:r>
      <w:r w:rsidR="001F7ABB">
        <w:rPr>
          <w:lang w:val="en-GB"/>
        </w:rPr>
        <w:t>identified as the most convenient solution to achieve</w:t>
      </w:r>
      <w:r w:rsidRPr="00E61F4D" w:rsidR="00E61F4D">
        <w:rPr>
          <w:lang w:val="en-GB"/>
        </w:rPr>
        <w:t xml:space="preserve"> weight and volume</w:t>
      </w:r>
      <w:r w:rsidR="00FD6FD5">
        <w:rPr>
          <w:lang w:val="en-GB"/>
        </w:rPr>
        <w:t xml:space="preserve"> savings. Considering the perspective o</w:t>
      </w:r>
      <w:r w:rsidR="0070442C">
        <w:rPr>
          <w:lang w:val="en-GB"/>
        </w:rPr>
        <w:t xml:space="preserve">f marine applications, proper aluminium alloys were selected </w:t>
      </w:r>
      <w:r w:rsidR="00F3206E">
        <w:rPr>
          <w:lang w:val="en-GB"/>
        </w:rPr>
        <w:t>for the subsequent steps, and in particular a</w:t>
      </w:r>
      <w:r w:rsidR="00440E5D">
        <w:rPr>
          <w:lang w:val="en-GB"/>
        </w:rPr>
        <w:t>n AA</w:t>
      </w:r>
      <w:r w:rsidR="001B7C93">
        <w:rPr>
          <w:lang w:val="en-GB"/>
        </w:rPr>
        <w:t xml:space="preserve"> </w:t>
      </w:r>
      <w:r w:rsidRPr="00440E5D" w:rsidR="00704B2B">
        <w:rPr>
          <w:lang w:val="en-GB"/>
        </w:rPr>
        <w:t>3</w:t>
      </w:r>
      <w:r w:rsidRPr="00440E5D" w:rsidR="001B7C93">
        <w:rPr>
          <w:lang w:val="en-GB"/>
        </w:rPr>
        <w:t>00</w:t>
      </w:r>
      <w:r w:rsidR="00440E5D">
        <w:rPr>
          <w:lang w:val="en-GB"/>
        </w:rPr>
        <w:t>3</w:t>
      </w:r>
      <w:r w:rsidR="001B7C93">
        <w:rPr>
          <w:lang w:val="en-GB"/>
        </w:rPr>
        <w:t xml:space="preserve"> for the honeycomb core and an</w:t>
      </w:r>
      <w:r w:rsidR="00F3206E">
        <w:rPr>
          <w:lang w:val="en-GB"/>
        </w:rPr>
        <w:t xml:space="preserve"> AA 5754 for </w:t>
      </w:r>
      <w:r w:rsidR="001B7C93">
        <w:rPr>
          <w:lang w:val="en-GB"/>
        </w:rPr>
        <w:t>the skins.</w:t>
      </w:r>
    </w:p>
    <w:p w:rsidR="00F3326C" w:rsidP="00D14137" w:rsidRDefault="00485D90" w14:paraId="12CDA865" w14:textId="3ADE604F">
      <w:pPr>
        <w:pStyle w:val="Paragrafoelenco"/>
        <w:numPr>
          <w:ilvl w:val="0"/>
          <w:numId w:val="13"/>
        </w:numPr>
        <w:ind w:left="709"/>
        <w:rPr>
          <w:lang w:val="en-GB"/>
        </w:rPr>
      </w:pPr>
      <w:r w:rsidRPr="006A1AE2">
        <w:rPr>
          <w:lang w:val="en-GB"/>
        </w:rPr>
        <w:t xml:space="preserve">The main design variables, such as the </w:t>
      </w:r>
      <w:r w:rsidRPr="006A1AE2" w:rsidR="001B7C93">
        <w:rPr>
          <w:lang w:val="en-GB"/>
        </w:rPr>
        <w:t xml:space="preserve">core and skin thicknesses, </w:t>
      </w:r>
      <w:r w:rsidRPr="006A1AE2">
        <w:rPr>
          <w:lang w:val="en-GB"/>
        </w:rPr>
        <w:t xml:space="preserve">can be selected </w:t>
      </w:r>
      <w:r w:rsidR="006A1AE2">
        <w:rPr>
          <w:lang w:val="en-GB"/>
        </w:rPr>
        <w:t xml:space="preserve">by </w:t>
      </w:r>
      <w:r w:rsidRPr="006A1AE2">
        <w:rPr>
          <w:lang w:val="en-GB"/>
        </w:rPr>
        <w:t>combining the bending stiffness target with other relevant objectives for the final application</w:t>
      </w:r>
      <w:r w:rsidRPr="006A1AE2" w:rsidR="006A1AE2">
        <w:rPr>
          <w:lang w:val="en-GB"/>
        </w:rPr>
        <w:t>, such as</w:t>
      </w:r>
      <w:r w:rsidRPr="006A1AE2">
        <w:rPr>
          <w:lang w:val="en-GB"/>
        </w:rPr>
        <w:t xml:space="preserve"> mass minimisation for the </w:t>
      </w:r>
      <w:r w:rsidR="006A1AE2">
        <w:rPr>
          <w:lang w:val="en-GB"/>
        </w:rPr>
        <w:t>current</w:t>
      </w:r>
      <w:r w:rsidRPr="006A1AE2">
        <w:rPr>
          <w:lang w:val="en-GB"/>
        </w:rPr>
        <w:t xml:space="preserve"> case study.</w:t>
      </w:r>
      <w:r w:rsidRPr="006A1AE2" w:rsidR="006A1AE2">
        <w:rPr>
          <w:lang w:val="en-GB"/>
        </w:rPr>
        <w:t xml:space="preserve"> </w:t>
      </w:r>
      <w:r w:rsidR="006A1AE2">
        <w:rPr>
          <w:lang w:val="en-GB"/>
        </w:rPr>
        <w:t xml:space="preserve">A </w:t>
      </w:r>
      <w:r w:rsidRPr="006A1AE2" w:rsidR="006A1AE2">
        <w:rPr>
          <w:lang w:val="en-GB"/>
        </w:rPr>
        <w:t xml:space="preserve">reduction of the original mass of approximately 50% was considered a feasible goal, and therefore a mass of </w:t>
      </w:r>
      <w:r w:rsidR="009B57C7">
        <w:rPr>
          <w:lang w:val="en-GB"/>
        </w:rPr>
        <w:t xml:space="preserve">around </w:t>
      </w:r>
      <w:r w:rsidRPr="006A1AE2" w:rsidR="006A1AE2">
        <w:rPr>
          <w:lang w:val="en-GB"/>
        </w:rPr>
        <w:t>7</w:t>
      </w:r>
      <w:r w:rsidR="009B57C7">
        <w:rPr>
          <w:lang w:val="en-GB"/>
        </w:rPr>
        <w:t>-8</w:t>
      </w:r>
      <w:r w:rsidRPr="006A1AE2" w:rsidR="006A1AE2">
        <w:rPr>
          <w:lang w:val="en-GB"/>
        </w:rPr>
        <w:t xml:space="preserve"> kg was set as a further design requirement for the replacing AHS.</w:t>
      </w:r>
      <w:r w:rsidR="006A1AE2">
        <w:rPr>
          <w:lang w:val="en-GB"/>
        </w:rPr>
        <w:t xml:space="preserve"> The integration of both stiffness and mass </w:t>
      </w:r>
      <w:r w:rsidR="0016777D">
        <w:rPr>
          <w:lang w:val="en-GB"/>
        </w:rPr>
        <w:t>constraints</w:t>
      </w:r>
      <w:r w:rsidR="00D76F34">
        <w:rPr>
          <w:lang w:val="en-GB"/>
        </w:rPr>
        <w:t xml:space="preserve"> allowed the identification of the corresponding </w:t>
      </w:r>
      <w:r w:rsidRPr="006A1AE2" w:rsidR="00D76F34">
        <w:rPr>
          <w:lang w:val="en-GB"/>
        </w:rPr>
        <w:t>core and skin thicknesses</w:t>
      </w:r>
      <w:r w:rsidR="00D14137">
        <w:rPr>
          <w:lang w:val="en-GB"/>
        </w:rPr>
        <w:t>.</w:t>
      </w:r>
    </w:p>
    <w:p w:rsidR="00FF35A5" w:rsidP="00D147BD" w:rsidRDefault="00D14137" w14:paraId="108F8DE8" w14:textId="7816B352">
      <w:pPr>
        <w:rPr>
          <w:lang w:val="en-GB"/>
        </w:rPr>
      </w:pPr>
      <w:r>
        <w:rPr>
          <w:lang w:val="en-GB"/>
        </w:rPr>
        <w:t>In addition to the sandwich panel identification, a connection frame, including bi</w:t>
      </w:r>
      <w:r w:rsidR="00FF35A5">
        <w:rPr>
          <w:lang w:val="en-GB"/>
        </w:rPr>
        <w:t>metallic joints, was suggested. The presence of Al/steel transition joints</w:t>
      </w:r>
      <w:r w:rsidR="00E4513D">
        <w:rPr>
          <w:lang w:val="en-GB"/>
        </w:rPr>
        <w:t xml:space="preserve"> allows the integration of some aluminium parts in the supporting balcony frame, producing a further mass saving. The details of the balcony structures are reported in the next section.</w:t>
      </w:r>
    </w:p>
    <w:p w:rsidR="000F26E6" w:rsidP="000F26E6" w:rsidRDefault="00D147BD" w14:paraId="52F27594" w14:textId="43723492">
      <w:pPr>
        <w:pStyle w:val="Titolo1"/>
        <w:rPr>
          <w:lang w:val="en-GB"/>
        </w:rPr>
      </w:pPr>
      <w:r>
        <w:rPr>
          <w:lang w:val="en-GB"/>
        </w:rPr>
        <w:t>Experimental prototype and setup</w:t>
      </w:r>
    </w:p>
    <w:p w:rsidRPr="00D541DD" w:rsidR="00182B7C" w:rsidP="00D147BD" w:rsidRDefault="00182B7C" w14:paraId="401F43B5" w14:textId="5732EDDF">
      <w:pPr>
        <w:ind w:firstLine="0"/>
        <w:rPr>
          <w:lang w:val="en-GB"/>
        </w:rPr>
      </w:pPr>
      <w:r>
        <w:rPr>
          <w:lang w:val="en-GB"/>
        </w:rPr>
        <w:t>According to the preliminary design procedure described in the previous section, an equivalent aluminium honeycomb sandwich panel</w:t>
      </w:r>
      <w:r w:rsidR="00090DFC">
        <w:rPr>
          <w:lang w:val="en-GB"/>
        </w:rPr>
        <w:t xml:space="preserve"> -</w:t>
      </w:r>
      <w:r w:rsidR="00D541DD">
        <w:rPr>
          <w:lang w:val="en-GB"/>
        </w:rPr>
        <w:t xml:space="preserve"> here named ‘</w:t>
      </w:r>
      <w:r w:rsidR="0078525A">
        <w:rPr>
          <w:lang w:val="en-GB"/>
        </w:rPr>
        <w:t>AHS</w:t>
      </w:r>
      <w:r w:rsidR="00D541DD">
        <w:rPr>
          <w:lang w:val="en-GB"/>
        </w:rPr>
        <w:t>#1’</w:t>
      </w:r>
      <w:r w:rsidR="00090DFC">
        <w:rPr>
          <w:lang w:val="en-GB"/>
        </w:rPr>
        <w:t xml:space="preserve"> -</w:t>
      </w:r>
      <w:r w:rsidR="00D541DD">
        <w:rPr>
          <w:lang w:val="en-GB"/>
        </w:rPr>
        <w:t xml:space="preserve"> was identified. The</w:t>
      </w:r>
      <w:r w:rsidR="00FF229B">
        <w:rPr>
          <w:lang w:val="en-GB"/>
        </w:rPr>
        <w:t xml:space="preserve"> </w:t>
      </w:r>
      <w:r w:rsidR="00D541DD">
        <w:rPr>
          <w:lang w:val="en-GB"/>
        </w:rPr>
        <w:t>sandwich features</w:t>
      </w:r>
      <w:r w:rsidR="00FF229B">
        <w:rPr>
          <w:lang w:val="en-GB"/>
        </w:rPr>
        <w:t xml:space="preserve"> </w:t>
      </w:r>
      <w:r w:rsidR="00D541DD">
        <w:rPr>
          <w:lang w:val="en-GB"/>
        </w:rPr>
        <w:t>obtained from</w:t>
      </w:r>
      <w:r w:rsidR="00FF229B">
        <w:rPr>
          <w:lang w:val="en-GB"/>
        </w:rPr>
        <w:t xml:space="preserve"> the design procedure, and reported in Ref. </w:t>
      </w:r>
      <w:r w:rsidR="00FF229B">
        <w:rPr>
          <w:lang w:val="en-GB"/>
        </w:rPr>
        <w:fldChar w:fldCharType="begin" w:fldLock="1"/>
      </w:r>
      <w:r w:rsidR="00943BC5">
        <w:rPr>
          <w:lang w:val="en-GB"/>
        </w:rPr>
        <w:instrText>ADDIN CSL_CITATION {"citationItems":[{"id":"ITEM-1","itemData":{"DOI":"10.1080/17445302.2021.1996109","ISSN":"1744-5302","author":[{"dropping-particle":"","family":"Palomba","given":"G.","non-dropping-particle":"","parse-names":false,"suffix":""},{"dropping-particle":"","family":"Epasto","given":"G.","non-dropping-particle":"","parse-names":false,"suffix":""},{"dropping-particle":"","family":"Sutherland","given":"L.","non-dropping-particle":"","parse-names":false,"suffix":""},{"dropping-particle":"","family":"Crupi","given":"V.","non-dropping-particle":"","parse-names":false,"suffix":""}],"container-title":"Ships and Offshore Structures","id":"ITEM-1","issue":"0","issued":{"date-parts":[["2021"]]},"page":"1-12","publisher":"Taylor &amp; Francis","title":"Aluminium honeycomb sandwich as a design alternative for lightweight marine structures","type":"article-journal","volume":"0"},"uris":["http://www.mendeley.com/documents/?uuid=724d8408-de42-4548-b0ca-47b80fe66d12"]}],"mendeley":{"formattedCitation":"[12]","plainTextFormattedCitation":"[12]","previouslyFormattedCitation":"[12]"},"properties":{"noteIndex":0},"schema":"https://github.com/citation-style-language/schema/raw/master/csl-citation.json"}</w:instrText>
      </w:r>
      <w:r w:rsidR="00FF229B">
        <w:rPr>
          <w:lang w:val="en-GB"/>
        </w:rPr>
        <w:fldChar w:fldCharType="separate"/>
      </w:r>
      <w:r w:rsidRPr="00083943" w:rsidR="00083943">
        <w:rPr>
          <w:noProof/>
          <w:lang w:val="en-GB"/>
        </w:rPr>
        <w:t>[12]</w:t>
      </w:r>
      <w:r w:rsidR="00FF229B">
        <w:rPr>
          <w:lang w:val="en-GB"/>
        </w:rPr>
        <w:fldChar w:fldCharType="end"/>
      </w:r>
      <w:r w:rsidR="00FF229B">
        <w:rPr>
          <w:lang w:val="en-GB"/>
        </w:rPr>
        <w:t>, were adapted to those of commercially available AHS</w:t>
      </w:r>
      <w:r w:rsidR="00D541DD">
        <w:rPr>
          <w:lang w:val="en-GB"/>
        </w:rPr>
        <w:t xml:space="preserve">, and are summarised </w:t>
      </w:r>
      <w:r w:rsidRPr="00D541DD" w:rsidR="00D541DD">
        <w:rPr>
          <w:lang w:val="en-GB"/>
        </w:rPr>
        <w:t xml:space="preserve">in </w:t>
      </w:r>
      <w:r w:rsidRPr="00D541DD" w:rsidR="00D541DD">
        <w:rPr>
          <w:lang w:val="en-GB"/>
        </w:rPr>
        <w:fldChar w:fldCharType="begin"/>
      </w:r>
      <w:r w:rsidRPr="00D541DD" w:rsidR="00D541DD">
        <w:rPr>
          <w:lang w:val="en-GB"/>
        </w:rPr>
        <w:instrText xml:space="preserve"> REF _Ref99662204 \h  \* MERGEFORMAT </w:instrText>
      </w:r>
      <w:r w:rsidRPr="00D541DD" w:rsidR="00D541DD">
        <w:rPr>
          <w:lang w:val="en-GB"/>
        </w:rPr>
      </w:r>
      <w:r w:rsidRPr="00D541DD" w:rsidR="00D541DD">
        <w:rPr>
          <w:lang w:val="en-GB"/>
        </w:rPr>
        <w:fldChar w:fldCharType="separate"/>
      </w:r>
      <w:r w:rsidRPr="00E716E5" w:rsidR="00E716E5">
        <w:t>Table 1</w:t>
      </w:r>
      <w:r w:rsidRPr="00D541DD" w:rsidR="00D541DD">
        <w:rPr>
          <w:lang w:val="en-GB"/>
        </w:rPr>
        <w:fldChar w:fldCharType="end"/>
      </w:r>
      <w:r w:rsidRPr="00D541DD" w:rsidR="00FF229B">
        <w:rPr>
          <w:lang w:val="en-GB"/>
        </w:rPr>
        <w:t>.</w:t>
      </w:r>
      <w:r w:rsidR="0078525A">
        <w:rPr>
          <w:lang w:val="en-GB"/>
        </w:rPr>
        <w:t xml:space="preserve"> Along with the AHS resulting from the equivalence procedure, another sandwich panel, named</w:t>
      </w:r>
      <w:r w:rsidRPr="0078525A" w:rsidR="0078525A">
        <w:rPr>
          <w:lang w:val="en-GB"/>
        </w:rPr>
        <w:t xml:space="preserve"> </w:t>
      </w:r>
      <w:r w:rsidR="0078525A">
        <w:rPr>
          <w:lang w:val="en-GB"/>
        </w:rPr>
        <w:t>‘AHS#2’, having a lower density</w:t>
      </w:r>
      <w:r w:rsidR="004A49C9">
        <w:rPr>
          <w:lang w:val="en-GB"/>
        </w:rPr>
        <w:t xml:space="preserve"> core</w:t>
      </w:r>
      <w:r w:rsidR="0078525A">
        <w:rPr>
          <w:lang w:val="en-GB"/>
        </w:rPr>
        <w:t xml:space="preserve">, was included in the experimental analysis, with the aim of </w:t>
      </w:r>
      <w:r w:rsidR="00B31319">
        <w:rPr>
          <w:lang w:val="en-GB"/>
        </w:rPr>
        <w:t xml:space="preserve">further </w:t>
      </w:r>
      <w:r w:rsidR="0078525A">
        <w:rPr>
          <w:lang w:val="en-GB"/>
        </w:rPr>
        <w:t>investi</w:t>
      </w:r>
      <w:r w:rsidR="00B31319">
        <w:rPr>
          <w:lang w:val="en-GB"/>
        </w:rPr>
        <w:t>gating</w:t>
      </w:r>
      <w:r w:rsidR="004A49C9">
        <w:rPr>
          <w:lang w:val="en-GB"/>
        </w:rPr>
        <w:t xml:space="preserve"> the potentialities of AHS </w:t>
      </w:r>
      <w:r w:rsidR="00B31319">
        <w:rPr>
          <w:lang w:val="en-GB"/>
        </w:rPr>
        <w:t>in terms of weight reduction as well as</w:t>
      </w:r>
      <w:r w:rsidR="004A49C9">
        <w:rPr>
          <w:lang w:val="en-GB"/>
        </w:rPr>
        <w:t xml:space="preserve"> the effect of cell size on the overall response of a complex structure.</w:t>
      </w:r>
      <w:r w:rsidR="00B31319">
        <w:rPr>
          <w:lang w:val="en-GB"/>
        </w:rPr>
        <w:t xml:space="preserve"> AHS#2 features </w:t>
      </w:r>
      <w:r w:rsidR="00090DFC">
        <w:rPr>
          <w:lang w:val="en-GB"/>
        </w:rPr>
        <w:t xml:space="preserve">and the properties of the reference GFRP-balsa-steel structure </w:t>
      </w:r>
      <w:r w:rsidR="00B31319">
        <w:rPr>
          <w:lang w:val="en-GB"/>
        </w:rPr>
        <w:t xml:space="preserve">are also reported in </w:t>
      </w:r>
      <w:r w:rsidRPr="00D541DD" w:rsidR="00B31319">
        <w:rPr>
          <w:lang w:val="en-GB"/>
        </w:rPr>
        <w:fldChar w:fldCharType="begin"/>
      </w:r>
      <w:r w:rsidRPr="00D541DD" w:rsidR="00B31319">
        <w:rPr>
          <w:lang w:val="en-GB"/>
        </w:rPr>
        <w:instrText xml:space="preserve"> REF _Ref99662204 \h  \* MERGEFORMAT </w:instrText>
      </w:r>
      <w:r w:rsidRPr="00D541DD" w:rsidR="00B31319">
        <w:rPr>
          <w:lang w:val="en-GB"/>
        </w:rPr>
      </w:r>
      <w:r w:rsidRPr="00D541DD" w:rsidR="00B31319">
        <w:rPr>
          <w:lang w:val="en-GB"/>
        </w:rPr>
        <w:fldChar w:fldCharType="separate"/>
      </w:r>
      <w:r w:rsidRPr="00E716E5" w:rsidR="00E716E5">
        <w:t>Table 1</w:t>
      </w:r>
      <w:r w:rsidRPr="00D541DD" w:rsidR="00B31319">
        <w:rPr>
          <w:lang w:val="en-GB"/>
        </w:rPr>
        <w:fldChar w:fldCharType="end"/>
      </w:r>
      <w:r w:rsidR="00B31319">
        <w:rPr>
          <w:lang w:val="en-GB"/>
        </w:rPr>
        <w:t>.</w:t>
      </w:r>
    </w:p>
    <w:p w:rsidR="00182B7C" w:rsidP="00D14137" w:rsidRDefault="00182B7C" w14:paraId="64FC9A88" w14:textId="49C143F3">
      <w:pPr>
        <w:ind w:left="349" w:firstLine="0"/>
        <w:rPr>
          <w:lang w:val="en-GB"/>
        </w:rPr>
      </w:pPr>
    </w:p>
    <w:p w:rsidRPr="00D541DD" w:rsidR="00D541DD" w:rsidP="00D541DD" w:rsidRDefault="00D541DD" w14:paraId="7BC2AC20" w14:textId="71859CD4">
      <w:pPr>
        <w:pStyle w:val="Didascalia"/>
        <w:keepNext/>
        <w:rPr>
          <w:b/>
        </w:rPr>
      </w:pPr>
      <w:bookmarkStart w:name="_Ref99662204" w:id="0"/>
      <w:r w:rsidRPr="00D541DD">
        <w:rPr>
          <w:b/>
        </w:rPr>
        <w:t xml:space="preserve">Table </w:t>
      </w:r>
      <w:r w:rsidRPr="00D541DD">
        <w:rPr>
          <w:b/>
        </w:rPr>
        <w:fldChar w:fldCharType="begin"/>
      </w:r>
      <w:r w:rsidRPr="00D541DD">
        <w:rPr>
          <w:b/>
        </w:rPr>
        <w:instrText xml:space="preserve"> SEQ Table \* ARABIC </w:instrText>
      </w:r>
      <w:r w:rsidRPr="00D541DD">
        <w:rPr>
          <w:b/>
        </w:rPr>
        <w:fldChar w:fldCharType="separate"/>
      </w:r>
      <w:r w:rsidR="00E716E5">
        <w:rPr>
          <w:b/>
          <w:noProof/>
        </w:rPr>
        <w:t>1</w:t>
      </w:r>
      <w:r w:rsidRPr="00D541DD">
        <w:rPr>
          <w:b/>
        </w:rPr>
        <w:fldChar w:fldCharType="end"/>
      </w:r>
      <w:bookmarkEnd w:id="0"/>
      <w:r w:rsidRPr="00D541DD">
        <w:rPr>
          <w:b/>
        </w:rPr>
        <w:t>.</w:t>
      </w:r>
      <w:r>
        <w:t xml:space="preserve"> Main features of AHS used for experimental investigation.</w:t>
      </w:r>
    </w:p>
    <w:tbl>
      <w:tblPr>
        <w:tblW w:w="7031" w:type="dxa"/>
        <w:jc w:val="center"/>
        <w:tblLook w:val="00A0" w:firstRow="1" w:lastRow="0" w:firstColumn="1" w:lastColumn="0" w:noHBand="0" w:noVBand="0"/>
      </w:tblPr>
      <w:tblGrid>
        <w:gridCol w:w="1431"/>
        <w:gridCol w:w="1094"/>
        <w:gridCol w:w="1027"/>
        <w:gridCol w:w="1232"/>
        <w:gridCol w:w="1231"/>
        <w:gridCol w:w="1016"/>
      </w:tblGrid>
      <w:tr w:rsidRPr="003B343D" w:rsidR="0078525A" w:rsidTr="0078525A" w14:paraId="4DE2BFE0" w14:textId="77777777">
        <w:trPr>
          <w:jc w:val="center"/>
        </w:trPr>
        <w:tc>
          <w:tcPr>
            <w:tcW w:w="1431" w:type="dxa"/>
            <w:tcBorders>
              <w:top w:val="single" w:color="auto" w:sz="4" w:space="0"/>
              <w:bottom w:val="single" w:color="auto" w:sz="4" w:space="0"/>
            </w:tcBorders>
            <w:vAlign w:val="center"/>
          </w:tcPr>
          <w:p w:rsidRPr="003B343D" w:rsidR="0078525A" w:rsidP="00F652D6" w:rsidRDefault="0078525A" w14:paraId="42138495" w14:textId="77777777">
            <w:pPr>
              <w:ind w:firstLine="0"/>
              <w:jc w:val="left"/>
              <w:rPr>
                <w:b/>
                <w:sz w:val="16"/>
                <w:szCs w:val="16"/>
                <w:lang w:val="en-GB"/>
              </w:rPr>
            </w:pPr>
            <w:r w:rsidRPr="003B343D">
              <w:rPr>
                <w:b/>
                <w:sz w:val="16"/>
                <w:szCs w:val="16"/>
                <w:lang w:val="en-GB"/>
              </w:rPr>
              <w:t>Structure</w:t>
            </w:r>
          </w:p>
        </w:tc>
        <w:tc>
          <w:tcPr>
            <w:tcW w:w="1094" w:type="dxa"/>
            <w:tcBorders>
              <w:top w:val="single" w:color="auto" w:sz="4" w:space="0"/>
              <w:bottom w:val="single" w:color="auto" w:sz="4" w:space="0"/>
            </w:tcBorders>
            <w:vAlign w:val="center"/>
          </w:tcPr>
          <w:p w:rsidRPr="003B343D" w:rsidR="0078525A" w:rsidP="009B57C7" w:rsidRDefault="0078525A" w14:paraId="01D219BB" w14:textId="77777777">
            <w:pPr>
              <w:ind w:firstLine="0"/>
              <w:jc w:val="center"/>
              <w:rPr>
                <w:b/>
                <w:sz w:val="16"/>
                <w:szCs w:val="16"/>
                <w:lang w:val="en-GB"/>
              </w:rPr>
            </w:pPr>
            <w:r w:rsidRPr="003B343D">
              <w:rPr>
                <w:b/>
                <w:sz w:val="16"/>
                <w:szCs w:val="16"/>
                <w:lang w:val="en-GB"/>
              </w:rPr>
              <w:t xml:space="preserve">Core density </w:t>
            </w:r>
            <w:proofErr w:type="spellStart"/>
            <w:r w:rsidRPr="003B343D">
              <w:rPr>
                <w:b/>
                <w:i/>
                <w:sz w:val="16"/>
                <w:szCs w:val="16"/>
                <w:lang w:val="en-GB"/>
              </w:rPr>
              <w:t>ρ</w:t>
            </w:r>
            <w:r w:rsidRPr="003B343D">
              <w:rPr>
                <w:b/>
                <w:i/>
                <w:sz w:val="16"/>
                <w:szCs w:val="16"/>
                <w:vertAlign w:val="subscript"/>
                <w:lang w:val="en-GB"/>
              </w:rPr>
              <w:t>c</w:t>
            </w:r>
            <w:proofErr w:type="spellEnd"/>
            <w:r w:rsidRPr="003B343D">
              <w:rPr>
                <w:b/>
                <w:sz w:val="16"/>
                <w:szCs w:val="16"/>
                <w:lang w:val="en-GB"/>
              </w:rPr>
              <w:t xml:space="preserve"> [kg/m</w:t>
            </w:r>
            <w:r w:rsidRPr="003B343D">
              <w:rPr>
                <w:b/>
                <w:sz w:val="16"/>
                <w:szCs w:val="16"/>
                <w:vertAlign w:val="superscript"/>
                <w:lang w:val="en-GB"/>
              </w:rPr>
              <w:t>3</w:t>
            </w:r>
            <w:r w:rsidRPr="003B343D">
              <w:rPr>
                <w:b/>
                <w:sz w:val="16"/>
                <w:szCs w:val="16"/>
                <w:lang w:val="en-GB"/>
              </w:rPr>
              <w:t>]</w:t>
            </w:r>
          </w:p>
        </w:tc>
        <w:tc>
          <w:tcPr>
            <w:tcW w:w="1027" w:type="dxa"/>
            <w:tcBorders>
              <w:top w:val="single" w:color="auto" w:sz="4" w:space="0"/>
              <w:bottom w:val="single" w:color="auto" w:sz="4" w:space="0"/>
            </w:tcBorders>
          </w:tcPr>
          <w:p w:rsidR="0078525A" w:rsidP="009B57C7" w:rsidRDefault="0078525A" w14:paraId="1125826C" w14:textId="77777777">
            <w:pPr>
              <w:ind w:firstLine="0"/>
              <w:jc w:val="center"/>
              <w:rPr>
                <w:b/>
                <w:sz w:val="16"/>
                <w:szCs w:val="16"/>
                <w:lang w:val="en-GB"/>
              </w:rPr>
            </w:pPr>
            <w:r>
              <w:rPr>
                <w:b/>
                <w:sz w:val="16"/>
                <w:szCs w:val="16"/>
                <w:lang w:val="en-GB"/>
              </w:rPr>
              <w:t>Cell size</w:t>
            </w:r>
          </w:p>
          <w:p w:rsidRPr="003B343D" w:rsidR="0078525A" w:rsidP="009B57C7" w:rsidRDefault="0078525A" w14:paraId="3140257B" w14:textId="5A15CB4F">
            <w:pPr>
              <w:ind w:firstLine="0"/>
              <w:jc w:val="center"/>
              <w:rPr>
                <w:b/>
                <w:sz w:val="16"/>
                <w:szCs w:val="16"/>
                <w:lang w:val="en-GB"/>
              </w:rPr>
            </w:pPr>
            <w:r w:rsidRPr="0078525A">
              <w:rPr>
                <w:b/>
                <w:i/>
                <w:sz w:val="16"/>
                <w:szCs w:val="16"/>
                <w:lang w:val="en-GB"/>
              </w:rPr>
              <w:t>d</w:t>
            </w:r>
            <w:r>
              <w:rPr>
                <w:b/>
                <w:sz w:val="16"/>
                <w:szCs w:val="16"/>
                <w:lang w:val="en-GB"/>
              </w:rPr>
              <w:t xml:space="preserve"> [mm]</w:t>
            </w:r>
          </w:p>
        </w:tc>
        <w:tc>
          <w:tcPr>
            <w:tcW w:w="1232" w:type="dxa"/>
            <w:tcBorders>
              <w:top w:val="single" w:color="auto" w:sz="4" w:space="0"/>
              <w:bottom w:val="single" w:color="auto" w:sz="4" w:space="0"/>
            </w:tcBorders>
            <w:vAlign w:val="center"/>
          </w:tcPr>
          <w:p w:rsidRPr="003B343D" w:rsidR="0078525A" w:rsidP="009B57C7" w:rsidRDefault="0078525A" w14:paraId="7431C6FD" w14:textId="38911785">
            <w:pPr>
              <w:ind w:firstLine="0"/>
              <w:jc w:val="center"/>
              <w:rPr>
                <w:b/>
                <w:sz w:val="16"/>
                <w:szCs w:val="16"/>
                <w:lang w:val="en-GB"/>
              </w:rPr>
            </w:pPr>
            <w:r w:rsidRPr="003B343D">
              <w:rPr>
                <w:b/>
                <w:sz w:val="16"/>
                <w:szCs w:val="16"/>
                <w:lang w:val="en-GB"/>
              </w:rPr>
              <w:t xml:space="preserve">Core thickness </w:t>
            </w:r>
            <w:r w:rsidRPr="003B343D">
              <w:rPr>
                <w:b/>
                <w:i/>
                <w:sz w:val="16"/>
                <w:szCs w:val="16"/>
                <w:lang w:val="en-GB"/>
              </w:rPr>
              <w:t>c</w:t>
            </w:r>
            <w:r w:rsidRPr="003B343D">
              <w:rPr>
                <w:b/>
                <w:sz w:val="16"/>
                <w:szCs w:val="16"/>
                <w:lang w:val="en-GB"/>
              </w:rPr>
              <w:t xml:space="preserve"> [mm]</w:t>
            </w:r>
          </w:p>
        </w:tc>
        <w:tc>
          <w:tcPr>
            <w:tcW w:w="1231" w:type="dxa"/>
            <w:tcBorders>
              <w:top w:val="single" w:color="auto" w:sz="4" w:space="0"/>
              <w:bottom w:val="single" w:color="auto" w:sz="4" w:space="0"/>
            </w:tcBorders>
            <w:vAlign w:val="center"/>
          </w:tcPr>
          <w:p w:rsidRPr="003B343D" w:rsidR="0078525A" w:rsidP="009B57C7" w:rsidRDefault="0078525A" w14:paraId="34ABD09F" w14:textId="77777777">
            <w:pPr>
              <w:ind w:firstLine="0"/>
              <w:jc w:val="center"/>
              <w:rPr>
                <w:b/>
                <w:sz w:val="16"/>
                <w:szCs w:val="16"/>
                <w:lang w:val="en-GB"/>
              </w:rPr>
            </w:pPr>
            <w:r w:rsidRPr="003B343D">
              <w:rPr>
                <w:b/>
                <w:sz w:val="16"/>
                <w:szCs w:val="16"/>
                <w:lang w:val="en-GB"/>
              </w:rPr>
              <w:t xml:space="preserve">Skin thickness </w:t>
            </w:r>
            <w:r w:rsidRPr="003B343D">
              <w:rPr>
                <w:b/>
                <w:i/>
                <w:sz w:val="16"/>
                <w:szCs w:val="16"/>
                <w:lang w:val="en-GB"/>
              </w:rPr>
              <w:t>t</w:t>
            </w:r>
            <w:r w:rsidRPr="003B343D">
              <w:rPr>
                <w:b/>
                <w:sz w:val="16"/>
                <w:szCs w:val="16"/>
                <w:lang w:val="en-GB"/>
              </w:rPr>
              <w:t xml:space="preserve"> [mm]</w:t>
            </w:r>
          </w:p>
        </w:tc>
        <w:tc>
          <w:tcPr>
            <w:tcW w:w="1016" w:type="dxa"/>
            <w:tcBorders>
              <w:top w:val="single" w:color="auto" w:sz="4" w:space="0"/>
              <w:bottom w:val="single" w:color="auto" w:sz="4" w:space="0"/>
            </w:tcBorders>
            <w:vAlign w:val="center"/>
          </w:tcPr>
          <w:p w:rsidRPr="003B343D" w:rsidR="0078525A" w:rsidP="009B57C7" w:rsidRDefault="0078525A" w14:paraId="3E6F4625" w14:textId="77777777">
            <w:pPr>
              <w:ind w:firstLine="0"/>
              <w:jc w:val="center"/>
              <w:rPr>
                <w:b/>
                <w:sz w:val="16"/>
                <w:szCs w:val="16"/>
                <w:lang w:val="en-GB"/>
              </w:rPr>
            </w:pPr>
            <w:r w:rsidRPr="003B343D">
              <w:rPr>
                <w:b/>
                <w:sz w:val="16"/>
                <w:szCs w:val="16"/>
                <w:lang w:val="en-GB"/>
              </w:rPr>
              <w:t xml:space="preserve">Panel mass </w:t>
            </w:r>
            <w:r w:rsidRPr="003B343D">
              <w:rPr>
                <w:b/>
                <w:i/>
                <w:sz w:val="16"/>
                <w:szCs w:val="16"/>
                <w:lang w:val="en-GB"/>
              </w:rPr>
              <w:t>m</w:t>
            </w:r>
            <w:r w:rsidRPr="003B343D">
              <w:rPr>
                <w:b/>
                <w:sz w:val="16"/>
                <w:szCs w:val="16"/>
                <w:lang w:val="en-GB"/>
              </w:rPr>
              <w:t xml:space="preserve"> [kg]</w:t>
            </w:r>
          </w:p>
        </w:tc>
      </w:tr>
      <w:tr w:rsidRPr="003B343D" w:rsidR="0078525A" w:rsidTr="00B31319" w14:paraId="1F542C2A" w14:textId="77777777">
        <w:trPr>
          <w:jc w:val="center"/>
        </w:trPr>
        <w:tc>
          <w:tcPr>
            <w:tcW w:w="1431" w:type="dxa"/>
            <w:tcBorders>
              <w:top w:val="single" w:color="auto" w:sz="4" w:space="0"/>
            </w:tcBorders>
            <w:vAlign w:val="center"/>
          </w:tcPr>
          <w:p w:rsidRPr="003B343D" w:rsidR="0078525A" w:rsidP="00F652D6" w:rsidRDefault="0078525A" w14:paraId="0EE7C454" w14:textId="6694873B">
            <w:pPr>
              <w:tabs>
                <w:tab w:val="decimal" w:pos="0"/>
              </w:tabs>
              <w:ind w:firstLine="0"/>
              <w:jc w:val="left"/>
              <w:rPr>
                <w:sz w:val="16"/>
                <w:szCs w:val="16"/>
                <w:lang w:val="en-GB"/>
              </w:rPr>
            </w:pPr>
            <w:r w:rsidRPr="003B343D">
              <w:rPr>
                <w:sz w:val="16"/>
                <w:szCs w:val="16"/>
                <w:lang w:val="en-GB"/>
              </w:rPr>
              <w:t>AHS</w:t>
            </w:r>
            <w:r>
              <w:rPr>
                <w:sz w:val="16"/>
                <w:szCs w:val="16"/>
                <w:lang w:val="en-GB"/>
              </w:rPr>
              <w:t xml:space="preserve"> #1</w:t>
            </w:r>
          </w:p>
        </w:tc>
        <w:tc>
          <w:tcPr>
            <w:tcW w:w="1094" w:type="dxa"/>
            <w:tcBorders>
              <w:top w:val="single" w:color="auto" w:sz="4" w:space="0"/>
            </w:tcBorders>
            <w:vAlign w:val="center"/>
          </w:tcPr>
          <w:p w:rsidRPr="009B57C7" w:rsidR="0078525A" w:rsidP="009B57C7" w:rsidRDefault="0078525A" w14:paraId="6C6376B9" w14:textId="225BFF0F">
            <w:pPr>
              <w:tabs>
                <w:tab w:val="decimal" w:pos="0"/>
              </w:tabs>
              <w:ind w:firstLine="0"/>
              <w:jc w:val="center"/>
              <w:rPr>
                <w:sz w:val="16"/>
                <w:szCs w:val="16"/>
                <w:lang w:val="en-GB"/>
              </w:rPr>
            </w:pPr>
            <w:r w:rsidRPr="009B57C7">
              <w:rPr>
                <w:sz w:val="16"/>
                <w:szCs w:val="16"/>
                <w:lang w:val="en-GB"/>
              </w:rPr>
              <w:t>83</w:t>
            </w:r>
          </w:p>
        </w:tc>
        <w:tc>
          <w:tcPr>
            <w:tcW w:w="1027" w:type="dxa"/>
            <w:tcBorders>
              <w:top w:val="single" w:color="auto" w:sz="4" w:space="0"/>
            </w:tcBorders>
          </w:tcPr>
          <w:p w:rsidRPr="009B57C7" w:rsidR="0078525A" w:rsidP="009B57C7" w:rsidRDefault="0078525A" w14:paraId="388381E4" w14:textId="67093236">
            <w:pPr>
              <w:ind w:firstLine="0"/>
              <w:jc w:val="center"/>
              <w:rPr>
                <w:sz w:val="16"/>
                <w:szCs w:val="16"/>
                <w:lang w:val="en-GB"/>
              </w:rPr>
            </w:pPr>
            <w:r w:rsidRPr="009B57C7">
              <w:rPr>
                <w:sz w:val="16"/>
                <w:szCs w:val="16"/>
                <w:lang w:val="en-GB"/>
              </w:rPr>
              <w:t>6</w:t>
            </w:r>
          </w:p>
        </w:tc>
        <w:tc>
          <w:tcPr>
            <w:tcW w:w="1232" w:type="dxa"/>
            <w:tcBorders>
              <w:top w:val="single" w:color="auto" w:sz="4" w:space="0"/>
            </w:tcBorders>
            <w:vAlign w:val="center"/>
          </w:tcPr>
          <w:p w:rsidRPr="009B57C7" w:rsidR="0078525A" w:rsidP="009B57C7" w:rsidRDefault="00AC0C2C" w14:paraId="3ECE777E" w14:textId="72F15C79">
            <w:pPr>
              <w:ind w:firstLine="0"/>
              <w:jc w:val="center"/>
              <w:rPr>
                <w:sz w:val="16"/>
                <w:szCs w:val="16"/>
                <w:lang w:val="en-GB"/>
              </w:rPr>
            </w:pPr>
            <w:r w:rsidRPr="009B57C7">
              <w:rPr>
                <w:sz w:val="16"/>
                <w:szCs w:val="16"/>
                <w:lang w:val="en-GB"/>
              </w:rPr>
              <w:t>32</w:t>
            </w:r>
          </w:p>
        </w:tc>
        <w:tc>
          <w:tcPr>
            <w:tcW w:w="1231" w:type="dxa"/>
            <w:tcBorders>
              <w:top w:val="single" w:color="auto" w:sz="4" w:space="0"/>
            </w:tcBorders>
            <w:vAlign w:val="center"/>
          </w:tcPr>
          <w:p w:rsidRPr="009B57C7" w:rsidR="0078525A" w:rsidP="009B57C7" w:rsidRDefault="0078525A" w14:paraId="11CADFFD" w14:textId="10480F92">
            <w:pPr>
              <w:tabs>
                <w:tab w:val="decimal" w:pos="0"/>
              </w:tabs>
              <w:ind w:firstLine="0"/>
              <w:jc w:val="center"/>
              <w:rPr>
                <w:sz w:val="16"/>
                <w:szCs w:val="16"/>
                <w:lang w:val="en-GB"/>
              </w:rPr>
            </w:pPr>
            <w:r w:rsidRPr="009B57C7">
              <w:rPr>
                <w:sz w:val="16"/>
                <w:szCs w:val="16"/>
                <w:lang w:val="en-GB"/>
              </w:rPr>
              <w:t>1.5</w:t>
            </w:r>
          </w:p>
        </w:tc>
        <w:tc>
          <w:tcPr>
            <w:tcW w:w="1016" w:type="dxa"/>
            <w:tcBorders>
              <w:top w:val="single" w:color="auto" w:sz="4" w:space="0"/>
            </w:tcBorders>
            <w:vAlign w:val="center"/>
          </w:tcPr>
          <w:p w:rsidRPr="009B57C7" w:rsidR="0078525A" w:rsidP="009B57C7" w:rsidRDefault="009B57C7" w14:paraId="2EFF9DC4" w14:textId="5C634833">
            <w:pPr>
              <w:tabs>
                <w:tab w:val="decimal" w:pos="0"/>
              </w:tabs>
              <w:ind w:firstLine="0"/>
              <w:jc w:val="center"/>
              <w:rPr>
                <w:sz w:val="16"/>
                <w:szCs w:val="16"/>
                <w:lang w:val="en-GB"/>
              </w:rPr>
            </w:pPr>
            <w:r w:rsidRPr="009B57C7">
              <w:rPr>
                <w:sz w:val="16"/>
                <w:szCs w:val="16"/>
                <w:lang w:val="en-GB"/>
              </w:rPr>
              <w:t>8.7</w:t>
            </w:r>
          </w:p>
        </w:tc>
      </w:tr>
      <w:tr w:rsidRPr="003B343D" w:rsidR="0078525A" w:rsidTr="00B31319" w14:paraId="73583C7C" w14:textId="77777777">
        <w:trPr>
          <w:jc w:val="center"/>
        </w:trPr>
        <w:tc>
          <w:tcPr>
            <w:tcW w:w="1431" w:type="dxa"/>
            <w:vAlign w:val="center"/>
          </w:tcPr>
          <w:p w:rsidRPr="003B343D" w:rsidR="0078525A" w:rsidP="00F652D6" w:rsidRDefault="0078525A" w14:paraId="5E419C3F" w14:textId="71C823DB">
            <w:pPr>
              <w:tabs>
                <w:tab w:val="decimal" w:pos="0"/>
              </w:tabs>
              <w:ind w:firstLine="0"/>
              <w:jc w:val="left"/>
              <w:rPr>
                <w:sz w:val="16"/>
                <w:szCs w:val="16"/>
                <w:lang w:val="en-GB"/>
              </w:rPr>
            </w:pPr>
            <w:r w:rsidRPr="003B343D">
              <w:rPr>
                <w:sz w:val="16"/>
                <w:szCs w:val="16"/>
                <w:lang w:val="en-GB"/>
              </w:rPr>
              <w:t>AHS</w:t>
            </w:r>
            <w:r>
              <w:rPr>
                <w:sz w:val="16"/>
                <w:szCs w:val="16"/>
                <w:lang w:val="en-GB"/>
              </w:rPr>
              <w:t xml:space="preserve"> #2</w:t>
            </w:r>
          </w:p>
        </w:tc>
        <w:tc>
          <w:tcPr>
            <w:tcW w:w="1094" w:type="dxa"/>
            <w:vAlign w:val="center"/>
          </w:tcPr>
          <w:p w:rsidRPr="009B57C7" w:rsidR="0078525A" w:rsidP="009B57C7" w:rsidRDefault="00B31319" w14:paraId="161405B7" w14:textId="3978B97B">
            <w:pPr>
              <w:tabs>
                <w:tab w:val="decimal" w:pos="0"/>
              </w:tabs>
              <w:ind w:firstLine="0"/>
              <w:jc w:val="center"/>
              <w:rPr>
                <w:sz w:val="16"/>
                <w:szCs w:val="16"/>
                <w:lang w:val="en-GB"/>
              </w:rPr>
            </w:pPr>
            <w:r w:rsidRPr="009B57C7">
              <w:rPr>
                <w:sz w:val="16"/>
                <w:szCs w:val="16"/>
                <w:lang w:val="en-GB"/>
              </w:rPr>
              <w:t>54</w:t>
            </w:r>
          </w:p>
        </w:tc>
        <w:tc>
          <w:tcPr>
            <w:tcW w:w="1027" w:type="dxa"/>
          </w:tcPr>
          <w:p w:rsidRPr="009B57C7" w:rsidR="0078525A" w:rsidP="009B57C7" w:rsidRDefault="00B31319" w14:paraId="192BF561" w14:textId="67707787">
            <w:pPr>
              <w:ind w:firstLine="0"/>
              <w:jc w:val="center"/>
              <w:rPr>
                <w:sz w:val="16"/>
                <w:szCs w:val="16"/>
                <w:lang w:val="en-GB"/>
              </w:rPr>
            </w:pPr>
            <w:r w:rsidRPr="009B57C7">
              <w:rPr>
                <w:sz w:val="16"/>
                <w:szCs w:val="16"/>
                <w:lang w:val="en-GB"/>
              </w:rPr>
              <w:t>9</w:t>
            </w:r>
          </w:p>
        </w:tc>
        <w:tc>
          <w:tcPr>
            <w:tcW w:w="1232" w:type="dxa"/>
            <w:vAlign w:val="center"/>
          </w:tcPr>
          <w:p w:rsidRPr="009B57C7" w:rsidR="0078525A" w:rsidP="009B57C7" w:rsidRDefault="00AC0C2C" w14:paraId="4671510C" w14:textId="22675108">
            <w:pPr>
              <w:ind w:firstLine="0"/>
              <w:jc w:val="center"/>
              <w:rPr>
                <w:sz w:val="16"/>
                <w:szCs w:val="16"/>
                <w:lang w:val="en-GB"/>
              </w:rPr>
            </w:pPr>
            <w:r w:rsidRPr="009B57C7">
              <w:rPr>
                <w:sz w:val="16"/>
                <w:szCs w:val="16"/>
                <w:lang w:val="en-GB"/>
              </w:rPr>
              <w:t>32</w:t>
            </w:r>
          </w:p>
        </w:tc>
        <w:tc>
          <w:tcPr>
            <w:tcW w:w="1231" w:type="dxa"/>
            <w:vAlign w:val="center"/>
          </w:tcPr>
          <w:p w:rsidRPr="009B57C7" w:rsidR="0078525A" w:rsidP="009B57C7" w:rsidRDefault="00B31319" w14:paraId="043F05CA" w14:textId="73CDA99E">
            <w:pPr>
              <w:tabs>
                <w:tab w:val="decimal" w:pos="0"/>
              </w:tabs>
              <w:ind w:firstLine="0"/>
              <w:jc w:val="center"/>
              <w:rPr>
                <w:sz w:val="16"/>
                <w:szCs w:val="16"/>
                <w:lang w:val="en-GB"/>
              </w:rPr>
            </w:pPr>
            <w:r w:rsidRPr="009B57C7">
              <w:rPr>
                <w:sz w:val="16"/>
                <w:szCs w:val="16"/>
                <w:lang w:val="en-GB"/>
              </w:rPr>
              <w:t>1.5</w:t>
            </w:r>
          </w:p>
        </w:tc>
        <w:tc>
          <w:tcPr>
            <w:tcW w:w="1016" w:type="dxa"/>
            <w:vAlign w:val="center"/>
          </w:tcPr>
          <w:p w:rsidRPr="009B57C7" w:rsidR="0078525A" w:rsidP="009B57C7" w:rsidRDefault="009B57C7" w14:paraId="00CDD45A" w14:textId="2D9D29A5">
            <w:pPr>
              <w:tabs>
                <w:tab w:val="decimal" w:pos="0"/>
              </w:tabs>
              <w:ind w:firstLine="0"/>
              <w:jc w:val="center"/>
              <w:rPr>
                <w:sz w:val="16"/>
                <w:szCs w:val="16"/>
                <w:lang w:val="en-GB"/>
              </w:rPr>
            </w:pPr>
            <w:r w:rsidRPr="009B57C7">
              <w:rPr>
                <w:sz w:val="16"/>
                <w:szCs w:val="16"/>
                <w:lang w:val="en-GB"/>
              </w:rPr>
              <w:t>7.9</w:t>
            </w:r>
          </w:p>
        </w:tc>
      </w:tr>
      <w:tr w:rsidRPr="003B343D" w:rsidR="0078525A" w:rsidTr="009B57C7" w14:paraId="640E8E6B" w14:textId="77777777">
        <w:trPr>
          <w:jc w:val="center"/>
        </w:trPr>
        <w:tc>
          <w:tcPr>
            <w:tcW w:w="1431" w:type="dxa"/>
            <w:tcBorders>
              <w:bottom w:val="single" w:color="auto" w:sz="4" w:space="0"/>
            </w:tcBorders>
            <w:vAlign w:val="center"/>
          </w:tcPr>
          <w:p w:rsidRPr="003B343D" w:rsidR="0078525A" w:rsidP="00F652D6" w:rsidRDefault="0078525A" w14:paraId="7B2F176E" w14:textId="77777777">
            <w:pPr>
              <w:tabs>
                <w:tab w:val="decimal" w:pos="0"/>
              </w:tabs>
              <w:ind w:firstLine="0"/>
              <w:jc w:val="left"/>
              <w:rPr>
                <w:sz w:val="16"/>
                <w:szCs w:val="16"/>
                <w:lang w:val="en-GB"/>
              </w:rPr>
            </w:pPr>
            <w:r w:rsidRPr="003B343D">
              <w:rPr>
                <w:sz w:val="16"/>
                <w:szCs w:val="16"/>
                <w:lang w:val="en-GB"/>
              </w:rPr>
              <w:t>Original GFRP-balsa</w:t>
            </w:r>
          </w:p>
        </w:tc>
        <w:tc>
          <w:tcPr>
            <w:tcW w:w="1094" w:type="dxa"/>
            <w:tcBorders>
              <w:bottom w:val="single" w:color="auto" w:sz="4" w:space="0"/>
            </w:tcBorders>
            <w:vAlign w:val="center"/>
          </w:tcPr>
          <w:p w:rsidRPr="003B343D" w:rsidR="0078525A" w:rsidP="009B57C7" w:rsidRDefault="0078525A" w14:paraId="58A2BE70" w14:textId="77777777">
            <w:pPr>
              <w:tabs>
                <w:tab w:val="decimal" w:pos="0"/>
              </w:tabs>
              <w:ind w:firstLine="0"/>
              <w:jc w:val="center"/>
              <w:rPr>
                <w:sz w:val="16"/>
                <w:szCs w:val="16"/>
                <w:lang w:val="en-GB"/>
              </w:rPr>
            </w:pPr>
            <w:r w:rsidRPr="003B343D">
              <w:rPr>
                <w:sz w:val="16"/>
                <w:szCs w:val="16"/>
                <w:lang w:val="en-GB"/>
              </w:rPr>
              <w:t>155</w:t>
            </w:r>
          </w:p>
        </w:tc>
        <w:tc>
          <w:tcPr>
            <w:tcW w:w="1027" w:type="dxa"/>
            <w:tcBorders>
              <w:bottom w:val="single" w:color="auto" w:sz="4" w:space="0"/>
            </w:tcBorders>
            <w:vAlign w:val="center"/>
          </w:tcPr>
          <w:p w:rsidRPr="003B343D" w:rsidR="0078525A" w:rsidP="009B57C7" w:rsidRDefault="0078525A" w14:paraId="2A502ECB" w14:textId="66D83EAC">
            <w:pPr>
              <w:ind w:firstLine="0"/>
              <w:jc w:val="center"/>
              <w:rPr>
                <w:sz w:val="16"/>
                <w:szCs w:val="16"/>
                <w:lang w:val="en-GB"/>
              </w:rPr>
            </w:pPr>
            <w:r>
              <w:rPr>
                <w:sz w:val="16"/>
                <w:szCs w:val="16"/>
                <w:lang w:val="en-GB"/>
              </w:rPr>
              <w:t>/</w:t>
            </w:r>
          </w:p>
        </w:tc>
        <w:tc>
          <w:tcPr>
            <w:tcW w:w="1232" w:type="dxa"/>
            <w:tcBorders>
              <w:bottom w:val="single" w:color="auto" w:sz="4" w:space="0"/>
            </w:tcBorders>
            <w:vAlign w:val="center"/>
          </w:tcPr>
          <w:p w:rsidRPr="003B343D" w:rsidR="0078525A" w:rsidP="009B57C7" w:rsidRDefault="0078525A" w14:paraId="7670A2AE" w14:textId="281AE1AB">
            <w:pPr>
              <w:ind w:firstLine="0"/>
              <w:jc w:val="center"/>
              <w:rPr>
                <w:sz w:val="16"/>
                <w:szCs w:val="16"/>
                <w:lang w:val="en-GB"/>
              </w:rPr>
            </w:pPr>
            <w:r w:rsidRPr="003B343D">
              <w:rPr>
                <w:sz w:val="16"/>
                <w:szCs w:val="16"/>
                <w:lang w:val="en-GB"/>
              </w:rPr>
              <w:t>30</w:t>
            </w:r>
          </w:p>
        </w:tc>
        <w:tc>
          <w:tcPr>
            <w:tcW w:w="1231" w:type="dxa"/>
            <w:tcBorders>
              <w:bottom w:val="single" w:color="auto" w:sz="4" w:space="0"/>
            </w:tcBorders>
            <w:vAlign w:val="center"/>
          </w:tcPr>
          <w:p w:rsidRPr="003B343D" w:rsidR="0078525A" w:rsidP="009B57C7" w:rsidRDefault="0078525A" w14:paraId="5A1DDECD" w14:textId="77777777">
            <w:pPr>
              <w:tabs>
                <w:tab w:val="decimal" w:pos="0"/>
              </w:tabs>
              <w:ind w:firstLine="0"/>
              <w:jc w:val="center"/>
              <w:rPr>
                <w:sz w:val="16"/>
                <w:szCs w:val="16"/>
                <w:lang w:val="en-GB"/>
              </w:rPr>
            </w:pPr>
            <w:r w:rsidRPr="003B343D">
              <w:rPr>
                <w:sz w:val="16"/>
                <w:szCs w:val="16"/>
                <w:lang w:val="en-GB"/>
              </w:rPr>
              <w:t>2.5</w:t>
            </w:r>
          </w:p>
        </w:tc>
        <w:tc>
          <w:tcPr>
            <w:tcW w:w="1016" w:type="dxa"/>
            <w:tcBorders>
              <w:bottom w:val="single" w:color="auto" w:sz="4" w:space="0"/>
            </w:tcBorders>
            <w:vAlign w:val="center"/>
          </w:tcPr>
          <w:p w:rsidRPr="003B343D" w:rsidR="0078525A" w:rsidP="009B57C7" w:rsidRDefault="0078525A" w14:paraId="46F94666" w14:textId="77777777">
            <w:pPr>
              <w:tabs>
                <w:tab w:val="decimal" w:pos="0"/>
              </w:tabs>
              <w:ind w:firstLine="0"/>
              <w:jc w:val="center"/>
              <w:rPr>
                <w:sz w:val="16"/>
                <w:szCs w:val="16"/>
                <w:lang w:val="en-GB"/>
              </w:rPr>
            </w:pPr>
            <w:r w:rsidRPr="003B343D">
              <w:rPr>
                <w:sz w:val="16"/>
                <w:szCs w:val="16"/>
                <w:lang w:val="en-GB"/>
              </w:rPr>
              <w:t>15</w:t>
            </w:r>
          </w:p>
        </w:tc>
      </w:tr>
    </w:tbl>
    <w:p w:rsidR="00182B7C" w:rsidP="00F542DA" w:rsidRDefault="00182B7C" w14:paraId="588C4345" w14:textId="5FBAEA7E">
      <w:pPr>
        <w:ind w:firstLine="0"/>
        <w:rPr>
          <w:lang w:val="en-GB"/>
        </w:rPr>
      </w:pPr>
    </w:p>
    <w:p w:rsidRPr="00755571" w:rsidR="00B32BDB" w:rsidP="00FF142F" w:rsidRDefault="00D14137" w14:paraId="5CBD3185" w14:textId="57FEA964">
      <w:pPr>
        <w:rPr>
          <w:strike/>
          <w:lang w:val="en-GB"/>
        </w:rPr>
      </w:pPr>
      <w:r>
        <w:rPr>
          <w:lang w:val="en-GB"/>
        </w:rPr>
        <w:t>The</w:t>
      </w:r>
      <w:r w:rsidR="00F542DA">
        <w:rPr>
          <w:lang w:val="en-GB"/>
        </w:rPr>
        <w:t xml:space="preserve"> balcony</w:t>
      </w:r>
      <w:r>
        <w:rPr>
          <w:lang w:val="en-GB"/>
        </w:rPr>
        <w:t xml:space="preserve"> frame</w:t>
      </w:r>
      <w:r w:rsidR="00AC0C2C">
        <w:rPr>
          <w:lang w:val="en-GB"/>
        </w:rPr>
        <w:t xml:space="preserve">, whose main </w:t>
      </w:r>
      <w:r w:rsidR="008609AE">
        <w:rPr>
          <w:lang w:val="en-GB"/>
        </w:rPr>
        <w:t xml:space="preserve">characteristics are summarised in </w:t>
      </w:r>
      <w:r w:rsidRPr="008609AE" w:rsidR="008609AE">
        <w:rPr>
          <w:lang w:val="en-GB"/>
        </w:rPr>
        <w:fldChar w:fldCharType="begin"/>
      </w:r>
      <w:r w:rsidRPr="008609AE" w:rsidR="008609AE">
        <w:rPr>
          <w:lang w:val="en-GB"/>
        </w:rPr>
        <w:instrText xml:space="preserve"> REF _Ref100266864 \h  \* MERGEFORMAT </w:instrText>
      </w:r>
      <w:r w:rsidRPr="008609AE" w:rsidR="008609AE">
        <w:rPr>
          <w:lang w:val="en-GB"/>
        </w:rPr>
      </w:r>
      <w:r w:rsidRPr="008609AE" w:rsidR="008609AE">
        <w:rPr>
          <w:lang w:val="en-GB"/>
        </w:rPr>
        <w:fldChar w:fldCharType="separate"/>
      </w:r>
      <w:r w:rsidRPr="00E716E5" w:rsidR="00E716E5">
        <w:t>Figure 1</w:t>
      </w:r>
      <w:r w:rsidRPr="008609AE" w:rsidR="008609AE">
        <w:rPr>
          <w:lang w:val="en-GB"/>
        </w:rPr>
        <w:fldChar w:fldCharType="end"/>
      </w:r>
      <w:r w:rsidR="00AC0C2C">
        <w:rPr>
          <w:lang w:val="en-GB"/>
        </w:rPr>
        <w:t>,</w:t>
      </w:r>
      <w:r>
        <w:rPr>
          <w:lang w:val="en-GB"/>
        </w:rPr>
        <w:t xml:space="preserve"> consists of </w:t>
      </w:r>
      <w:r w:rsidR="00716193">
        <w:rPr>
          <w:lang w:val="en-GB"/>
        </w:rPr>
        <w:t xml:space="preserve">two aluminium plates 3 mm thick to serve as </w:t>
      </w:r>
      <w:r w:rsidR="000F3966">
        <w:rPr>
          <w:lang w:val="en-GB"/>
        </w:rPr>
        <w:t>supports</w:t>
      </w:r>
      <w:r w:rsidR="00716193">
        <w:rPr>
          <w:lang w:val="en-GB"/>
        </w:rPr>
        <w:t xml:space="preserve"> for</w:t>
      </w:r>
      <w:r w:rsidRPr="00716193" w:rsidR="00716193">
        <w:rPr>
          <w:lang w:val="en-GB"/>
        </w:rPr>
        <w:t xml:space="preserve"> the sandwich plate.</w:t>
      </w:r>
      <w:r w:rsidR="00D44BA4">
        <w:rPr>
          <w:lang w:val="en-GB"/>
        </w:rPr>
        <w:t xml:space="preserve"> Six M13 bolts were used to connect the sandwich panel to the main frame.</w:t>
      </w:r>
      <w:r w:rsidR="00717104">
        <w:rPr>
          <w:lang w:val="en-GB"/>
        </w:rPr>
        <w:t xml:space="preserve"> The bolted connection between the sandwich panel and the supporting plates allowed a simple substitution of the panel to be tested.</w:t>
      </w:r>
      <w:r w:rsidRPr="00716193" w:rsidR="00716193">
        <w:rPr>
          <w:lang w:val="en-GB"/>
        </w:rPr>
        <w:t xml:space="preserve"> </w:t>
      </w:r>
      <w:r w:rsidRPr="003B343D" w:rsidR="00B32BDB">
        <w:rPr>
          <w:lang w:val="en-GB"/>
        </w:rPr>
        <w:t xml:space="preserve">Two aluminium brackets were welded to the bottom plate in order to improve the structural stability, similarly to the </w:t>
      </w:r>
      <w:r w:rsidR="00B32BDB">
        <w:rPr>
          <w:lang w:val="en-GB"/>
        </w:rPr>
        <w:t>reference</w:t>
      </w:r>
      <w:r w:rsidRPr="003B343D" w:rsidR="00B32BDB">
        <w:rPr>
          <w:lang w:val="en-GB"/>
        </w:rPr>
        <w:t xml:space="preserve"> structure</w:t>
      </w:r>
      <w:r w:rsidR="00B32BDB">
        <w:rPr>
          <w:lang w:val="en-GB"/>
        </w:rPr>
        <w:t xml:space="preserve">. </w:t>
      </w:r>
      <w:r w:rsidR="00716193">
        <w:rPr>
          <w:lang w:val="en-GB"/>
        </w:rPr>
        <w:t xml:space="preserve">The connection of the aluminium plates to the main steel </w:t>
      </w:r>
      <w:r w:rsidR="003E2E31">
        <w:rPr>
          <w:lang w:val="en-GB"/>
        </w:rPr>
        <w:t>wall</w:t>
      </w:r>
      <w:r w:rsidR="00716193">
        <w:rPr>
          <w:lang w:val="en-GB"/>
        </w:rPr>
        <w:t xml:space="preserve"> is </w:t>
      </w:r>
      <w:r w:rsidR="00F36421">
        <w:rPr>
          <w:lang w:val="en-GB"/>
        </w:rPr>
        <w:t xml:space="preserve">provided by means of an Al/steel explosion welded transition joint, manufactured by </w:t>
      </w:r>
      <w:proofErr w:type="spellStart"/>
      <w:r w:rsidR="00F36421">
        <w:rPr>
          <w:lang w:val="en-GB"/>
        </w:rPr>
        <w:t>TriClad</w:t>
      </w:r>
      <w:proofErr w:type="spellEnd"/>
      <w:r w:rsidR="00F36421">
        <w:rPr>
          <w:lang w:val="en-GB"/>
        </w:rPr>
        <w:t xml:space="preserve">. The </w:t>
      </w:r>
      <w:r w:rsidR="00C0540D">
        <w:rPr>
          <w:lang w:val="en-GB"/>
        </w:rPr>
        <w:t>welded joint</w:t>
      </w:r>
      <w:r w:rsidR="00AC0C2C">
        <w:rPr>
          <w:lang w:val="en-GB"/>
        </w:rPr>
        <w:t>, depicted i</w:t>
      </w:r>
      <w:r w:rsidR="00B22041">
        <w:rPr>
          <w:lang w:val="en-GB"/>
        </w:rPr>
        <w:t xml:space="preserve">n </w:t>
      </w:r>
      <w:r w:rsidRPr="00B22041" w:rsidR="00B22041">
        <w:rPr>
          <w:szCs w:val="20"/>
          <w:lang w:val="en-GB"/>
        </w:rPr>
        <w:fldChar w:fldCharType="begin"/>
      </w:r>
      <w:r w:rsidRPr="00B22041" w:rsidR="00B22041">
        <w:rPr>
          <w:szCs w:val="20"/>
          <w:lang w:val="en-GB"/>
        </w:rPr>
        <w:instrText xml:space="preserve"> REF _Ref100267810 \h  \* MERGEFORMAT </w:instrText>
      </w:r>
      <w:r w:rsidRPr="00B22041" w:rsidR="00B22041">
        <w:rPr>
          <w:szCs w:val="20"/>
          <w:lang w:val="en-GB"/>
        </w:rPr>
      </w:r>
      <w:r w:rsidRPr="00B22041" w:rsidR="00B22041">
        <w:rPr>
          <w:szCs w:val="20"/>
          <w:lang w:val="en-GB"/>
        </w:rPr>
        <w:fldChar w:fldCharType="separate"/>
      </w:r>
      <w:r w:rsidRPr="00E716E5" w:rsidR="00E716E5">
        <w:rPr>
          <w:szCs w:val="20"/>
        </w:rPr>
        <w:t>Figure</w:t>
      </w:r>
      <w:r w:rsidRPr="00B22041" w:rsidR="00E716E5">
        <w:rPr>
          <w:b/>
          <w:sz w:val="16"/>
        </w:rPr>
        <w:t xml:space="preserve"> </w:t>
      </w:r>
      <w:r w:rsidR="00E716E5">
        <w:rPr>
          <w:b/>
          <w:noProof/>
          <w:sz w:val="16"/>
        </w:rPr>
        <w:t>2</w:t>
      </w:r>
      <w:r w:rsidRPr="00B22041" w:rsidR="00B22041">
        <w:rPr>
          <w:szCs w:val="20"/>
          <w:lang w:val="en-GB"/>
        </w:rPr>
        <w:fldChar w:fldCharType="end"/>
      </w:r>
      <w:r w:rsidR="00A308F9">
        <w:rPr>
          <w:szCs w:val="20"/>
          <w:lang w:val="en-GB"/>
        </w:rPr>
        <w:t>,</w:t>
      </w:r>
      <w:r w:rsidR="00F36421">
        <w:rPr>
          <w:lang w:val="en-GB"/>
        </w:rPr>
        <w:t xml:space="preserve"> </w:t>
      </w:r>
      <w:r w:rsidRPr="00C0540D" w:rsidR="00C0540D">
        <w:t>consis</w:t>
      </w:r>
      <w:r w:rsidR="00C0540D">
        <w:t>ts</w:t>
      </w:r>
      <w:r w:rsidRPr="00C0540D" w:rsidR="00C0540D">
        <w:t xml:space="preserve"> of ASTM A516 Gr55 structural steel, clad by explosion welding with AA5086 aluminum alloy and provided with an intermediate layer of AA1050 commercial pure aluminum.</w:t>
      </w:r>
    </w:p>
    <w:p w:rsidRPr="00295CF0" w:rsidR="00425CD6" w:rsidP="00425CD6" w:rsidRDefault="0063783F" w14:paraId="6E9B0376" w14:textId="237CC7AF">
      <w:pPr>
        <w:rPr>
          <w:lang w:val="en-GB"/>
        </w:rPr>
      </w:pPr>
      <w:r>
        <w:rPr>
          <w:noProof/>
          <w:lang w:val="it-IT" w:eastAsia="it-IT"/>
        </w:rPr>
        <w:drawing>
          <wp:anchor distT="0" distB="0" distL="114300" distR="114300" simplePos="0" relativeHeight="251664384" behindDoc="0" locked="0" layoutInCell="1" allowOverlap="1" wp14:editId="05053881" wp14:anchorId="62EC9BA1">
            <wp:simplePos x="0" y="0"/>
            <wp:positionH relativeFrom="column">
              <wp:posOffset>12700</wp:posOffset>
            </wp:positionH>
            <wp:positionV relativeFrom="paragraph">
              <wp:posOffset>167640</wp:posOffset>
            </wp:positionV>
            <wp:extent cx="4192270" cy="2386965"/>
            <wp:effectExtent l="0" t="0" r="0" b="0"/>
            <wp:wrapTopAndBottom/>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192270" cy="2386965"/>
                    </a:xfrm>
                    <a:prstGeom prst="rect">
                      <a:avLst/>
                    </a:prstGeom>
                    <a:noFill/>
                  </pic:spPr>
                </pic:pic>
              </a:graphicData>
            </a:graphic>
            <wp14:sizeRelH relativeFrom="margin">
              <wp14:pctWidth>0</wp14:pctWidth>
            </wp14:sizeRelH>
            <wp14:sizeRelV relativeFrom="margin">
              <wp14:pctHeight>0</wp14:pctHeight>
            </wp14:sizeRelV>
          </wp:anchor>
        </w:drawing>
      </w:r>
    </w:p>
    <w:p w:rsidRPr="00755571" w:rsidR="008609AE" w:rsidP="008609AE" w:rsidRDefault="008609AE" w14:paraId="652E0AD2" w14:textId="15162CD2">
      <w:pPr>
        <w:pStyle w:val="Didascalia"/>
        <w:jc w:val="center"/>
      </w:pPr>
      <w:bookmarkStart w:name="_Ref100266864" w:id="1"/>
      <w:r w:rsidRPr="00755571">
        <w:rPr>
          <w:b/>
        </w:rPr>
        <w:t xml:space="preserve">Figure </w:t>
      </w:r>
      <w:r w:rsidRPr="008609AE">
        <w:rPr>
          <w:b/>
        </w:rPr>
        <w:fldChar w:fldCharType="begin"/>
      </w:r>
      <w:r w:rsidRPr="00755571">
        <w:rPr>
          <w:b/>
        </w:rPr>
        <w:instrText xml:space="preserve"> SEQ Figure \* ARABIC </w:instrText>
      </w:r>
      <w:r w:rsidRPr="008609AE">
        <w:rPr>
          <w:b/>
        </w:rPr>
        <w:fldChar w:fldCharType="separate"/>
      </w:r>
      <w:r w:rsidR="00E716E5">
        <w:rPr>
          <w:b/>
          <w:noProof/>
        </w:rPr>
        <w:t>1</w:t>
      </w:r>
      <w:r w:rsidRPr="008609AE">
        <w:rPr>
          <w:b/>
        </w:rPr>
        <w:fldChar w:fldCharType="end"/>
      </w:r>
      <w:bookmarkEnd w:id="1"/>
      <w:r w:rsidRPr="00755571">
        <w:rPr>
          <w:b/>
        </w:rPr>
        <w:t>.</w:t>
      </w:r>
      <w:r w:rsidRPr="00755571">
        <w:t xml:space="preserve"> Main features of the developed balcony overhang.</w:t>
      </w:r>
    </w:p>
    <w:p w:rsidRPr="00295CF0" w:rsidR="008609AE" w:rsidP="00425CD6" w:rsidRDefault="008609AE" w14:paraId="30859E53" w14:textId="1B73997B">
      <w:pPr>
        <w:rPr>
          <w:lang w:val="en-GB"/>
        </w:rPr>
      </w:pPr>
    </w:p>
    <w:tbl>
      <w:tblPr>
        <w:tblStyle w:val="Grigliatabella"/>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3802"/>
        <w:gridCol w:w="3002"/>
      </w:tblGrid>
      <w:tr w:rsidR="00B22041" w:rsidTr="00717104" w14:paraId="3D8E702B" w14:textId="77777777">
        <w:trPr>
          <w:jc w:val="center"/>
        </w:trPr>
        <w:tc>
          <w:tcPr>
            <w:tcW w:w="3802" w:type="dxa"/>
          </w:tcPr>
          <w:p w:rsidR="00B22041" w:rsidP="00425CD6" w:rsidRDefault="00B22041" w14:paraId="059131C0" w14:textId="1A0E5CA4">
            <w:pPr>
              <w:ind w:firstLine="0"/>
              <w:rPr>
                <w:lang w:val="en-GB"/>
              </w:rPr>
            </w:pPr>
            <w:r w:rsidRPr="00B22041">
              <w:rPr>
                <w:noProof/>
                <w:lang w:val="it-IT" w:eastAsia="it-IT"/>
              </w:rPr>
              <w:drawing>
                <wp:inline distT="0" distB="0" distL="0" distR="0" wp14:anchorId="2607BEE5" wp14:editId="132BFC38">
                  <wp:extent cx="2277373" cy="1198122"/>
                  <wp:effectExtent l="0" t="0" r="0" b="2540"/>
                  <wp:docPr id="1026" name="Immagine 14" descr="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Immagine 14" descr="ext"/>
                          <pic:cNvPicPr>
                            <a:picLocks noChangeAspect="1" noChangeArrowheads="1"/>
                          </pic:cNvPicPr>
                        </pic:nvPicPr>
                        <pic:blipFill>
                          <a:blip r:embed="rId11">
                            <a:extLst>
                              <a:ext uri="{28A0092B-C50C-407E-A947-70E740481C1C}">
                                <a14:useLocalDpi xmlns:a14="http://schemas.microsoft.com/office/drawing/2010/main" val="0"/>
                              </a:ext>
                            </a:extLst>
                          </a:blip>
                          <a:srcRect l="15501" t="23338" r="17854" b="22905"/>
                          <a:stretch>
                            <a:fillRect/>
                          </a:stretch>
                        </pic:blipFill>
                        <pic:spPr bwMode="auto">
                          <a:xfrm>
                            <a:off x="0" y="0"/>
                            <a:ext cx="2359697" cy="1241433"/>
                          </a:xfrm>
                          <a:prstGeom prst="rect">
                            <a:avLst/>
                          </a:prstGeom>
                          <a:noFill/>
                        </pic:spPr>
                      </pic:pic>
                    </a:graphicData>
                  </a:graphic>
                </wp:inline>
              </w:drawing>
            </w:r>
          </w:p>
        </w:tc>
        <w:tc>
          <w:tcPr>
            <w:tcW w:w="3002" w:type="dxa"/>
          </w:tcPr>
          <w:p w:rsidR="00B22041" w:rsidP="00B22041" w:rsidRDefault="00B22041" w14:paraId="2E2E3405" w14:textId="3CCB2E8D">
            <w:pPr>
              <w:keepNext/>
              <w:ind w:firstLine="0"/>
              <w:rPr>
                <w:lang w:val="en-GB"/>
              </w:rPr>
            </w:pPr>
            <w:r w:rsidRPr="00B22041">
              <w:rPr>
                <w:noProof/>
                <w:lang w:val="it-IT" w:eastAsia="it-IT"/>
              </w:rPr>
              <w:drawing>
                <wp:inline distT="0" distB="0" distL="0" distR="0" wp14:anchorId="5C9E5B71" wp14:editId="4DA434FA">
                  <wp:extent cx="1704065" cy="1202401"/>
                  <wp:effectExtent l="0" t="0" r="0" b="0"/>
                  <wp:docPr id="6" name="Immagine 20" descr="materia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Immagine 20" descr="materiali"/>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07897" cy="1205105"/>
                          </a:xfrm>
                          <a:prstGeom prst="rect">
                            <a:avLst/>
                          </a:prstGeom>
                          <a:noFill/>
                        </pic:spPr>
                      </pic:pic>
                    </a:graphicData>
                  </a:graphic>
                </wp:inline>
              </w:drawing>
            </w:r>
          </w:p>
        </w:tc>
      </w:tr>
    </w:tbl>
    <w:p w:rsidRPr="00B22041" w:rsidR="00B22041" w:rsidP="00B22041" w:rsidRDefault="00B22041" w14:paraId="1A6B470D" w14:textId="7521E91A">
      <w:pPr>
        <w:jc w:val="center"/>
        <w:rPr>
          <w:b/>
          <w:sz w:val="16"/>
        </w:rPr>
      </w:pPr>
      <w:bookmarkStart w:name="_Ref100267810" w:id="2"/>
      <w:r w:rsidRPr="00B22041">
        <w:rPr>
          <w:b/>
          <w:sz w:val="16"/>
        </w:rPr>
        <w:t xml:space="preserve">Figure </w:t>
      </w:r>
      <w:r w:rsidRPr="00B22041">
        <w:rPr>
          <w:b/>
          <w:sz w:val="16"/>
        </w:rPr>
        <w:fldChar w:fldCharType="begin"/>
      </w:r>
      <w:r w:rsidRPr="00B22041">
        <w:rPr>
          <w:b/>
          <w:sz w:val="16"/>
        </w:rPr>
        <w:instrText xml:space="preserve"> SEQ Figure \* ARABIC </w:instrText>
      </w:r>
      <w:r w:rsidRPr="00B22041">
        <w:rPr>
          <w:b/>
          <w:sz w:val="16"/>
        </w:rPr>
        <w:fldChar w:fldCharType="separate"/>
      </w:r>
      <w:r w:rsidR="00E716E5">
        <w:rPr>
          <w:b/>
          <w:noProof/>
          <w:sz w:val="16"/>
        </w:rPr>
        <w:t>2</w:t>
      </w:r>
      <w:r w:rsidRPr="00B22041">
        <w:rPr>
          <w:b/>
          <w:sz w:val="16"/>
        </w:rPr>
        <w:fldChar w:fldCharType="end"/>
      </w:r>
      <w:bookmarkEnd w:id="2"/>
      <w:r w:rsidRPr="00B22041">
        <w:rPr>
          <w:b/>
          <w:sz w:val="16"/>
        </w:rPr>
        <w:t xml:space="preserve">. </w:t>
      </w:r>
      <w:r w:rsidRPr="00B22041">
        <w:rPr>
          <w:sz w:val="16"/>
        </w:rPr>
        <w:t>Al/steel transition joint included in the investigated structure</w:t>
      </w:r>
    </w:p>
    <w:p w:rsidR="008E7822" w:rsidP="00425CD6" w:rsidRDefault="008E7822" w14:paraId="0D147483" w14:textId="4EB38E94">
      <w:pPr>
        <w:rPr>
          <w:lang w:val="en-GB"/>
        </w:rPr>
      </w:pPr>
    </w:p>
    <w:p w:rsidR="003E2E31" w:rsidP="00425CD6" w:rsidRDefault="003E2E31" w14:paraId="5A6E8921" w14:textId="0D4E3A04">
      <w:pPr>
        <w:rPr>
          <w:lang w:val="en-GB"/>
        </w:rPr>
      </w:pPr>
      <w:r w:rsidRPr="00FB2684">
        <w:rPr>
          <w:lang w:val="en-GB"/>
        </w:rPr>
        <w:t xml:space="preserve">The mass of the balcony frame was estimated equal to </w:t>
      </w:r>
      <w:r w:rsidRPr="00FB2684" w:rsidR="00FB2684">
        <w:rPr>
          <w:lang w:val="en-GB"/>
        </w:rPr>
        <w:t>63 kg, against the 135 kg of the reference structure, which was entirely made of steel.</w:t>
      </w:r>
    </w:p>
    <w:p w:rsidR="006D20D8" w:rsidP="00D44BA4" w:rsidRDefault="00A308F9" w14:paraId="6CA4B6FC" w14:textId="195BA495">
      <w:pPr>
        <w:rPr>
          <w:lang w:val="en-GB"/>
        </w:rPr>
      </w:pPr>
      <w:r>
        <w:rPr>
          <w:lang w:val="en-GB"/>
        </w:rPr>
        <w:t xml:space="preserve">The </w:t>
      </w:r>
      <w:r w:rsidR="003E2E31">
        <w:rPr>
          <w:lang w:val="en-GB"/>
        </w:rPr>
        <w:t>developed structure</w:t>
      </w:r>
      <w:r>
        <w:rPr>
          <w:lang w:val="en-GB"/>
        </w:rPr>
        <w:t xml:space="preserve"> was analysed at the CERISI laboratories of the University of Messina, which is provided with a</w:t>
      </w:r>
      <w:r w:rsidR="00C60065">
        <w:rPr>
          <w:lang w:val="en-GB"/>
        </w:rPr>
        <w:t>n ITALSIGMA</w:t>
      </w:r>
      <w:r>
        <w:rPr>
          <w:lang w:val="en-GB"/>
        </w:rPr>
        <w:t xml:space="preserve"> testing portal </w:t>
      </w:r>
      <w:r w:rsidR="00BE3A95">
        <w:rPr>
          <w:lang w:val="en-GB"/>
        </w:rPr>
        <w:t xml:space="preserve">frame </w:t>
      </w:r>
      <w:r>
        <w:rPr>
          <w:lang w:val="en-GB"/>
        </w:rPr>
        <w:t xml:space="preserve">for full-scale </w:t>
      </w:r>
      <w:r w:rsidR="003E2E31">
        <w:rPr>
          <w:lang w:val="en-GB"/>
        </w:rPr>
        <w:t xml:space="preserve">investigations. The balcony overhang was </w:t>
      </w:r>
      <w:r w:rsidR="00FB2684">
        <w:rPr>
          <w:lang w:val="en-GB"/>
        </w:rPr>
        <w:t>bolted to a fixed reaction block</w:t>
      </w:r>
      <w:r w:rsidR="00E61C15">
        <w:rPr>
          <w:lang w:val="en-GB"/>
        </w:rPr>
        <w:t xml:space="preserve"> with si</w:t>
      </w:r>
      <w:r w:rsidRPr="00DF01A0" w:rsidR="00DF01A0">
        <w:rPr>
          <w:lang w:val="en-GB"/>
        </w:rPr>
        <w:t>x</w:t>
      </w:r>
      <w:r w:rsidR="00E61C15">
        <w:rPr>
          <w:lang w:val="en-GB"/>
        </w:rPr>
        <w:t xml:space="preserve"> M36</w:t>
      </w:r>
      <w:r w:rsidRPr="00DF01A0" w:rsidR="00DF01A0">
        <w:rPr>
          <w:lang w:val="en-GB"/>
        </w:rPr>
        <w:t xml:space="preserve"> bolts.</w:t>
      </w:r>
      <w:r w:rsidR="00F36836">
        <w:rPr>
          <w:lang w:val="en-GB"/>
        </w:rPr>
        <w:t xml:space="preserve"> </w:t>
      </w:r>
      <w:r w:rsidR="00755571">
        <w:rPr>
          <w:lang w:val="en-GB"/>
        </w:rPr>
        <w:t xml:space="preserve">Two </w:t>
      </w:r>
      <w:r w:rsidR="00F36836">
        <w:rPr>
          <w:lang w:val="en-GB"/>
        </w:rPr>
        <w:t>LVDTs were employed to measure t</w:t>
      </w:r>
      <w:r w:rsidRPr="00F36836" w:rsidR="00F36836">
        <w:rPr>
          <w:lang w:val="en-GB"/>
        </w:rPr>
        <w:t xml:space="preserve">he deflection of the </w:t>
      </w:r>
      <w:r w:rsidR="00F36836">
        <w:rPr>
          <w:lang w:val="en-GB"/>
        </w:rPr>
        <w:t xml:space="preserve">structure at the points </w:t>
      </w:r>
      <w:r w:rsidR="00F36836">
        <w:rPr>
          <w:lang w:val="en-GB"/>
        </w:rPr>
        <w:lastRenderedPageBreak/>
        <w:t>A</w:t>
      </w:r>
      <w:r w:rsidR="00755571">
        <w:rPr>
          <w:lang w:val="en-GB"/>
        </w:rPr>
        <w:t xml:space="preserve"> and</w:t>
      </w:r>
      <w:r w:rsidR="00F36836">
        <w:rPr>
          <w:lang w:val="en-GB"/>
        </w:rPr>
        <w:t xml:space="preserve"> B </w:t>
      </w:r>
      <w:r w:rsidRPr="00F36836" w:rsidR="00F36836">
        <w:rPr>
          <w:lang w:val="en-GB"/>
        </w:rPr>
        <w:t>located along the</w:t>
      </w:r>
      <w:r w:rsidR="00F36836">
        <w:rPr>
          <w:lang w:val="en-GB"/>
        </w:rPr>
        <w:t xml:space="preserve"> structure’s</w:t>
      </w:r>
      <w:r w:rsidRPr="00F36836" w:rsidR="00F36836">
        <w:rPr>
          <w:lang w:val="en-GB"/>
        </w:rPr>
        <w:t xml:space="preserve"> </w:t>
      </w:r>
      <w:r w:rsidR="00F36836">
        <w:rPr>
          <w:lang w:val="en-GB"/>
        </w:rPr>
        <w:t xml:space="preserve">longitudinal </w:t>
      </w:r>
      <w:r w:rsidRPr="00F36836" w:rsidR="00F36836">
        <w:rPr>
          <w:lang w:val="en-GB"/>
        </w:rPr>
        <w:t xml:space="preserve">symmetry </w:t>
      </w:r>
      <w:r w:rsidR="00F36836">
        <w:rPr>
          <w:lang w:val="en-GB"/>
        </w:rPr>
        <w:t>axis</w:t>
      </w:r>
      <w:r w:rsidR="006D20D8">
        <w:rPr>
          <w:lang w:val="en-GB"/>
        </w:rPr>
        <w:t xml:space="preserve"> and whose positions are specified in</w:t>
      </w:r>
      <w:r w:rsidR="00B475FB">
        <w:rPr>
          <w:lang w:val="en-GB"/>
        </w:rPr>
        <w:t xml:space="preserve"> </w:t>
      </w:r>
      <w:r w:rsidRPr="00B475FB" w:rsidR="00B475FB">
        <w:rPr>
          <w:lang w:val="en-GB"/>
        </w:rPr>
        <w:fldChar w:fldCharType="begin"/>
      </w:r>
      <w:r w:rsidRPr="00B475FB" w:rsidR="00B475FB">
        <w:rPr>
          <w:lang w:val="en-GB"/>
        </w:rPr>
        <w:instrText xml:space="preserve"> REF _Ref100313880 \h  \* MERGEFORMAT </w:instrText>
      </w:r>
      <w:r w:rsidRPr="00B475FB" w:rsidR="00B475FB">
        <w:rPr>
          <w:lang w:val="en-GB"/>
        </w:rPr>
      </w:r>
      <w:r w:rsidRPr="00B475FB" w:rsidR="00B475FB">
        <w:rPr>
          <w:lang w:val="en-GB"/>
        </w:rPr>
        <w:fldChar w:fldCharType="separate"/>
      </w:r>
      <w:r w:rsidRPr="00E716E5" w:rsidR="00E716E5">
        <w:t>Figure 3</w:t>
      </w:r>
      <w:r w:rsidRPr="00B475FB" w:rsidR="00B475FB">
        <w:rPr>
          <w:lang w:val="en-GB"/>
        </w:rPr>
        <w:fldChar w:fldCharType="end"/>
      </w:r>
      <w:r w:rsidRPr="00B475FB" w:rsidR="00B475FB">
        <w:rPr>
          <w:lang w:val="en-GB"/>
        </w:rPr>
        <w:t>.</w:t>
      </w:r>
    </w:p>
    <w:p w:rsidR="00755571" w:rsidP="00D44BA4" w:rsidRDefault="00755571" w14:paraId="62A6E6BD" w14:textId="4C44D894">
      <w:pPr>
        <w:rPr>
          <w:lang w:val="en-GB"/>
        </w:rPr>
      </w:pPr>
      <w:r>
        <w:rPr>
          <w:noProof/>
          <w:lang w:val="it-IT" w:eastAsia="it-IT"/>
        </w:rPr>
        <w:drawing>
          <wp:anchor distT="0" distB="0" distL="114300" distR="114300" simplePos="0" relativeHeight="251668480" behindDoc="0" locked="0" layoutInCell="1" allowOverlap="1" wp14:editId="2A9FBDE7" wp14:anchorId="0506B57F">
            <wp:simplePos x="0" y="0"/>
            <wp:positionH relativeFrom="margin">
              <wp:align>center</wp:align>
            </wp:positionH>
            <wp:positionV relativeFrom="paragraph">
              <wp:posOffset>196215</wp:posOffset>
            </wp:positionV>
            <wp:extent cx="2699385" cy="1463040"/>
            <wp:effectExtent l="0" t="0" r="5715" b="3810"/>
            <wp:wrapTopAndBottom/>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99385" cy="1463040"/>
                    </a:xfrm>
                    <a:prstGeom prst="rect">
                      <a:avLst/>
                    </a:prstGeom>
                    <a:noFill/>
                  </pic:spPr>
                </pic:pic>
              </a:graphicData>
            </a:graphic>
            <wp14:sizeRelH relativeFrom="margin">
              <wp14:pctWidth>0</wp14:pctWidth>
            </wp14:sizeRelH>
            <wp14:sizeRelV relativeFrom="margin">
              <wp14:pctHeight>0</wp14:pctHeight>
            </wp14:sizeRelV>
          </wp:anchor>
        </w:drawing>
      </w:r>
    </w:p>
    <w:p w:rsidRPr="00440E5D" w:rsidR="00B475FB" w:rsidP="00440E5D" w:rsidRDefault="00B475FB" w14:paraId="3E725596" w14:textId="556E9811">
      <w:pPr>
        <w:ind w:firstLine="0"/>
        <w:jc w:val="center"/>
        <w:rPr>
          <w:b/>
          <w:sz w:val="16"/>
        </w:rPr>
      </w:pPr>
      <w:bookmarkStart w:name="_Ref100313880" w:id="3"/>
      <w:r w:rsidRPr="00440E5D">
        <w:rPr>
          <w:b/>
          <w:sz w:val="16"/>
        </w:rPr>
        <w:t xml:space="preserve">Figure </w:t>
      </w:r>
      <w:r w:rsidRPr="00440E5D">
        <w:rPr>
          <w:b/>
          <w:sz w:val="16"/>
        </w:rPr>
        <w:fldChar w:fldCharType="begin"/>
      </w:r>
      <w:r w:rsidRPr="00440E5D">
        <w:rPr>
          <w:b/>
          <w:sz w:val="16"/>
        </w:rPr>
        <w:instrText xml:space="preserve"> SEQ Figure \* ARABIC </w:instrText>
      </w:r>
      <w:r w:rsidRPr="00440E5D">
        <w:rPr>
          <w:b/>
          <w:sz w:val="16"/>
        </w:rPr>
        <w:fldChar w:fldCharType="separate"/>
      </w:r>
      <w:r w:rsidR="00E716E5">
        <w:rPr>
          <w:b/>
          <w:noProof/>
          <w:sz w:val="16"/>
        </w:rPr>
        <w:t>3</w:t>
      </w:r>
      <w:r w:rsidRPr="00440E5D">
        <w:rPr>
          <w:b/>
          <w:sz w:val="16"/>
        </w:rPr>
        <w:fldChar w:fldCharType="end"/>
      </w:r>
      <w:bookmarkEnd w:id="3"/>
      <w:r w:rsidRPr="00440E5D">
        <w:rPr>
          <w:b/>
          <w:sz w:val="16"/>
        </w:rPr>
        <w:t>.</w:t>
      </w:r>
      <w:r w:rsidRPr="00440E5D">
        <w:rPr>
          <w:sz w:val="16"/>
        </w:rPr>
        <w:t xml:space="preserve"> Positions of the LVDT sensors.</w:t>
      </w:r>
    </w:p>
    <w:p w:rsidRPr="00B475FB" w:rsidR="00B475FB" w:rsidP="00B475FB" w:rsidRDefault="00B475FB" w14:paraId="7E9F404A" w14:textId="7E16EE44">
      <w:pPr>
        <w:ind w:firstLine="0"/>
      </w:pPr>
    </w:p>
    <w:p w:rsidR="00DF01A0" w:rsidP="00D44BA4" w:rsidRDefault="00D44BA4" w14:paraId="66CC3354" w14:textId="3103BC11">
      <w:pPr>
        <w:rPr>
          <w:lang w:val="en-GB"/>
        </w:rPr>
      </w:pPr>
      <w:r>
        <w:rPr>
          <w:lang w:val="en-GB"/>
        </w:rPr>
        <w:t>A servo</w:t>
      </w:r>
      <w:r w:rsidR="00BE3A95">
        <w:rPr>
          <w:lang w:val="en-GB"/>
        </w:rPr>
        <w:t>-</w:t>
      </w:r>
      <w:r>
        <w:rPr>
          <w:lang w:val="en-GB"/>
        </w:rPr>
        <w:t xml:space="preserve">hydraulic actuator with a 100 </w:t>
      </w:r>
      <w:proofErr w:type="spellStart"/>
      <w:proofErr w:type="gramStart"/>
      <w:r>
        <w:rPr>
          <w:lang w:val="en-GB"/>
        </w:rPr>
        <w:t>kN</w:t>
      </w:r>
      <w:proofErr w:type="spellEnd"/>
      <w:proofErr w:type="gramEnd"/>
      <w:r>
        <w:rPr>
          <w:lang w:val="en-GB"/>
        </w:rPr>
        <w:t xml:space="preserve"> </w:t>
      </w:r>
      <w:r w:rsidR="00BE3A95">
        <w:rPr>
          <w:lang w:val="en-GB"/>
        </w:rPr>
        <w:t xml:space="preserve">load cell </w:t>
      </w:r>
      <w:r>
        <w:rPr>
          <w:lang w:val="en-GB"/>
        </w:rPr>
        <w:t>was employed. The load was applied</w:t>
      </w:r>
      <w:r w:rsidR="00475E79">
        <w:rPr>
          <w:lang w:val="en-GB"/>
        </w:rPr>
        <w:t xml:space="preserve"> at a constant rate of 10 mm/min</w:t>
      </w:r>
      <w:r>
        <w:rPr>
          <w:lang w:val="en-GB"/>
        </w:rPr>
        <w:t xml:space="preserve"> at the free extremity of the balcony by means of a steel</w:t>
      </w:r>
      <w:r w:rsidRPr="00D44BA4">
        <w:rPr>
          <w:lang w:val="en-GB"/>
        </w:rPr>
        <w:t xml:space="preserve"> </w:t>
      </w:r>
      <w:r>
        <w:rPr>
          <w:lang w:val="en-GB"/>
        </w:rPr>
        <w:t>cylinder 950 mm long and with the diameter equal to 60 mm.</w:t>
      </w:r>
      <w:r w:rsidR="00114D48">
        <w:rPr>
          <w:lang w:val="en-GB"/>
        </w:rPr>
        <w:t xml:space="preserve"> The complete experimental setup is depicted in </w:t>
      </w:r>
      <w:r w:rsidRPr="006C62EF" w:rsidR="006C62EF">
        <w:rPr>
          <w:lang w:val="en-GB"/>
        </w:rPr>
        <w:fldChar w:fldCharType="begin"/>
      </w:r>
      <w:r w:rsidRPr="006C62EF" w:rsidR="006C62EF">
        <w:rPr>
          <w:lang w:val="en-GB"/>
        </w:rPr>
        <w:instrText xml:space="preserve"> REF _Ref100314303 \h  \* MERGEFORMAT </w:instrText>
      </w:r>
      <w:r w:rsidRPr="006C62EF" w:rsidR="006C62EF">
        <w:rPr>
          <w:lang w:val="en-GB"/>
        </w:rPr>
      </w:r>
      <w:r w:rsidRPr="006C62EF" w:rsidR="006C62EF">
        <w:rPr>
          <w:lang w:val="en-GB"/>
        </w:rPr>
        <w:fldChar w:fldCharType="separate"/>
      </w:r>
      <w:r w:rsidRPr="00E716E5" w:rsidR="00E716E5">
        <w:t xml:space="preserve">Figure </w:t>
      </w:r>
      <w:r w:rsidRPr="00E716E5" w:rsidR="00E716E5">
        <w:rPr>
          <w:noProof/>
        </w:rPr>
        <w:t>4</w:t>
      </w:r>
      <w:r w:rsidRPr="006C62EF" w:rsidR="006C62EF">
        <w:rPr>
          <w:lang w:val="en-GB"/>
        </w:rPr>
        <w:fldChar w:fldCharType="end"/>
      </w:r>
      <w:r w:rsidRPr="006C62EF" w:rsidR="006C62EF">
        <w:rPr>
          <w:lang w:val="en-GB"/>
        </w:rPr>
        <w:t>.</w:t>
      </w:r>
    </w:p>
    <w:p w:rsidR="00717104" w:rsidP="00D44BA4" w:rsidRDefault="004442DA" w14:paraId="3DB75777" w14:textId="578D857B">
      <w:pPr>
        <w:rPr>
          <w:lang w:val="en-GB"/>
        </w:rPr>
      </w:pPr>
      <w:r w:rsidRPr="004442DA">
        <w:rPr>
          <w:noProof/>
          <w:lang w:val="it-IT" w:eastAsia="it-IT"/>
        </w:rPr>
        <w:drawing>
          <wp:anchor distT="0" distB="0" distL="114300" distR="114300" simplePos="0" relativeHeight="251669504" behindDoc="0" locked="0" layoutInCell="1" allowOverlap="1" wp14:editId="7DBEFBF2" wp14:anchorId="7228CA62">
            <wp:simplePos x="0" y="0"/>
            <wp:positionH relativeFrom="margin">
              <wp:align>center</wp:align>
            </wp:positionH>
            <wp:positionV relativeFrom="paragraph">
              <wp:posOffset>261620</wp:posOffset>
            </wp:positionV>
            <wp:extent cx="3002280" cy="1688465"/>
            <wp:effectExtent l="0" t="0" r="7620" b="6985"/>
            <wp:wrapTopAndBottom/>
            <wp:docPr id="4" name="Immagine 4" descr="D:\Giulia\Ricerca\Ricerca_2022\NAV20222\setup_mo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Giulia\Ricerca\Ricerca_2022\NAV20222\setup_mod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02280" cy="1688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442DA" w:rsidDel="004442DA">
        <w:rPr>
          <w:lang w:val="en-GB"/>
        </w:rPr>
        <w:t xml:space="preserve"> </w:t>
      </w:r>
    </w:p>
    <w:p w:rsidRPr="00AF1457" w:rsidR="00717104" w:rsidP="00717104" w:rsidRDefault="00717104" w14:paraId="13AFD61D" w14:textId="68BFA79F">
      <w:pPr>
        <w:pStyle w:val="Didascalia"/>
        <w:jc w:val="center"/>
        <w:rPr>
          <w:noProof/>
          <w:sz w:val="20"/>
        </w:rPr>
      </w:pPr>
      <w:bookmarkStart w:name="_Ref100314303" w:id="4"/>
      <w:r w:rsidRPr="00C60065">
        <w:rPr>
          <w:b/>
        </w:rPr>
        <w:t xml:space="preserve">Figure </w:t>
      </w:r>
      <w:r w:rsidRPr="00C60065">
        <w:rPr>
          <w:b/>
        </w:rPr>
        <w:fldChar w:fldCharType="begin"/>
      </w:r>
      <w:r w:rsidRPr="00C60065">
        <w:rPr>
          <w:b/>
        </w:rPr>
        <w:instrText xml:space="preserve"> SEQ Figure \* ARABIC </w:instrText>
      </w:r>
      <w:r w:rsidRPr="00C60065">
        <w:rPr>
          <w:b/>
        </w:rPr>
        <w:fldChar w:fldCharType="separate"/>
      </w:r>
      <w:r w:rsidR="00E716E5">
        <w:rPr>
          <w:b/>
          <w:noProof/>
        </w:rPr>
        <w:t>4</w:t>
      </w:r>
      <w:r w:rsidRPr="00C60065">
        <w:rPr>
          <w:b/>
        </w:rPr>
        <w:fldChar w:fldCharType="end"/>
      </w:r>
      <w:bookmarkEnd w:id="4"/>
      <w:r w:rsidRPr="00C60065">
        <w:rPr>
          <w:b/>
        </w:rPr>
        <w:t>.</w:t>
      </w:r>
      <w:r>
        <w:t xml:space="preserve"> Experimental setup for full-scale testing of the AHS-based balcony overhang.</w:t>
      </w:r>
    </w:p>
    <w:p w:rsidR="00DF01A0" w:rsidP="00B95A5A" w:rsidRDefault="00B95A5A" w14:paraId="40210227" w14:textId="35B915DC">
      <w:pPr>
        <w:pStyle w:val="Titolo1"/>
        <w:rPr>
          <w:lang w:val="en-GB"/>
        </w:rPr>
      </w:pPr>
      <w:r>
        <w:rPr>
          <w:lang w:val="en-GB"/>
        </w:rPr>
        <w:t>Experimental results</w:t>
      </w:r>
    </w:p>
    <w:p w:rsidR="00E716E5" w:rsidP="00E716E5" w:rsidRDefault="00717104" w14:paraId="45F10870" w14:textId="77777777">
      <w:pPr>
        <w:rPr>
          <w:lang w:val="en-GB"/>
        </w:rPr>
      </w:pPr>
      <w:r>
        <w:rPr>
          <w:lang w:val="en-GB"/>
        </w:rPr>
        <w:t xml:space="preserve">The load-displacement </w:t>
      </w:r>
      <w:r w:rsidR="00D64720">
        <w:rPr>
          <w:lang w:val="en-GB"/>
        </w:rPr>
        <w:t>curves obtained from experimental testing for both AHS#1 and AHS#2 are displayed in</w:t>
      </w:r>
      <w:r w:rsidR="0038740B">
        <w:rPr>
          <w:lang w:val="en-GB"/>
        </w:rPr>
        <w:t xml:space="preserve"> </w:t>
      </w:r>
      <w:r w:rsidRPr="0038740B" w:rsidR="0038740B">
        <w:rPr>
          <w:lang w:val="en-GB"/>
        </w:rPr>
        <w:fldChar w:fldCharType="begin"/>
      </w:r>
      <w:r w:rsidRPr="0038740B" w:rsidR="0038740B">
        <w:rPr>
          <w:lang w:val="en-GB"/>
        </w:rPr>
        <w:instrText xml:space="preserve"> REF _Ref100316506 \h  \* MERGEFORMAT </w:instrText>
      </w:r>
      <w:r w:rsidRPr="0038740B" w:rsidR="0038740B">
        <w:rPr>
          <w:lang w:val="en-GB"/>
        </w:rPr>
      </w:r>
      <w:r w:rsidRPr="0038740B" w:rsidR="0038740B">
        <w:rPr>
          <w:lang w:val="en-GB"/>
        </w:rPr>
        <w:fldChar w:fldCharType="separate"/>
      </w:r>
      <w:r w:rsidRPr="00E716E5" w:rsidR="00E716E5">
        <w:t xml:space="preserve">Figure </w:t>
      </w:r>
      <w:r w:rsidRPr="00E716E5" w:rsidR="00E716E5">
        <w:rPr>
          <w:noProof/>
        </w:rPr>
        <w:t>5</w:t>
      </w:r>
      <w:r w:rsidRPr="0038740B" w:rsidR="0038740B">
        <w:rPr>
          <w:lang w:val="en-GB"/>
        </w:rPr>
        <w:fldChar w:fldCharType="end"/>
      </w:r>
      <w:r w:rsidRPr="0038740B" w:rsidR="0038740B">
        <w:rPr>
          <w:lang w:val="en-GB"/>
        </w:rPr>
        <w:t>.</w:t>
      </w:r>
    </w:p>
    <w:p w:rsidRPr="00E716E5" w:rsidR="00BC7BAE" w:rsidP="00E716E5" w:rsidRDefault="00E716E5" w14:paraId="1596310D" w14:textId="54A480E1">
      <w:pPr>
        <w:rPr>
          <w:lang w:val="en-GB"/>
        </w:rPr>
      </w:pPr>
      <w:r w:rsidRPr="00E716E5">
        <w:rPr>
          <w:lang w:val="en-GB"/>
        </w:rPr>
        <w:fldChar w:fldCharType="begin"/>
      </w:r>
      <w:r w:rsidRPr="00E716E5">
        <w:rPr>
          <w:lang w:val="en-GB"/>
        </w:rPr>
        <w:instrText xml:space="preserve"> REF _Ref100694154 \h </w:instrText>
      </w:r>
      <w:r w:rsidRPr="00E716E5">
        <w:rPr>
          <w:lang w:val="en-GB"/>
        </w:rPr>
      </w:r>
      <w:r w:rsidRPr="00E716E5">
        <w:rPr>
          <w:lang w:val="en-GB"/>
        </w:rPr>
        <w:instrText xml:space="preserve"> \* MERGEFORMAT </w:instrText>
      </w:r>
      <w:r w:rsidRPr="00E716E5">
        <w:rPr>
          <w:lang w:val="en-GB"/>
        </w:rPr>
        <w:fldChar w:fldCharType="separate"/>
      </w:r>
      <w:r w:rsidRPr="00E716E5">
        <w:t xml:space="preserve">Figure </w:t>
      </w:r>
      <w:r w:rsidRPr="00E716E5">
        <w:rPr>
          <w:noProof/>
        </w:rPr>
        <w:t>6</w:t>
      </w:r>
      <w:r w:rsidRPr="00E716E5">
        <w:rPr>
          <w:lang w:val="en-GB"/>
        </w:rPr>
        <w:fldChar w:fldCharType="end"/>
      </w:r>
      <w:r w:rsidRPr="00E716E5">
        <w:rPr>
          <w:lang w:val="en-GB"/>
        </w:rPr>
        <w:t xml:space="preserve"> </w:t>
      </w:r>
      <w:r w:rsidRPr="00E716E5" w:rsidR="00BC7BAE">
        <w:rPr>
          <w:lang w:val="en-GB"/>
        </w:rPr>
        <w:t>shows the balconies at the maximum displacement.</w:t>
      </w:r>
    </w:p>
    <w:p w:rsidR="00BC7BAE" w:rsidP="00BC7BAE" w:rsidRDefault="00BC7BAE" w14:paraId="425F0395" w14:textId="28F8503A">
      <w:pPr>
        <w:rPr>
          <w:lang w:val="en-GB"/>
        </w:rPr>
      </w:pPr>
      <w:r w:rsidRPr="00E716E5">
        <w:rPr>
          <w:lang w:val="en-GB"/>
        </w:rPr>
        <w:t xml:space="preserve">After removing the applied load, which enabled the elastic recover of the structure, the test was repeated, according to the procedure schematised in </w:t>
      </w:r>
      <w:r w:rsidRPr="00E716E5">
        <w:rPr>
          <w:lang w:val="en-GB"/>
        </w:rPr>
        <w:fldChar w:fldCharType="begin"/>
      </w:r>
      <w:r w:rsidRPr="00E716E5">
        <w:rPr>
          <w:lang w:val="en-GB"/>
        </w:rPr>
        <w:instrText xml:space="preserve"> REF _Ref100579184 \h </w:instrText>
      </w:r>
      <w:r w:rsidRPr="00E716E5">
        <w:rPr>
          <w:lang w:val="en-GB"/>
        </w:rPr>
      </w:r>
      <w:r w:rsidRPr="00E716E5" w:rsidR="00E716E5">
        <w:rPr>
          <w:lang w:val="en-GB"/>
        </w:rPr>
        <w:instrText xml:space="preserve"> \* MERGEFORMAT </w:instrText>
      </w:r>
      <w:r w:rsidRPr="00E716E5">
        <w:rPr>
          <w:lang w:val="en-GB"/>
        </w:rPr>
        <w:fldChar w:fldCharType="separate"/>
      </w:r>
      <w:r w:rsidRPr="00E716E5" w:rsidR="00E716E5">
        <w:t xml:space="preserve">Figure </w:t>
      </w:r>
      <w:r w:rsidRPr="00E716E5" w:rsidR="00E716E5">
        <w:rPr>
          <w:noProof/>
        </w:rPr>
        <w:t>7</w:t>
      </w:r>
      <w:r w:rsidRPr="00E716E5">
        <w:rPr>
          <w:lang w:val="en-GB"/>
        </w:rPr>
        <w:fldChar w:fldCharType="end"/>
      </w:r>
      <w:r w:rsidRPr="00E716E5">
        <w:rPr>
          <w:lang w:val="en-GB"/>
        </w:rPr>
        <w:t xml:space="preserve">. The results of </w:t>
      </w:r>
      <w:r>
        <w:rPr>
          <w:lang w:val="en-GB"/>
        </w:rPr>
        <w:t xml:space="preserve">the first and second loading run for both structures are </w:t>
      </w:r>
      <w:r w:rsidRPr="00D51458">
        <w:rPr>
          <w:lang w:val="en-GB"/>
        </w:rPr>
        <w:t>reported in</w:t>
      </w:r>
      <w:r>
        <w:rPr>
          <w:lang w:val="en-GB"/>
        </w:rPr>
        <w:t xml:space="preserve"> </w:t>
      </w:r>
      <w:r w:rsidRPr="00BC7BAE">
        <w:rPr>
          <w:lang w:val="en-GB"/>
        </w:rPr>
        <w:fldChar w:fldCharType="begin"/>
      </w:r>
      <w:r w:rsidRPr="00A73EA9">
        <w:rPr>
          <w:lang w:val="en-GB"/>
        </w:rPr>
        <w:instrText xml:space="preserve"> REF _Ref100579203 \h  \* MERGEFORMAT </w:instrText>
      </w:r>
      <w:r w:rsidRPr="00BC7BAE">
        <w:rPr>
          <w:lang w:val="en-GB"/>
        </w:rPr>
      </w:r>
      <w:r w:rsidRPr="00BC7BAE">
        <w:rPr>
          <w:lang w:val="en-GB"/>
        </w:rPr>
        <w:fldChar w:fldCharType="separate"/>
      </w:r>
      <w:r w:rsidRPr="00E716E5" w:rsidR="00E716E5">
        <w:t xml:space="preserve">Figure </w:t>
      </w:r>
      <w:r w:rsidRPr="00E716E5" w:rsidR="00E716E5">
        <w:rPr>
          <w:noProof/>
        </w:rPr>
        <w:t>8</w:t>
      </w:r>
      <w:r w:rsidRPr="00BC7BAE">
        <w:rPr>
          <w:lang w:val="en-GB"/>
        </w:rPr>
        <w:fldChar w:fldCharType="end"/>
      </w:r>
      <w:r>
        <w:rPr>
          <w:lang w:val="en-GB"/>
        </w:rPr>
        <w:t>, which shows a typical strain hardening response.</w:t>
      </w:r>
      <w:bookmarkStart w:name="_GoBack" w:id="5"/>
      <w:bookmarkEnd w:id="5"/>
    </w:p>
    <w:p w:rsidR="00FC5F58" w:rsidP="00FC5F58" w:rsidRDefault="00FC5F58" w14:paraId="35A127CB" w14:textId="77777777">
      <w:pPr>
        <w:rPr>
          <w:lang w:val="en-GB"/>
        </w:rPr>
      </w:pPr>
      <w:r>
        <w:rPr>
          <w:lang w:val="en-GB"/>
        </w:rPr>
        <w:t>As expected, the smaller honeycomb cell size of AHS#1 resulted in a stiffer response than AHS#2, which is confirmed by the measurements of both LVDT. LVDT-</w:t>
      </w:r>
      <w:proofErr w:type="gramStart"/>
      <w:r>
        <w:rPr>
          <w:lang w:val="en-GB"/>
        </w:rPr>
        <w:t>A and</w:t>
      </w:r>
      <w:proofErr w:type="gramEnd"/>
      <w:r>
        <w:rPr>
          <w:lang w:val="en-GB"/>
        </w:rPr>
        <w:t xml:space="preserve"> the actuator displacement sensor yielded almost the same measurement for both panels, proving that no cells crushing occurs on the load line. Both tested overhangs showed a </w:t>
      </w:r>
    </w:p>
    <w:tbl>
      <w:tblPr>
        <w:tblStyle w:val="Grigliatabella"/>
        <w:tblpPr w:leftFromText="141" w:rightFromText="141" w:vertAnchor="text" w:horzAnchor="margin" w:tblpY="39"/>
        <w:tblW w:w="7088"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7088"/>
      </w:tblGrid>
      <w:tr w:rsidR="00FC5F58" w:rsidTr="00FC5F58" w14:paraId="1440EBBE" w14:textId="77777777">
        <w:tc>
          <w:tcPr>
            <w:tcW w:w="7088" w:type="dxa"/>
          </w:tcPr>
          <w:p w:rsidR="00FC5F58" w:rsidP="00FC5F58" w:rsidRDefault="00FC5F58" w14:paraId="02806F77" w14:textId="77777777">
            <w:pPr>
              <w:ind w:firstLine="0"/>
              <w:jc w:val="center"/>
              <w:rPr>
                <w:lang w:val="en-GB"/>
              </w:rPr>
            </w:pPr>
            <w:r>
              <w:rPr>
                <w:noProof/>
                <w:lang w:val="it-IT" w:eastAsia="it-IT"/>
              </w:rPr>
              <w:lastRenderedPageBreak/>
              <w:drawing>
                <wp:inline distT="0" distB="0" distL="0" distR="0" wp14:anchorId="3E8371D3" wp14:editId="53B285DD">
                  <wp:extent cx="2514600" cy="1881723"/>
                  <wp:effectExtent l="0" t="0" r="0" b="4445"/>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35926" cy="1897682"/>
                          </a:xfrm>
                          <a:prstGeom prst="rect">
                            <a:avLst/>
                          </a:prstGeom>
                          <a:noFill/>
                        </pic:spPr>
                      </pic:pic>
                    </a:graphicData>
                  </a:graphic>
                </wp:inline>
              </w:drawing>
            </w:r>
          </w:p>
        </w:tc>
      </w:tr>
      <w:tr w:rsidR="00FC5F58" w:rsidTr="00FC5F58" w14:paraId="42DD4A98" w14:textId="77777777">
        <w:tc>
          <w:tcPr>
            <w:tcW w:w="7088" w:type="dxa"/>
          </w:tcPr>
          <w:p w:rsidR="00FC5F58" w:rsidP="00FC5F58" w:rsidRDefault="00FC5F58" w14:paraId="19A0A4C1" w14:textId="77777777">
            <w:pPr>
              <w:keepNext/>
              <w:ind w:firstLine="0"/>
              <w:jc w:val="center"/>
              <w:rPr>
                <w:lang w:val="en-GB"/>
              </w:rPr>
            </w:pPr>
            <w:r>
              <w:rPr>
                <w:noProof/>
                <w:lang w:val="it-IT" w:eastAsia="it-IT"/>
              </w:rPr>
              <w:drawing>
                <wp:inline distT="0" distB="0" distL="0" distR="0" wp14:anchorId="02C663CD" wp14:editId="0FEF7443">
                  <wp:extent cx="2659380" cy="1976197"/>
                  <wp:effectExtent l="0" t="0" r="0" b="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73839" cy="1986941"/>
                          </a:xfrm>
                          <a:prstGeom prst="rect">
                            <a:avLst/>
                          </a:prstGeom>
                          <a:noFill/>
                        </pic:spPr>
                      </pic:pic>
                    </a:graphicData>
                  </a:graphic>
                </wp:inline>
              </w:drawing>
            </w:r>
          </w:p>
        </w:tc>
      </w:tr>
    </w:tbl>
    <w:p w:rsidR="00FC5F58" w:rsidP="00FC5F58" w:rsidRDefault="00FC5F58" w14:paraId="77B20993" w14:textId="07F04DE8">
      <w:pPr>
        <w:pStyle w:val="Didascalia"/>
        <w:jc w:val="center"/>
        <w:rPr>
          <w:lang w:val="en-GB"/>
        </w:rPr>
      </w:pPr>
      <w:bookmarkStart w:name="_Ref100316506" w:id="6"/>
      <w:r w:rsidRPr="0038740B">
        <w:rPr>
          <w:b/>
        </w:rPr>
        <w:t xml:space="preserve">Figure </w:t>
      </w:r>
      <w:r w:rsidRPr="0038740B">
        <w:rPr>
          <w:b/>
        </w:rPr>
        <w:fldChar w:fldCharType="begin"/>
      </w:r>
      <w:r w:rsidRPr="0038740B">
        <w:rPr>
          <w:b/>
        </w:rPr>
        <w:instrText xml:space="preserve"> SEQ Figure \* ARABIC </w:instrText>
      </w:r>
      <w:r w:rsidRPr="0038740B">
        <w:rPr>
          <w:b/>
        </w:rPr>
        <w:fldChar w:fldCharType="separate"/>
      </w:r>
      <w:r w:rsidR="00E716E5">
        <w:rPr>
          <w:b/>
          <w:noProof/>
        </w:rPr>
        <w:t>5</w:t>
      </w:r>
      <w:r w:rsidRPr="0038740B">
        <w:rPr>
          <w:b/>
        </w:rPr>
        <w:fldChar w:fldCharType="end"/>
      </w:r>
      <w:bookmarkEnd w:id="6"/>
      <w:r w:rsidRPr="0038740B">
        <w:rPr>
          <w:b/>
        </w:rPr>
        <w:t>.</w:t>
      </w:r>
      <w:r>
        <w:t xml:space="preserve"> Load-displacement curves for both AHS tested panels.</w:t>
      </w:r>
    </w:p>
    <w:p w:rsidR="00FC5F58" w:rsidP="00FC5F58" w:rsidRDefault="00FC5F58" w14:paraId="15DFFB80" w14:textId="1896EC19"/>
    <w:tbl>
      <w:tblPr>
        <w:tblStyle w:val="Grigliatabella"/>
        <w:tblpPr w:leftFromText="141" w:rightFromText="141" w:vertAnchor="text" w:horzAnchor="margin" w:tblpY="88"/>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3429"/>
        <w:gridCol w:w="3602"/>
      </w:tblGrid>
      <w:tr w:rsidR="00FC5F58" w:rsidTr="00FC5F58" w14:paraId="0C46B2A0" w14:textId="77777777">
        <w:tc>
          <w:tcPr>
            <w:tcW w:w="3429" w:type="dxa"/>
          </w:tcPr>
          <w:p w:rsidR="00FC5F58" w:rsidP="00FC5F58" w:rsidRDefault="00FC5F58" w14:paraId="096C91DE" w14:textId="77777777">
            <w:pPr>
              <w:ind w:firstLine="0"/>
              <w:rPr>
                <w:lang w:val="en-GB"/>
              </w:rPr>
            </w:pPr>
            <w:r>
              <w:rPr>
                <w:noProof/>
                <w:lang w:val="it-IT" w:eastAsia="it-IT"/>
              </w:rPr>
              <w:drawing>
                <wp:inline distT="0" distB="0" distL="0" distR="0" wp14:anchorId="0F3F579B" wp14:editId="0C10809F">
                  <wp:extent cx="2114550" cy="1119244"/>
                  <wp:effectExtent l="0" t="0" r="0" b="5080"/>
                  <wp:docPr id="25" name="Im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48254" cy="1137084"/>
                          </a:xfrm>
                          <a:prstGeom prst="rect">
                            <a:avLst/>
                          </a:prstGeom>
                          <a:noFill/>
                        </pic:spPr>
                      </pic:pic>
                    </a:graphicData>
                  </a:graphic>
                </wp:inline>
              </w:drawing>
            </w:r>
          </w:p>
        </w:tc>
        <w:tc>
          <w:tcPr>
            <w:tcW w:w="3602" w:type="dxa"/>
          </w:tcPr>
          <w:p w:rsidR="00FC5F58" w:rsidP="00FC5F58" w:rsidRDefault="00FC5F58" w14:paraId="2524B529" w14:textId="77777777">
            <w:pPr>
              <w:keepNext/>
              <w:ind w:firstLine="0"/>
              <w:rPr>
                <w:lang w:val="en-GB"/>
              </w:rPr>
            </w:pPr>
            <w:r>
              <w:rPr>
                <w:noProof/>
                <w:lang w:val="it-IT" w:eastAsia="it-IT"/>
              </w:rPr>
              <w:drawing>
                <wp:inline distT="0" distB="0" distL="0" distR="0" wp14:anchorId="702306C9" wp14:editId="0AC8419D">
                  <wp:extent cx="2225675" cy="1105577"/>
                  <wp:effectExtent l="0" t="0" r="3175" b="0"/>
                  <wp:docPr id="26"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51416" cy="1118363"/>
                          </a:xfrm>
                          <a:prstGeom prst="rect">
                            <a:avLst/>
                          </a:prstGeom>
                          <a:noFill/>
                        </pic:spPr>
                      </pic:pic>
                    </a:graphicData>
                  </a:graphic>
                </wp:inline>
              </w:drawing>
            </w:r>
          </w:p>
        </w:tc>
      </w:tr>
    </w:tbl>
    <w:p w:rsidR="00FC5F58" w:rsidP="00FC5F58" w:rsidRDefault="00FC5F58" w14:paraId="181CFB9E" w14:textId="72C79869">
      <w:pPr>
        <w:pStyle w:val="Didascalia"/>
        <w:jc w:val="center"/>
      </w:pPr>
      <w:bookmarkStart w:name="_Ref100694154" w:id="7"/>
      <w:r w:rsidRPr="00D51458">
        <w:rPr>
          <w:b/>
        </w:rPr>
        <w:t xml:space="preserve">Figure </w:t>
      </w:r>
      <w:r w:rsidRPr="00D51458">
        <w:rPr>
          <w:b/>
        </w:rPr>
        <w:fldChar w:fldCharType="begin"/>
      </w:r>
      <w:r w:rsidRPr="00D51458">
        <w:rPr>
          <w:b/>
        </w:rPr>
        <w:instrText xml:space="preserve"> SEQ Figure \* ARABIC </w:instrText>
      </w:r>
      <w:r w:rsidRPr="00D51458">
        <w:rPr>
          <w:b/>
        </w:rPr>
        <w:fldChar w:fldCharType="separate"/>
      </w:r>
      <w:r w:rsidR="00E716E5">
        <w:rPr>
          <w:b/>
          <w:noProof/>
        </w:rPr>
        <w:t>6</w:t>
      </w:r>
      <w:r w:rsidRPr="00D51458">
        <w:rPr>
          <w:b/>
        </w:rPr>
        <w:fldChar w:fldCharType="end"/>
      </w:r>
      <w:bookmarkEnd w:id="7"/>
      <w:r w:rsidRPr="00D51458">
        <w:rPr>
          <w:b/>
        </w:rPr>
        <w:t>.</w:t>
      </w:r>
      <w:r>
        <w:t xml:space="preserve"> Balcony overhangs at the maximum displacement obtained during the first run of the tests.</w:t>
      </w:r>
    </w:p>
    <w:p w:rsidR="00FC5F58" w:rsidP="00FC5F58" w:rsidRDefault="00FC5F58" w14:paraId="70EC2E1B" w14:textId="77777777"/>
    <w:p w:rsidRPr="00174610" w:rsidR="00FC5F58" w:rsidP="00FC5F58" w:rsidRDefault="00FC5F58" w14:paraId="7EA490CB" w14:textId="4D0A0EA0">
      <w:pPr>
        <w:ind w:firstLine="0"/>
      </w:pPr>
      <w:proofErr w:type="gramStart"/>
      <w:r>
        <w:rPr>
          <w:lang w:val="en-GB"/>
        </w:rPr>
        <w:t>plastic</w:t>
      </w:r>
      <w:proofErr w:type="gramEnd"/>
      <w:r>
        <w:rPr>
          <w:lang w:val="en-GB"/>
        </w:rPr>
        <w:t xml:space="preserve"> deformation mode, which enabled the panel to bend under the applied load without any significant sign of failure in the core or in the skins. The integrity of the bimetallic joints was not affected during the tests: this confirms the reliability of such solution and the possibility to integrate them in complex structures to enhance the use of lightweight alloys.</w:t>
      </w:r>
    </w:p>
    <w:p w:rsidR="00FC5F58" w:rsidP="00FC5F58" w:rsidRDefault="00FC5F58" w14:paraId="5238EF15" w14:textId="77777777">
      <w:pPr>
        <w:rPr>
          <w:lang w:val="en-GB"/>
        </w:rPr>
      </w:pPr>
      <w:r>
        <w:rPr>
          <w:lang w:val="en-GB"/>
        </w:rPr>
        <w:t>Despite the difference in AHS panels stiffness, the load registered during both tests were relevant and confirm the potentialities of integrating similar lightweight solutions in prefabricated balcony modules and in other structural components in shipbuilding.</w:t>
      </w:r>
    </w:p>
    <w:p w:rsidR="00D64720" w:rsidP="00425CD6" w:rsidRDefault="00D64720" w14:paraId="7D615BAD" w14:textId="1B06F16A">
      <w:pPr>
        <w:rPr>
          <w:lang w:val="en-GB"/>
        </w:rPr>
      </w:pPr>
    </w:p>
    <w:p w:rsidRPr="00AC27A2" w:rsidR="00BC7BAE" w:rsidP="0002391B" w:rsidRDefault="00BC7BAE" w14:paraId="36A8FB42" w14:textId="0A98BAF6">
      <w:pPr>
        <w:pStyle w:val="Didascalia"/>
        <w:jc w:val="center"/>
        <w:rPr>
          <w:noProof/>
          <w:sz w:val="20"/>
        </w:rPr>
      </w:pPr>
      <w:bookmarkStart w:name="_Ref100579184" w:id="8"/>
      <w:r w:rsidRPr="00FC5F58">
        <w:rPr>
          <w:b/>
          <w:noProof/>
          <w:lang w:val="it-IT" w:eastAsia="it-IT"/>
        </w:rPr>
        <w:lastRenderedPageBreak/>
        <w:drawing>
          <wp:anchor distT="0" distB="0" distL="114300" distR="114300" simplePos="0" relativeHeight="251670528" behindDoc="0" locked="0" layoutInCell="1" allowOverlap="1" wp14:editId="73770658" wp14:anchorId="5EBEE800">
            <wp:simplePos x="0" y="0"/>
            <wp:positionH relativeFrom="column">
              <wp:posOffset>67310</wp:posOffset>
            </wp:positionH>
            <wp:positionV relativeFrom="paragraph">
              <wp:posOffset>635</wp:posOffset>
            </wp:positionV>
            <wp:extent cx="4503420" cy="1727200"/>
            <wp:effectExtent l="0" t="0" r="0" b="6350"/>
            <wp:wrapTopAndBottom/>
            <wp:docPr id="24"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extLst>
                        <a:ext uri="{BEBA8EAE-BF5A-486C-A8C5-ECC9F3942E4B}">
                          <a14:imgProps xmlns:a14="http://schemas.microsoft.com/office/drawing/2010/main">
                            <a14:imgLayer r:embed="rId20">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4503420" cy="1727200"/>
                    </a:xfrm>
                    <a:prstGeom prst="rect">
                      <a:avLst/>
                    </a:prstGeom>
                    <a:noFill/>
                  </pic:spPr>
                </pic:pic>
              </a:graphicData>
            </a:graphic>
            <wp14:sizeRelH relativeFrom="margin">
              <wp14:pctWidth>0</wp14:pctWidth>
            </wp14:sizeRelH>
            <wp14:sizeRelV relativeFrom="margin">
              <wp14:pctHeight>0</wp14:pctHeight>
            </wp14:sizeRelV>
          </wp:anchor>
        </w:drawing>
      </w:r>
      <w:r w:rsidRPr="00FC5F58">
        <w:rPr>
          <w:b/>
        </w:rPr>
        <w:t xml:space="preserve">Figure </w:t>
      </w:r>
      <w:r w:rsidRPr="00FC5F58">
        <w:rPr>
          <w:b/>
        </w:rPr>
        <w:fldChar w:fldCharType="begin"/>
      </w:r>
      <w:r w:rsidRPr="00FC5F58">
        <w:rPr>
          <w:b/>
        </w:rPr>
        <w:instrText xml:space="preserve"> SEQ Figure \* ARABIC </w:instrText>
      </w:r>
      <w:r w:rsidRPr="00FC5F58">
        <w:rPr>
          <w:b/>
        </w:rPr>
        <w:fldChar w:fldCharType="separate"/>
      </w:r>
      <w:r w:rsidR="00E716E5">
        <w:rPr>
          <w:b/>
          <w:noProof/>
        </w:rPr>
        <w:t>7</w:t>
      </w:r>
      <w:r w:rsidRPr="00FC5F58">
        <w:rPr>
          <w:b/>
        </w:rPr>
        <w:fldChar w:fldCharType="end"/>
      </w:r>
      <w:bookmarkEnd w:id="8"/>
      <w:r w:rsidRPr="00FC5F58">
        <w:rPr>
          <w:b/>
        </w:rPr>
        <w:t>.</w:t>
      </w:r>
      <w:r>
        <w:t xml:space="preserve"> Load-unload sequence applied for the tested structures.</w:t>
      </w:r>
    </w:p>
    <w:p w:rsidR="00BC7BAE" w:rsidP="0002391B" w:rsidRDefault="00BC7BAE" w14:paraId="1AE15A12" w14:textId="610BF6FF">
      <w:pPr>
        <w:ind w:firstLine="0"/>
        <w:rPr>
          <w:lang w:val="en-GB"/>
        </w:rPr>
      </w:pPr>
    </w:p>
    <w:tbl>
      <w:tblPr>
        <w:tblStyle w:val="Grigliatabella"/>
        <w:tblpPr w:leftFromText="141" w:rightFromText="141" w:vertAnchor="text" w:horzAnchor="margin" w:tblpY="36"/>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3440"/>
        <w:gridCol w:w="3591"/>
      </w:tblGrid>
      <w:tr w:rsidR="0002391B" w:rsidTr="004442DA" w14:paraId="7525B663" w14:textId="77777777">
        <w:tc>
          <w:tcPr>
            <w:tcW w:w="3618" w:type="dxa"/>
          </w:tcPr>
          <w:p w:rsidR="004442DA" w:rsidP="004442DA" w:rsidRDefault="00E4693D" w14:paraId="03B5952D" w14:textId="108DDB19">
            <w:pPr>
              <w:ind w:firstLine="0"/>
              <w:rPr>
                <w:lang w:val="en-GB"/>
              </w:rPr>
            </w:pPr>
            <w:r>
              <w:rPr>
                <w:noProof/>
                <w:lang w:val="it-IT" w:eastAsia="it-IT"/>
              </w:rPr>
              <w:drawing>
                <wp:inline distT="0" distB="0" distL="0" distR="0" wp14:anchorId="786B06B7" wp14:editId="538DBA96">
                  <wp:extent cx="2127885" cy="1537335"/>
                  <wp:effectExtent l="0" t="0" r="5715" b="5715"/>
                  <wp:docPr id="22"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r="-12"/>
                          <a:stretch/>
                        </pic:blipFill>
                        <pic:spPr bwMode="auto">
                          <a:xfrm>
                            <a:off x="0" y="0"/>
                            <a:ext cx="2134022" cy="154176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413" w:type="dxa"/>
          </w:tcPr>
          <w:p w:rsidR="004442DA" w:rsidP="004442DA" w:rsidRDefault="00E4693D" w14:paraId="68288290" w14:textId="2D1B1916">
            <w:pPr>
              <w:keepNext/>
              <w:ind w:firstLine="0"/>
              <w:rPr>
                <w:lang w:val="en-GB"/>
              </w:rPr>
            </w:pPr>
            <w:r>
              <w:rPr>
                <w:noProof/>
                <w:lang w:val="it-IT" w:eastAsia="it-IT"/>
              </w:rPr>
              <w:drawing>
                <wp:inline distT="0" distB="0" distL="0" distR="0" wp14:anchorId="6D84B301" wp14:editId="460DC621">
                  <wp:extent cx="2233295" cy="1661061"/>
                  <wp:effectExtent l="0" t="0" r="0" b="0"/>
                  <wp:docPr id="21" name="Im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40765" cy="1666617"/>
                          </a:xfrm>
                          <a:prstGeom prst="rect">
                            <a:avLst/>
                          </a:prstGeom>
                          <a:noFill/>
                        </pic:spPr>
                      </pic:pic>
                    </a:graphicData>
                  </a:graphic>
                </wp:inline>
              </w:drawing>
            </w:r>
          </w:p>
        </w:tc>
      </w:tr>
    </w:tbl>
    <w:p w:rsidR="004442DA" w:rsidP="004442DA" w:rsidRDefault="004442DA" w14:paraId="60C61DD7" w14:textId="1600030C">
      <w:pPr>
        <w:pStyle w:val="Didascalia"/>
        <w:jc w:val="center"/>
        <w:rPr>
          <w:lang w:val="en-GB"/>
        </w:rPr>
      </w:pPr>
      <w:bookmarkStart w:name="_Ref100579203" w:id="9"/>
      <w:r w:rsidRPr="00F90CB7">
        <w:rPr>
          <w:b/>
        </w:rPr>
        <w:t xml:space="preserve">Figure </w:t>
      </w:r>
      <w:r w:rsidRPr="00F90CB7">
        <w:rPr>
          <w:b/>
        </w:rPr>
        <w:fldChar w:fldCharType="begin"/>
      </w:r>
      <w:r w:rsidRPr="00F90CB7">
        <w:rPr>
          <w:b/>
        </w:rPr>
        <w:instrText xml:space="preserve"> SEQ Figure \* ARABIC </w:instrText>
      </w:r>
      <w:r w:rsidRPr="00F90CB7">
        <w:rPr>
          <w:b/>
        </w:rPr>
        <w:fldChar w:fldCharType="separate"/>
      </w:r>
      <w:r w:rsidR="00E716E5">
        <w:rPr>
          <w:b/>
          <w:noProof/>
        </w:rPr>
        <w:t>8</w:t>
      </w:r>
      <w:r w:rsidRPr="00F90CB7">
        <w:rPr>
          <w:b/>
        </w:rPr>
        <w:fldChar w:fldCharType="end"/>
      </w:r>
      <w:bookmarkEnd w:id="9"/>
      <w:r w:rsidRPr="00F90CB7">
        <w:rPr>
          <w:b/>
        </w:rPr>
        <w:t>.</w:t>
      </w:r>
      <w:r>
        <w:t xml:space="preserve"> Load-displacement curves for first and second testing run.</w:t>
      </w:r>
    </w:p>
    <w:p w:rsidR="00D51458" w:rsidP="0002391B" w:rsidRDefault="00D51458" w14:paraId="42D79F3E" w14:textId="02A83B0B">
      <w:pPr>
        <w:ind w:firstLine="0"/>
      </w:pPr>
    </w:p>
    <w:p w:rsidR="00C55FDA" w:rsidP="00425CD6" w:rsidRDefault="00C55FDA" w14:paraId="5548DDA4" w14:textId="086A4778">
      <w:pPr>
        <w:rPr>
          <w:lang w:val="en-GB"/>
        </w:rPr>
      </w:pPr>
      <w:r>
        <w:rPr>
          <w:lang w:val="en-GB"/>
        </w:rPr>
        <w:t>The full-scale experimental investigation allowed the identification of the whole structure response, which is a crucial point in the design and building of comple</w:t>
      </w:r>
      <w:r w:rsidR="00413BE8">
        <w:rPr>
          <w:lang w:val="en-GB"/>
        </w:rPr>
        <w:t>x structures where the interaction of different components is not easily predictable.</w:t>
      </w:r>
    </w:p>
    <w:p w:rsidR="00D51458" w:rsidP="002D11B1" w:rsidRDefault="002D11B1" w14:paraId="70AE0696" w14:textId="550DB1F1">
      <w:pPr>
        <w:pStyle w:val="Titolo1"/>
        <w:rPr>
          <w:lang w:val="en-GB"/>
        </w:rPr>
      </w:pPr>
      <w:r>
        <w:rPr>
          <w:lang w:val="en-GB"/>
        </w:rPr>
        <w:t>Conclusions</w:t>
      </w:r>
    </w:p>
    <w:p w:rsidR="002D11B1" w:rsidP="002D11B1" w:rsidRDefault="00BF6514" w14:paraId="09704E0F" w14:textId="220F7200">
      <w:pPr>
        <w:pStyle w:val="NoindentNormal"/>
        <w:rPr>
          <w:lang w:val="en-GB"/>
        </w:rPr>
      </w:pPr>
      <w:r>
        <w:rPr>
          <w:lang w:val="en-GB"/>
        </w:rPr>
        <w:t>A full-scale experimental investigation was performed on a ship balcony overhang, including an aluminium honeycomb sandwich and bimetallic joints, with the aim of evaluating the potentialities and functionality of alternative and lightweight solutions in shipbuilding. The same supporting frame was employed to test two different AHS. The bimetallic joints provided reliable connections between the aluminium and steel parts and did not show any sign of failure. The AHS panels experienced plastic bending deformation, keeping the integrity of both core and skins. The panel with the smaller cell size yielded a stiffer response, which is more desirable for overhang ship parts</w:t>
      </w:r>
      <w:r w:rsidR="00A07E3C">
        <w:rPr>
          <w:lang w:val="en-GB"/>
        </w:rPr>
        <w:t>, without significantly increasing the mass (0.8 kg of difference)</w:t>
      </w:r>
      <w:r>
        <w:rPr>
          <w:lang w:val="en-GB"/>
        </w:rPr>
        <w:t xml:space="preserve">. However, both </w:t>
      </w:r>
      <w:r w:rsidR="00910DD1">
        <w:rPr>
          <w:lang w:val="en-GB"/>
        </w:rPr>
        <w:t>alternative</w:t>
      </w:r>
      <w:r>
        <w:rPr>
          <w:lang w:val="en-GB"/>
        </w:rPr>
        <w:t>s were cap</w:t>
      </w:r>
      <w:r w:rsidR="00910DD1">
        <w:rPr>
          <w:lang w:val="en-GB"/>
        </w:rPr>
        <w:t>able to withstand demanding loading conditions, suggesting that similar</w:t>
      </w:r>
      <w:r w:rsidR="00F13FF9">
        <w:rPr>
          <w:lang w:val="en-GB"/>
        </w:rPr>
        <w:t xml:space="preserve"> </w:t>
      </w:r>
      <w:r w:rsidR="00910DD1">
        <w:rPr>
          <w:lang w:val="en-GB"/>
        </w:rPr>
        <w:t>solutions have the potentialities to be employed in shipbuilding.</w:t>
      </w:r>
      <w:r w:rsidR="00BC7BAE">
        <w:rPr>
          <w:lang w:val="en-GB"/>
        </w:rPr>
        <w:t xml:space="preserve"> The introduction of bimetallic joints enabled the use of aluminium supporting plates and brackets, which have the potential to further reduce the weight of similar structures, in comparison to traditional </w:t>
      </w:r>
      <w:r w:rsidR="00BC7BAE">
        <w:rPr>
          <w:lang w:val="en-GB"/>
        </w:rPr>
        <w:lastRenderedPageBreak/>
        <w:t>solutions entirely based on steel.</w:t>
      </w:r>
      <w:r w:rsidR="00FC5F58">
        <w:rPr>
          <w:lang w:val="en-GB"/>
        </w:rPr>
        <w:t xml:space="preserve"> </w:t>
      </w:r>
      <w:r w:rsidR="00910DD1">
        <w:rPr>
          <w:lang w:val="en-GB"/>
        </w:rPr>
        <w:t>The information obtained from full-scale experimental tests are of primary importance since they can be used as input and as a comparative source for complex design process and numerical analysis.</w:t>
      </w:r>
    </w:p>
    <w:p w:rsidRPr="007927BA" w:rsidR="00246FD3" w:rsidP="0002391B" w:rsidRDefault="00246FD3" w14:paraId="7E89E09B" w14:textId="77777777">
      <w:pPr>
        <w:pStyle w:val="Titolo1"/>
      </w:pPr>
      <w:r w:rsidRPr="007927BA">
        <w:t>Acknowledgements</w:t>
      </w:r>
    </w:p>
    <w:p w:rsidR="00BC7BAE" w:rsidP="0002391B" w:rsidRDefault="00246FD3" w14:paraId="0F6EBB5F" w14:textId="77777777">
      <w:r w:rsidRPr="007927BA">
        <w:t xml:space="preserve">The experiments reported in this scientific activity were conducted with the support of Research Project “THALASSA”, funded by the PON (National Operative </w:t>
      </w:r>
      <w:proofErr w:type="spellStart"/>
      <w:r w:rsidRPr="007927BA">
        <w:t>Programme</w:t>
      </w:r>
      <w:proofErr w:type="spellEnd"/>
      <w:r w:rsidRPr="007927BA">
        <w:t>) 2014-2020.</w:t>
      </w:r>
    </w:p>
    <w:p w:rsidR="00B05D6E" w:rsidRDefault="00B05D6E" w14:paraId="62B0F9B6" w14:textId="4595384D">
      <w:pPr>
        <w:pStyle w:val="HeadingUnn1"/>
      </w:pPr>
      <w:r>
        <w:t>References</w:t>
      </w:r>
    </w:p>
    <w:p w:rsidRPr="00943BC5" w:rsidR="00943BC5" w:rsidP="00943BC5" w:rsidRDefault="00BD4EE3" w14:paraId="5A575646" w14:textId="53E901CE">
      <w:pPr>
        <w:widowControl w:val="0"/>
        <w:autoSpaceDE w:val="0"/>
        <w:autoSpaceDN w:val="0"/>
        <w:adjustRightInd w:val="0"/>
        <w:ind w:left="426" w:hanging="426"/>
        <w:rPr>
          <w:noProof/>
          <w:sz w:val="16"/>
        </w:rPr>
      </w:pPr>
      <w:r>
        <w:fldChar w:fldCharType="begin" w:fldLock="1"/>
      </w:r>
      <w:r>
        <w:instrText xml:space="preserve">ADDIN Mendeley Bibliography CSL_BIBLIOGRAPHY </w:instrText>
      </w:r>
      <w:r>
        <w:fldChar w:fldCharType="separate"/>
      </w:r>
      <w:r w:rsidRPr="00943BC5" w:rsidR="00943BC5">
        <w:rPr>
          <w:noProof/>
          <w:sz w:val="16"/>
        </w:rPr>
        <w:t>[1]</w:t>
      </w:r>
      <w:r w:rsidRPr="00943BC5" w:rsidR="00943BC5">
        <w:rPr>
          <w:noProof/>
          <w:sz w:val="16"/>
        </w:rPr>
        <w:tab/>
        <w:t xml:space="preserve">T. Tuswan, K. Abdullah, A. Zubaydi, and A. Budipriyanto, “Finite-element analysis for structural strength assessment of marine sandwich material on ship side-shell structure,” </w:t>
      </w:r>
      <w:r w:rsidRPr="00943BC5" w:rsidR="00943BC5">
        <w:rPr>
          <w:i/>
          <w:iCs/>
          <w:noProof/>
          <w:sz w:val="16"/>
        </w:rPr>
        <w:t>Mater. Today Proc.</w:t>
      </w:r>
      <w:r w:rsidRPr="00943BC5" w:rsidR="00943BC5">
        <w:rPr>
          <w:noProof/>
          <w:sz w:val="16"/>
        </w:rPr>
        <w:t>, vol. 13, pp. 109–114, 2019.</w:t>
      </w:r>
    </w:p>
    <w:p w:rsidRPr="00943BC5" w:rsidR="00943BC5" w:rsidP="00943BC5" w:rsidRDefault="00943BC5" w14:paraId="63959AA9" w14:textId="77777777">
      <w:pPr>
        <w:widowControl w:val="0"/>
        <w:autoSpaceDE w:val="0"/>
        <w:autoSpaceDN w:val="0"/>
        <w:adjustRightInd w:val="0"/>
        <w:ind w:left="426" w:hanging="426"/>
        <w:rPr>
          <w:noProof/>
          <w:sz w:val="16"/>
        </w:rPr>
      </w:pPr>
      <w:r w:rsidRPr="00943BC5">
        <w:rPr>
          <w:noProof/>
          <w:sz w:val="16"/>
        </w:rPr>
        <w:t>[2]</w:t>
      </w:r>
      <w:r w:rsidRPr="00943BC5">
        <w:rPr>
          <w:noProof/>
          <w:sz w:val="16"/>
        </w:rPr>
        <w:tab/>
        <w:t xml:space="preserve">M. Önal, G. Neşer, and K. T. Gürsel, “Environmental impacts of steel ship hulls building and recycling by life cycle assessment ( LCA ),” </w:t>
      </w:r>
      <w:r w:rsidRPr="00943BC5">
        <w:rPr>
          <w:i/>
          <w:iCs/>
          <w:noProof/>
          <w:sz w:val="16"/>
        </w:rPr>
        <w:t>Ships Offshore Struct.</w:t>
      </w:r>
      <w:r w:rsidRPr="00943BC5">
        <w:rPr>
          <w:noProof/>
          <w:sz w:val="16"/>
        </w:rPr>
        <w:t>, vol. 0, no. 0, pp. 1–6, 2020.</w:t>
      </w:r>
    </w:p>
    <w:p w:rsidRPr="00943BC5" w:rsidR="00943BC5" w:rsidP="00943BC5" w:rsidRDefault="00943BC5" w14:paraId="7D5B406C" w14:textId="77777777">
      <w:pPr>
        <w:widowControl w:val="0"/>
        <w:autoSpaceDE w:val="0"/>
        <w:autoSpaceDN w:val="0"/>
        <w:adjustRightInd w:val="0"/>
        <w:ind w:left="426" w:hanging="426"/>
        <w:rPr>
          <w:noProof/>
          <w:sz w:val="16"/>
        </w:rPr>
      </w:pPr>
      <w:r w:rsidRPr="00943BC5">
        <w:rPr>
          <w:noProof/>
          <w:sz w:val="16"/>
        </w:rPr>
        <w:t>[3]</w:t>
      </w:r>
      <w:r w:rsidRPr="00943BC5">
        <w:rPr>
          <w:noProof/>
          <w:sz w:val="16"/>
        </w:rPr>
        <w:tab/>
        <w:t xml:space="preserve">G. Palomba, G. Epasto, and V. Crupi, “Lightweight sandwich structures for marine applications: a review,” </w:t>
      </w:r>
      <w:r w:rsidRPr="00943BC5">
        <w:rPr>
          <w:i/>
          <w:iCs/>
          <w:noProof/>
          <w:sz w:val="16"/>
        </w:rPr>
        <w:t>Mech. Adv. Mater. Struct.</w:t>
      </w:r>
      <w:r w:rsidRPr="00943BC5">
        <w:rPr>
          <w:noProof/>
          <w:sz w:val="16"/>
        </w:rPr>
        <w:t>, vol. 0, no. 0, pp. 1–26, 2021.</w:t>
      </w:r>
    </w:p>
    <w:p w:rsidRPr="00943BC5" w:rsidR="00943BC5" w:rsidP="00943BC5" w:rsidRDefault="00943BC5" w14:paraId="30C3792E" w14:textId="77777777">
      <w:pPr>
        <w:widowControl w:val="0"/>
        <w:autoSpaceDE w:val="0"/>
        <w:autoSpaceDN w:val="0"/>
        <w:adjustRightInd w:val="0"/>
        <w:ind w:left="426" w:hanging="426"/>
        <w:rPr>
          <w:noProof/>
          <w:sz w:val="16"/>
        </w:rPr>
      </w:pPr>
      <w:r w:rsidRPr="00943BC5">
        <w:rPr>
          <w:noProof/>
          <w:sz w:val="16"/>
        </w:rPr>
        <w:t>[4]</w:t>
      </w:r>
      <w:r w:rsidRPr="00943BC5">
        <w:rPr>
          <w:noProof/>
          <w:sz w:val="16"/>
        </w:rPr>
        <w:tab/>
        <w:t xml:space="preserve">J. Kortenoeven, B. Boon, and A. de Bruijn, “Application of Sandwich Panels in Design and Building of Dredging Ships,” </w:t>
      </w:r>
      <w:r w:rsidRPr="00943BC5">
        <w:rPr>
          <w:i/>
          <w:iCs/>
          <w:noProof/>
          <w:sz w:val="16"/>
        </w:rPr>
        <w:t>J. Sh. Prod.</w:t>
      </w:r>
      <w:r w:rsidRPr="00943BC5">
        <w:rPr>
          <w:noProof/>
          <w:sz w:val="16"/>
        </w:rPr>
        <w:t>, vol. 3, no. 24, pp. 125–134, 2008.</w:t>
      </w:r>
    </w:p>
    <w:p w:rsidRPr="00943BC5" w:rsidR="00943BC5" w:rsidP="00943BC5" w:rsidRDefault="00943BC5" w14:paraId="560C9C9F" w14:textId="77777777">
      <w:pPr>
        <w:widowControl w:val="0"/>
        <w:autoSpaceDE w:val="0"/>
        <w:autoSpaceDN w:val="0"/>
        <w:adjustRightInd w:val="0"/>
        <w:ind w:left="426" w:hanging="426"/>
        <w:rPr>
          <w:noProof/>
          <w:sz w:val="16"/>
        </w:rPr>
      </w:pPr>
      <w:r w:rsidRPr="00943BC5">
        <w:rPr>
          <w:noProof/>
          <w:sz w:val="16"/>
        </w:rPr>
        <w:t>[5]</w:t>
      </w:r>
      <w:r w:rsidRPr="00943BC5">
        <w:rPr>
          <w:noProof/>
          <w:sz w:val="16"/>
        </w:rPr>
        <w:tab/>
        <w:t xml:space="preserve">P. Kujala and A. Klanac, “Steel sandwich panels in marine applications,” </w:t>
      </w:r>
      <w:r w:rsidRPr="00943BC5">
        <w:rPr>
          <w:i/>
          <w:iCs/>
          <w:noProof/>
          <w:sz w:val="16"/>
        </w:rPr>
        <w:t>Brodogradnja</w:t>
      </w:r>
      <w:r w:rsidRPr="00943BC5">
        <w:rPr>
          <w:noProof/>
          <w:sz w:val="16"/>
        </w:rPr>
        <w:t>, vol. 56, no. 4, pp. 305–314, 2005.</w:t>
      </w:r>
    </w:p>
    <w:p w:rsidRPr="00943BC5" w:rsidR="00943BC5" w:rsidP="00943BC5" w:rsidRDefault="00943BC5" w14:paraId="3CE16178" w14:textId="77777777">
      <w:pPr>
        <w:widowControl w:val="0"/>
        <w:autoSpaceDE w:val="0"/>
        <w:autoSpaceDN w:val="0"/>
        <w:adjustRightInd w:val="0"/>
        <w:ind w:left="426" w:hanging="426"/>
        <w:rPr>
          <w:noProof/>
          <w:sz w:val="16"/>
        </w:rPr>
      </w:pPr>
      <w:r w:rsidRPr="00943BC5">
        <w:rPr>
          <w:noProof/>
          <w:sz w:val="16"/>
        </w:rPr>
        <w:t>[6]</w:t>
      </w:r>
      <w:r w:rsidRPr="00943BC5">
        <w:rPr>
          <w:noProof/>
          <w:sz w:val="16"/>
        </w:rPr>
        <w:tab/>
        <w:t xml:space="preserve">G. Palomba, T. Hone, D. Taylor, and V. Crupi, “Bio-inspired protective structures for marine applications,” </w:t>
      </w:r>
      <w:r w:rsidRPr="00943BC5">
        <w:rPr>
          <w:i/>
          <w:iCs/>
          <w:noProof/>
          <w:sz w:val="16"/>
        </w:rPr>
        <w:t>Bioinspir. Biomim.</w:t>
      </w:r>
      <w:r w:rsidRPr="00943BC5">
        <w:rPr>
          <w:noProof/>
          <w:sz w:val="16"/>
        </w:rPr>
        <w:t>, vol. 15, no. 5, p. 056016, Aug. 2020.</w:t>
      </w:r>
    </w:p>
    <w:p w:rsidRPr="00943BC5" w:rsidR="00943BC5" w:rsidP="00943BC5" w:rsidRDefault="00943BC5" w14:paraId="2D650D0A" w14:textId="77777777">
      <w:pPr>
        <w:widowControl w:val="0"/>
        <w:autoSpaceDE w:val="0"/>
        <w:autoSpaceDN w:val="0"/>
        <w:adjustRightInd w:val="0"/>
        <w:ind w:left="426" w:hanging="426"/>
        <w:rPr>
          <w:noProof/>
          <w:sz w:val="16"/>
        </w:rPr>
      </w:pPr>
      <w:r w:rsidRPr="00943BC5">
        <w:rPr>
          <w:noProof/>
          <w:sz w:val="16"/>
        </w:rPr>
        <w:t>[7]</w:t>
      </w:r>
      <w:r w:rsidRPr="00943BC5">
        <w:rPr>
          <w:noProof/>
          <w:sz w:val="16"/>
        </w:rPr>
        <w:tab/>
        <w:t xml:space="preserve">D. Boroński, A. Skibicki, P. Maćkowiak, and D. Płaczek, “Modeling and analysis of thin-walled Al/steel explosion welded transition joints for shipbuilding applications,” </w:t>
      </w:r>
      <w:r w:rsidRPr="00943BC5">
        <w:rPr>
          <w:i/>
          <w:iCs/>
          <w:noProof/>
          <w:sz w:val="16"/>
        </w:rPr>
        <w:t>Mar. Struct.</w:t>
      </w:r>
      <w:r w:rsidRPr="00943BC5">
        <w:rPr>
          <w:noProof/>
          <w:sz w:val="16"/>
        </w:rPr>
        <w:t>, vol. 74, p. 102843, Nov. 2020.</w:t>
      </w:r>
    </w:p>
    <w:p w:rsidRPr="00943BC5" w:rsidR="00943BC5" w:rsidP="00943BC5" w:rsidRDefault="00943BC5" w14:paraId="18B2074F" w14:textId="77777777">
      <w:pPr>
        <w:widowControl w:val="0"/>
        <w:autoSpaceDE w:val="0"/>
        <w:autoSpaceDN w:val="0"/>
        <w:adjustRightInd w:val="0"/>
        <w:ind w:left="426" w:hanging="426"/>
        <w:rPr>
          <w:noProof/>
          <w:sz w:val="16"/>
        </w:rPr>
      </w:pPr>
      <w:r w:rsidRPr="00943BC5">
        <w:rPr>
          <w:noProof/>
          <w:sz w:val="16"/>
        </w:rPr>
        <w:t>[8]</w:t>
      </w:r>
      <w:r w:rsidRPr="00943BC5">
        <w:rPr>
          <w:noProof/>
          <w:sz w:val="16"/>
        </w:rPr>
        <w:tab/>
        <w:t xml:space="preserve">Y. Kaya, “Microstructural, mechanical and corrosion investigations of ship steel-aluminum bimetal composites produced by explosive welding,” </w:t>
      </w:r>
      <w:r w:rsidRPr="00943BC5">
        <w:rPr>
          <w:i/>
          <w:iCs/>
          <w:noProof/>
          <w:sz w:val="16"/>
        </w:rPr>
        <w:t>Metals (Basel).</w:t>
      </w:r>
      <w:r w:rsidRPr="00943BC5">
        <w:rPr>
          <w:noProof/>
          <w:sz w:val="16"/>
        </w:rPr>
        <w:t>, vol. 8, no. 7, 2018.</w:t>
      </w:r>
    </w:p>
    <w:p w:rsidRPr="00943BC5" w:rsidR="00943BC5" w:rsidP="00943BC5" w:rsidRDefault="00943BC5" w14:paraId="00CF30E7" w14:textId="77777777">
      <w:pPr>
        <w:widowControl w:val="0"/>
        <w:autoSpaceDE w:val="0"/>
        <w:autoSpaceDN w:val="0"/>
        <w:adjustRightInd w:val="0"/>
        <w:ind w:left="426" w:hanging="426"/>
        <w:rPr>
          <w:noProof/>
          <w:sz w:val="16"/>
        </w:rPr>
      </w:pPr>
      <w:r w:rsidRPr="00943BC5">
        <w:rPr>
          <w:noProof/>
          <w:sz w:val="16"/>
        </w:rPr>
        <w:t>[9]</w:t>
      </w:r>
      <w:r w:rsidRPr="00943BC5">
        <w:rPr>
          <w:noProof/>
          <w:sz w:val="16"/>
        </w:rPr>
        <w:tab/>
        <w:t xml:space="preserve">P. Corigliano and V. Crupi, “Fatigue analysis of TI6AL4V/INCONEL 625 dissimilar welded joints,” </w:t>
      </w:r>
      <w:r w:rsidRPr="00943BC5">
        <w:rPr>
          <w:i/>
          <w:iCs/>
          <w:noProof/>
          <w:sz w:val="16"/>
        </w:rPr>
        <w:t>Ocean Eng.</w:t>
      </w:r>
      <w:r w:rsidRPr="00943BC5">
        <w:rPr>
          <w:noProof/>
          <w:sz w:val="16"/>
        </w:rPr>
        <w:t>, vol. 221, no. November 2020, p. 108582, 2021.</w:t>
      </w:r>
    </w:p>
    <w:p w:rsidRPr="00943BC5" w:rsidR="00943BC5" w:rsidP="00943BC5" w:rsidRDefault="00943BC5" w14:paraId="2793C12C" w14:textId="77777777">
      <w:pPr>
        <w:widowControl w:val="0"/>
        <w:autoSpaceDE w:val="0"/>
        <w:autoSpaceDN w:val="0"/>
        <w:adjustRightInd w:val="0"/>
        <w:ind w:left="426" w:hanging="426"/>
        <w:rPr>
          <w:noProof/>
          <w:sz w:val="16"/>
        </w:rPr>
      </w:pPr>
      <w:r w:rsidRPr="00943BC5">
        <w:rPr>
          <w:noProof/>
          <w:sz w:val="16"/>
        </w:rPr>
        <w:t>[10]</w:t>
      </w:r>
      <w:r w:rsidRPr="00943BC5">
        <w:rPr>
          <w:noProof/>
          <w:sz w:val="16"/>
        </w:rPr>
        <w:tab/>
        <w:t xml:space="preserve">P. Corigliano, V. Crupi, and E. Guglielmino, “Non linear finite element simulation of explosive welded joints of dissimilar metals for shipbuilding applications,” </w:t>
      </w:r>
      <w:r w:rsidRPr="00943BC5">
        <w:rPr>
          <w:i/>
          <w:iCs/>
          <w:noProof/>
          <w:sz w:val="16"/>
        </w:rPr>
        <w:t>Ocean Eng.</w:t>
      </w:r>
      <w:r w:rsidRPr="00943BC5">
        <w:rPr>
          <w:noProof/>
          <w:sz w:val="16"/>
        </w:rPr>
        <w:t>, vol. 160, no. April, pp. 346–353, 2018.</w:t>
      </w:r>
    </w:p>
    <w:p w:rsidRPr="00943BC5" w:rsidR="00943BC5" w:rsidP="00943BC5" w:rsidRDefault="00943BC5" w14:paraId="6A6671C0" w14:textId="77777777">
      <w:pPr>
        <w:widowControl w:val="0"/>
        <w:autoSpaceDE w:val="0"/>
        <w:autoSpaceDN w:val="0"/>
        <w:adjustRightInd w:val="0"/>
        <w:ind w:left="426" w:hanging="426"/>
        <w:rPr>
          <w:noProof/>
          <w:sz w:val="16"/>
        </w:rPr>
      </w:pPr>
      <w:r w:rsidRPr="00943BC5">
        <w:rPr>
          <w:noProof/>
          <w:sz w:val="16"/>
        </w:rPr>
        <w:t>[11]</w:t>
      </w:r>
      <w:r w:rsidRPr="00943BC5">
        <w:rPr>
          <w:noProof/>
          <w:sz w:val="16"/>
        </w:rPr>
        <w:tab/>
        <w:t xml:space="preserve">M. Böhm and M. Kowalski, “Fatigue life estimation of explosive cladded transition joints with the use of the spectral method for the case of a random sea state,” </w:t>
      </w:r>
      <w:r w:rsidRPr="00943BC5">
        <w:rPr>
          <w:i/>
          <w:iCs/>
          <w:noProof/>
          <w:sz w:val="16"/>
        </w:rPr>
        <w:t>Mar. Struct.</w:t>
      </w:r>
      <w:r w:rsidRPr="00943BC5">
        <w:rPr>
          <w:noProof/>
          <w:sz w:val="16"/>
        </w:rPr>
        <w:t>, vol. 71, no. February, 2020.</w:t>
      </w:r>
    </w:p>
    <w:p w:rsidRPr="00943BC5" w:rsidR="00943BC5" w:rsidP="00943BC5" w:rsidRDefault="00943BC5" w14:paraId="7726C400" w14:textId="77777777">
      <w:pPr>
        <w:widowControl w:val="0"/>
        <w:autoSpaceDE w:val="0"/>
        <w:autoSpaceDN w:val="0"/>
        <w:adjustRightInd w:val="0"/>
        <w:ind w:left="426" w:hanging="426"/>
        <w:rPr>
          <w:noProof/>
          <w:sz w:val="16"/>
        </w:rPr>
      </w:pPr>
      <w:r w:rsidRPr="00943BC5">
        <w:rPr>
          <w:noProof/>
          <w:sz w:val="16"/>
        </w:rPr>
        <w:t>[12]</w:t>
      </w:r>
      <w:r w:rsidRPr="00943BC5">
        <w:rPr>
          <w:noProof/>
          <w:sz w:val="16"/>
        </w:rPr>
        <w:tab/>
        <w:t xml:space="preserve">G. Palomba, G. Epasto, L. Sutherland, and V. Crupi, “Aluminium honeycomb sandwich as a design alternative for lightweight marine structures,” </w:t>
      </w:r>
      <w:r w:rsidRPr="00943BC5">
        <w:rPr>
          <w:i/>
          <w:iCs/>
          <w:noProof/>
          <w:sz w:val="16"/>
        </w:rPr>
        <w:t>Ships Offshore Struct.</w:t>
      </w:r>
      <w:r w:rsidRPr="00943BC5">
        <w:rPr>
          <w:noProof/>
          <w:sz w:val="16"/>
        </w:rPr>
        <w:t>, vol. 0, no. 0, pp. 1–12, 2021.</w:t>
      </w:r>
    </w:p>
    <w:p w:rsidRPr="00943BC5" w:rsidR="00943BC5" w:rsidP="00943BC5" w:rsidRDefault="00943BC5" w14:paraId="253A3614" w14:textId="77777777">
      <w:pPr>
        <w:widowControl w:val="0"/>
        <w:autoSpaceDE w:val="0"/>
        <w:autoSpaceDN w:val="0"/>
        <w:adjustRightInd w:val="0"/>
        <w:ind w:left="426" w:hanging="426"/>
        <w:rPr>
          <w:noProof/>
          <w:sz w:val="16"/>
        </w:rPr>
      </w:pPr>
      <w:r w:rsidRPr="00943BC5">
        <w:rPr>
          <w:noProof/>
          <w:sz w:val="16"/>
        </w:rPr>
        <w:t>[13]</w:t>
      </w:r>
      <w:r w:rsidRPr="00943BC5">
        <w:rPr>
          <w:noProof/>
          <w:sz w:val="16"/>
        </w:rPr>
        <w:tab/>
        <w:t xml:space="preserve">N. Kharghani and C. Guedes Soares, “Experimental and numerical study of hybrid steel-FRP balcony overhang of ships under shear and bending,” </w:t>
      </w:r>
      <w:r w:rsidRPr="00943BC5">
        <w:rPr>
          <w:i/>
          <w:iCs/>
          <w:noProof/>
          <w:sz w:val="16"/>
        </w:rPr>
        <w:t>Mar. Struct.</w:t>
      </w:r>
      <w:r w:rsidRPr="00943BC5">
        <w:rPr>
          <w:noProof/>
          <w:sz w:val="16"/>
        </w:rPr>
        <w:t>, vol. 60, pp. 15–33, Jul. 2018.</w:t>
      </w:r>
    </w:p>
    <w:p w:rsidRPr="00943BC5" w:rsidR="00943BC5" w:rsidP="00943BC5" w:rsidRDefault="00943BC5" w14:paraId="45395D54" w14:textId="77777777">
      <w:pPr>
        <w:widowControl w:val="0"/>
        <w:autoSpaceDE w:val="0"/>
        <w:autoSpaceDN w:val="0"/>
        <w:adjustRightInd w:val="0"/>
        <w:ind w:left="426" w:hanging="426"/>
        <w:rPr>
          <w:noProof/>
          <w:sz w:val="16"/>
        </w:rPr>
      </w:pPr>
      <w:r w:rsidRPr="00943BC5">
        <w:rPr>
          <w:noProof/>
          <w:sz w:val="16"/>
        </w:rPr>
        <w:t>[14]</w:t>
      </w:r>
      <w:r w:rsidRPr="00943BC5">
        <w:rPr>
          <w:noProof/>
          <w:sz w:val="16"/>
        </w:rPr>
        <w:tab/>
        <w:t xml:space="preserve">N. Kharghani and C. Guedes Soares, “Experimental study of the residual strength of damaged hybrid steel-FRP balcony overhangs of ships,” </w:t>
      </w:r>
      <w:r w:rsidRPr="00943BC5">
        <w:rPr>
          <w:i/>
          <w:iCs/>
          <w:noProof/>
          <w:sz w:val="16"/>
        </w:rPr>
        <w:t>Prog. Marit. Technol. Eng. - Proc. 4th Int. Conf. Marit. Technol. Eng. MARTECH 2018</w:t>
      </w:r>
      <w:r w:rsidRPr="00943BC5">
        <w:rPr>
          <w:noProof/>
          <w:sz w:val="16"/>
        </w:rPr>
        <w:t>, no. 2014, pp. 403–412, 2018.</w:t>
      </w:r>
    </w:p>
    <w:p w:rsidRPr="00943BC5" w:rsidR="00943BC5" w:rsidP="00943BC5" w:rsidRDefault="00943BC5" w14:paraId="44BE44F8" w14:textId="77777777">
      <w:pPr>
        <w:widowControl w:val="0"/>
        <w:autoSpaceDE w:val="0"/>
        <w:autoSpaceDN w:val="0"/>
        <w:adjustRightInd w:val="0"/>
        <w:ind w:left="426" w:hanging="426"/>
        <w:rPr>
          <w:noProof/>
          <w:sz w:val="16"/>
        </w:rPr>
      </w:pPr>
      <w:r w:rsidRPr="00943BC5">
        <w:rPr>
          <w:noProof/>
          <w:sz w:val="16"/>
        </w:rPr>
        <w:t>[15]</w:t>
      </w:r>
      <w:r w:rsidRPr="00943BC5">
        <w:rPr>
          <w:noProof/>
          <w:sz w:val="16"/>
        </w:rPr>
        <w:tab/>
        <w:t xml:space="preserve">N. Kharghani and C. Guedes Soares, “Mechanical properties evaluation of the components of a failed hybrid steel-FRP balcony overhang in ships,” </w:t>
      </w:r>
      <w:r w:rsidRPr="00943BC5">
        <w:rPr>
          <w:i/>
          <w:iCs/>
          <w:noProof/>
          <w:sz w:val="16"/>
        </w:rPr>
        <w:t>Mar. Struct.</w:t>
      </w:r>
      <w:r w:rsidRPr="00943BC5">
        <w:rPr>
          <w:noProof/>
          <w:sz w:val="16"/>
        </w:rPr>
        <w:t>, vol. 68, p. 102647, Nov. 2019.</w:t>
      </w:r>
    </w:p>
    <w:p w:rsidRPr="00943BC5" w:rsidR="00943BC5" w:rsidP="00943BC5" w:rsidRDefault="00943BC5" w14:paraId="5268B5AF" w14:textId="77777777">
      <w:pPr>
        <w:widowControl w:val="0"/>
        <w:autoSpaceDE w:val="0"/>
        <w:autoSpaceDN w:val="0"/>
        <w:adjustRightInd w:val="0"/>
        <w:ind w:left="426" w:hanging="426"/>
        <w:rPr>
          <w:noProof/>
          <w:sz w:val="16"/>
        </w:rPr>
      </w:pPr>
      <w:r w:rsidRPr="00943BC5">
        <w:rPr>
          <w:noProof/>
          <w:sz w:val="16"/>
        </w:rPr>
        <w:t>[16]</w:t>
      </w:r>
      <w:r w:rsidRPr="00943BC5">
        <w:rPr>
          <w:noProof/>
          <w:sz w:val="16"/>
        </w:rPr>
        <w:tab/>
        <w:t xml:space="preserve">Y. Garbatov, S. Saad-Eldeen, and C. Guedes Soares, “Hull girder ultimate strength assessment based on experimental results and the dimensional theory,” </w:t>
      </w:r>
      <w:r w:rsidRPr="00943BC5">
        <w:rPr>
          <w:i/>
          <w:iCs/>
          <w:noProof/>
          <w:sz w:val="16"/>
        </w:rPr>
        <w:t>Eng. Struct.</w:t>
      </w:r>
      <w:r w:rsidRPr="00943BC5">
        <w:rPr>
          <w:noProof/>
          <w:sz w:val="16"/>
        </w:rPr>
        <w:t>, vol. 100, pp. 742–750, 2015.</w:t>
      </w:r>
    </w:p>
    <w:p w:rsidRPr="00943BC5" w:rsidR="00943BC5" w:rsidP="00943BC5" w:rsidRDefault="00943BC5" w14:paraId="160EE161" w14:textId="77777777">
      <w:pPr>
        <w:widowControl w:val="0"/>
        <w:autoSpaceDE w:val="0"/>
        <w:autoSpaceDN w:val="0"/>
        <w:adjustRightInd w:val="0"/>
        <w:ind w:left="426" w:hanging="426"/>
        <w:rPr>
          <w:noProof/>
          <w:sz w:val="16"/>
        </w:rPr>
      </w:pPr>
      <w:r w:rsidRPr="00943BC5">
        <w:rPr>
          <w:noProof/>
          <w:sz w:val="16"/>
        </w:rPr>
        <w:t>[17]</w:t>
      </w:r>
      <w:r w:rsidRPr="00943BC5">
        <w:rPr>
          <w:noProof/>
          <w:sz w:val="16"/>
        </w:rPr>
        <w:tab/>
        <w:t xml:space="preserve">H. G. Allen, </w:t>
      </w:r>
      <w:r w:rsidRPr="00943BC5">
        <w:rPr>
          <w:i/>
          <w:iCs/>
          <w:noProof/>
          <w:sz w:val="16"/>
        </w:rPr>
        <w:t>Analysis and Design of Structural Sandwich Panels</w:t>
      </w:r>
      <w:r w:rsidRPr="00943BC5">
        <w:rPr>
          <w:noProof/>
          <w:sz w:val="16"/>
        </w:rPr>
        <w:t>. London: Pergamon Press, 1969.</w:t>
      </w:r>
    </w:p>
    <w:p w:rsidR="00BD4EE3" w:rsidP="0002391B" w:rsidRDefault="00BD4EE3" w14:paraId="39A44F72" w14:textId="77777777">
      <w:pPr>
        <w:pStyle w:val="References"/>
        <w:numPr>
          <w:ilvl w:val="0"/>
          <w:numId w:val="0"/>
        </w:numPr>
        <w:ind w:left="426" w:hanging="426"/>
      </w:pPr>
      <w:r>
        <w:fldChar w:fldCharType="end"/>
      </w:r>
    </w:p>
    <w:sectPr w:rsidR="00BD4EE3">
      <w:pgSz w:w="11907" w:h="16840" w:code="9"/>
      <w:pgMar w:top="3119" w:right="2438" w:bottom="2381" w:left="2438" w:header="851"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DD7D908" w14:textId="77777777" w:rsidR="004D48A5" w:rsidRDefault="004D48A5">
      <w:r>
        <w:separator/>
      </w:r>
    </w:p>
  </w:endnote>
  <w:endnote w:type="continuationSeparator" w:id="0">
    <w:p w14:paraId="7A9F75AB" w14:textId="77777777" w:rsidR="004D48A5" w:rsidRDefault="004D48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embedItalic r:id="rId1" w:fontKey="{49BAFE14-6453-48DA-9C41-7F298893E779}"/>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2" w:fontKey="{C56359D2-A368-42CC-B548-CE2139D76E08}"/>
  </w:font>
  <w:font w:name="Calibri Light">
    <w:panose1 w:val="020F0302020204030204"/>
    <w:charset w:val="00"/>
    <w:family w:val="swiss"/>
    <w:pitch w:val="variable"/>
    <w:sig w:usb0="E4002EFF" w:usb1="C000247B" w:usb2="00000009" w:usb3="00000000" w:csb0="000001FF" w:csb1="00000000"/>
    <w:embedRegular r:id="rId3" w:fontKey="{899CB033-745C-4124-8F48-2D27ABB05408}"/>
  </w:font>
  <w:font w:name="Calibri">
    <w:panose1 w:val="020F0502020204030204"/>
    <w:charset w:val="00"/>
    <w:family w:val="swiss"/>
    <w:pitch w:val="variable"/>
    <w:sig w:usb0="E4002EFF" w:usb1="C000247B" w:usb2="00000009" w:usb3="00000000" w:csb0="000001FF" w:csb1="00000000"/>
    <w:embedRegular r:id="rId4" w:fontKey="{C4986197-EB38-4F2D-99F3-6FF2E7C8DC16}"/>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3AAE1EE" w14:textId="77777777" w:rsidR="004D48A5" w:rsidRDefault="004D48A5">
      <w:r>
        <w:separator/>
      </w:r>
    </w:p>
  </w:footnote>
  <w:footnote w:type="continuationSeparator" w:id="0">
    <w:p w14:paraId="44E057F1" w14:textId="77777777" w:rsidR="004D48A5" w:rsidRDefault="004D48A5">
      <w:r>
        <w:continuationSeparator/>
      </w:r>
    </w:p>
  </w:footnote>
  <w:footnote w:id="1">
    <w:p w14:paraId="13AA41A0" w14:textId="77777777" w:rsidR="00B05D6E" w:rsidRPr="006161C2" w:rsidRDefault="00B05D6E">
      <w:pPr>
        <w:pStyle w:val="Testonotaapidipagina"/>
        <w:rPr>
          <w:rStyle w:val="FootnoteChar"/>
          <w:szCs w:val="16"/>
        </w:rPr>
      </w:pPr>
      <w:r w:rsidRPr="002C12E6">
        <w:rPr>
          <w:rStyle w:val="Rimandonotaapidipagina"/>
        </w:rPr>
        <w:footnoteRef/>
      </w:r>
      <w:r>
        <w:rPr>
          <w:rStyle w:val="FootnoteChar"/>
        </w:rPr>
        <w:t xml:space="preserve"> Corresponding Author</w:t>
      </w:r>
      <w:r w:rsidR="006161C2" w:rsidRPr="006161C2">
        <w:rPr>
          <w:sz w:val="16"/>
          <w:szCs w:val="16"/>
          <w:lang w:val="en-GB"/>
        </w:rPr>
        <w:t xml:space="preserve">: </w:t>
      </w:r>
      <w:r w:rsidR="008261B0">
        <w:rPr>
          <w:sz w:val="16"/>
          <w:szCs w:val="16"/>
          <w:lang w:val="en-GB"/>
        </w:rPr>
        <w:t>gpalomba@unime.it</w:t>
      </w:r>
      <w:r w:rsidR="006161C2" w:rsidRPr="006161C2">
        <w:rPr>
          <w:sz w:val="16"/>
          <w:szCs w:val="16"/>
          <w:lang w:val="en-GB"/>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36EC8536"/>
    <w:lvl w:ilvl="0">
      <w:start w:val="1"/>
      <w:numFmt w:val="decimal"/>
      <w:pStyle w:val="Numeroelenco"/>
      <w:lvlText w:val="%1."/>
      <w:lvlJc w:val="left"/>
      <w:pPr>
        <w:tabs>
          <w:tab w:val="num" w:pos="360"/>
        </w:tabs>
        <w:ind w:left="360" w:hanging="360"/>
      </w:pPr>
    </w:lvl>
  </w:abstractNum>
  <w:abstractNum w:abstractNumId="1" w15:restartNumberingAfterBreak="0">
    <w:nsid w:val="2853357A"/>
    <w:multiLevelType w:val="multilevel"/>
    <w:tmpl w:val="FAAA08D2"/>
    <w:lvl w:ilvl="0">
      <w:start w:val="1"/>
      <w:numFmt w:val="decimal"/>
      <w:lvlText w:val="[%1]"/>
      <w:lvlJc w:val="left"/>
      <w:pPr>
        <w:tabs>
          <w:tab w:val="num" w:pos="360"/>
        </w:tabs>
        <w:ind w:left="312" w:hanging="312"/>
      </w:pPr>
      <w:rPr>
        <w:rFonts w:hint="default"/>
        <w:sz w:val="16"/>
        <w:szCs w:val="16"/>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15:restartNumberingAfterBreak="0">
    <w:nsid w:val="2B8557B0"/>
    <w:multiLevelType w:val="hybridMultilevel"/>
    <w:tmpl w:val="8800DE3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3" w15:restartNumberingAfterBreak="0">
    <w:nsid w:val="50BB51F1"/>
    <w:multiLevelType w:val="multilevel"/>
    <w:tmpl w:val="D558440E"/>
    <w:lvl w:ilvl="0">
      <w:start w:val="1"/>
      <w:numFmt w:val="bullet"/>
      <w:pStyle w:val="Listbul"/>
      <w:lvlText w:val=""/>
      <w:lvlJc w:val="left"/>
      <w:pPr>
        <w:tabs>
          <w:tab w:val="num" w:pos="717"/>
        </w:tabs>
        <w:ind w:left="717" w:hanging="360"/>
      </w:pPr>
      <w:rPr>
        <w:rFonts w:ascii="Symbol" w:hAnsi="Symbol" w:hint="default"/>
      </w:rPr>
    </w:lvl>
    <w:lvl w:ilvl="1">
      <w:start w:val="1"/>
      <w:numFmt w:val="bullet"/>
      <w:lvlText w:val="o"/>
      <w:lvlJc w:val="left"/>
      <w:pPr>
        <w:tabs>
          <w:tab w:val="num" w:pos="1097"/>
        </w:tabs>
        <w:ind w:left="1077" w:hanging="340"/>
      </w:pPr>
      <w:rPr>
        <w:rFonts w:hint="default"/>
      </w:rPr>
    </w:lvl>
    <w:lvl w:ilvl="2">
      <w:start w:val="1"/>
      <w:numFmt w:val="bullet"/>
      <w:lvlText w:val=""/>
      <w:lvlJc w:val="left"/>
      <w:pPr>
        <w:tabs>
          <w:tab w:val="num" w:pos="2157"/>
        </w:tabs>
        <w:ind w:left="2157" w:hanging="360"/>
      </w:pPr>
      <w:rPr>
        <w:rFonts w:ascii="Wingdings" w:hAnsi="Wingdings" w:cs="Wingdings" w:hint="default"/>
      </w:rPr>
    </w:lvl>
    <w:lvl w:ilvl="3">
      <w:start w:val="1"/>
      <w:numFmt w:val="bullet"/>
      <w:lvlText w:val=""/>
      <w:lvlJc w:val="left"/>
      <w:pPr>
        <w:tabs>
          <w:tab w:val="num" w:pos="2877"/>
        </w:tabs>
        <w:ind w:left="2877" w:hanging="360"/>
      </w:pPr>
      <w:rPr>
        <w:rFonts w:ascii="Symbol" w:hAnsi="Symbol" w:cs="Symbol" w:hint="default"/>
      </w:rPr>
    </w:lvl>
    <w:lvl w:ilvl="4">
      <w:start w:val="1"/>
      <w:numFmt w:val="bullet"/>
      <w:lvlText w:val="o"/>
      <w:lvlJc w:val="left"/>
      <w:pPr>
        <w:tabs>
          <w:tab w:val="num" w:pos="3597"/>
        </w:tabs>
        <w:ind w:left="3597" w:hanging="360"/>
      </w:pPr>
      <w:rPr>
        <w:rFonts w:ascii="Courier New" w:hAnsi="Courier New" w:cs="Courier New" w:hint="default"/>
      </w:rPr>
    </w:lvl>
    <w:lvl w:ilvl="5">
      <w:start w:val="1"/>
      <w:numFmt w:val="bullet"/>
      <w:lvlText w:val=""/>
      <w:lvlJc w:val="left"/>
      <w:pPr>
        <w:tabs>
          <w:tab w:val="num" w:pos="4317"/>
        </w:tabs>
        <w:ind w:left="4317" w:hanging="360"/>
      </w:pPr>
      <w:rPr>
        <w:rFonts w:ascii="Wingdings" w:hAnsi="Wingdings" w:cs="Wingdings" w:hint="default"/>
      </w:rPr>
    </w:lvl>
    <w:lvl w:ilvl="6">
      <w:start w:val="1"/>
      <w:numFmt w:val="bullet"/>
      <w:lvlText w:val=""/>
      <w:lvlJc w:val="left"/>
      <w:pPr>
        <w:tabs>
          <w:tab w:val="num" w:pos="5037"/>
        </w:tabs>
        <w:ind w:left="5037" w:hanging="360"/>
      </w:pPr>
      <w:rPr>
        <w:rFonts w:ascii="Symbol" w:hAnsi="Symbol" w:cs="Symbol" w:hint="default"/>
      </w:rPr>
    </w:lvl>
    <w:lvl w:ilvl="7">
      <w:start w:val="1"/>
      <w:numFmt w:val="bullet"/>
      <w:lvlText w:val="o"/>
      <w:lvlJc w:val="left"/>
      <w:pPr>
        <w:tabs>
          <w:tab w:val="num" w:pos="5757"/>
        </w:tabs>
        <w:ind w:left="5757" w:hanging="360"/>
      </w:pPr>
      <w:rPr>
        <w:rFonts w:ascii="Courier New" w:hAnsi="Courier New" w:cs="Courier New" w:hint="default"/>
      </w:rPr>
    </w:lvl>
    <w:lvl w:ilvl="8">
      <w:start w:val="1"/>
      <w:numFmt w:val="bullet"/>
      <w:lvlText w:val=""/>
      <w:lvlJc w:val="left"/>
      <w:pPr>
        <w:tabs>
          <w:tab w:val="num" w:pos="6477"/>
        </w:tabs>
        <w:ind w:left="6477" w:hanging="360"/>
      </w:pPr>
      <w:rPr>
        <w:rFonts w:ascii="Wingdings" w:hAnsi="Wingdings" w:cs="Wingdings" w:hint="default"/>
      </w:rPr>
    </w:lvl>
  </w:abstractNum>
  <w:abstractNum w:abstractNumId="4" w15:restartNumberingAfterBreak="0">
    <w:nsid w:val="57B032BB"/>
    <w:multiLevelType w:val="multilevel"/>
    <w:tmpl w:val="88DE16C6"/>
    <w:lvl w:ilvl="0">
      <w:start w:val="1"/>
      <w:numFmt w:val="bullet"/>
      <w:pStyle w:val="LISTdash"/>
      <w:lvlText w:val=""/>
      <w:lvlJc w:val="left"/>
      <w:pPr>
        <w:tabs>
          <w:tab w:val="num" w:pos="564"/>
        </w:tabs>
        <w:ind w:left="454" w:hanging="250"/>
      </w:pPr>
      <w:rPr>
        <w:rFonts w:ascii="Symbol" w:hAnsi="Symbol" w:hint="default"/>
        <w:b/>
        <w:i w:val="0"/>
        <w:caps w:val="0"/>
        <w:strike w:val="0"/>
        <w:dstrike w:val="0"/>
        <w:color w:val="000000"/>
        <w:spacing w:val="0"/>
        <w:kern w:val="28"/>
        <w:position w:val="0"/>
        <w:sz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lvlText w:val=""/>
      <w:lvlJc w:val="left"/>
      <w:pPr>
        <w:tabs>
          <w:tab w:val="num" w:pos="814"/>
        </w:tabs>
        <w:ind w:left="794" w:hanging="340"/>
      </w:pPr>
      <w:rPr>
        <w:rFonts w:ascii="Symbol" w:hAnsi="Symbol" w:hint="default"/>
        <w:b w:val="0"/>
        <w:i w:val="0"/>
        <w:sz w:val="20"/>
      </w:rPr>
    </w:lvl>
    <w:lvl w:ilvl="2">
      <w:start w:val="1"/>
      <w:numFmt w:val="bullet"/>
      <w:lvlText w:val=""/>
      <w:lvlJc w:val="left"/>
      <w:pPr>
        <w:tabs>
          <w:tab w:val="num" w:pos="927"/>
        </w:tabs>
        <w:ind w:left="204" w:firstLine="363"/>
      </w:pPr>
      <w:rPr>
        <w:rFonts w:ascii="Symbol" w:hAnsi="Symbol" w:hint="default"/>
        <w:b w:val="0"/>
        <w:i/>
        <w:sz w:val="24"/>
      </w:rPr>
    </w:lvl>
    <w:lvl w:ilvl="3">
      <w:start w:val="1"/>
      <w:numFmt w:val="decimal"/>
      <w:suff w:val="space"/>
      <w:lvlText w:val="%1.%2.%3.%4."/>
      <w:lvlJc w:val="left"/>
      <w:pPr>
        <w:ind w:left="204" w:firstLine="0"/>
      </w:pPr>
      <w:rPr>
        <w:rFonts w:ascii="Times" w:hAnsi="Times" w:hint="default"/>
        <w:b w:val="0"/>
        <w:i/>
        <w:sz w:val="24"/>
      </w:rPr>
    </w:lvl>
    <w:lvl w:ilvl="4">
      <w:start w:val="1"/>
      <w:numFmt w:val="none"/>
      <w:suff w:val="nothing"/>
      <w:lvlText w:val=""/>
      <w:lvlJc w:val="left"/>
      <w:pPr>
        <w:ind w:left="204" w:firstLine="0"/>
      </w:pPr>
      <w:rPr>
        <w:rFonts w:hint="default"/>
      </w:rPr>
    </w:lvl>
    <w:lvl w:ilvl="5">
      <w:start w:val="1"/>
      <w:numFmt w:val="none"/>
      <w:suff w:val="nothing"/>
      <w:lvlText w:val=""/>
      <w:lvlJc w:val="left"/>
      <w:pPr>
        <w:ind w:left="1054" w:firstLine="0"/>
      </w:pPr>
      <w:rPr>
        <w:rFonts w:hint="default"/>
      </w:rPr>
    </w:lvl>
    <w:lvl w:ilvl="6">
      <w:start w:val="1"/>
      <w:numFmt w:val="none"/>
      <w:suff w:val="nothing"/>
      <w:lvlText w:val=""/>
      <w:lvlJc w:val="left"/>
      <w:pPr>
        <w:ind w:left="714" w:firstLine="0"/>
      </w:pPr>
      <w:rPr>
        <w:rFonts w:hint="default"/>
      </w:rPr>
    </w:lvl>
    <w:lvl w:ilvl="7">
      <w:start w:val="1"/>
      <w:numFmt w:val="none"/>
      <w:suff w:val="nothing"/>
      <w:lvlText w:val=""/>
      <w:lvlJc w:val="left"/>
      <w:pPr>
        <w:ind w:left="714" w:firstLine="0"/>
      </w:pPr>
      <w:rPr>
        <w:rFonts w:hint="default"/>
      </w:rPr>
    </w:lvl>
    <w:lvl w:ilvl="8">
      <w:start w:val="1"/>
      <w:numFmt w:val="none"/>
      <w:suff w:val="nothing"/>
      <w:lvlText w:val=""/>
      <w:lvlJc w:val="left"/>
      <w:pPr>
        <w:ind w:left="714" w:firstLine="0"/>
      </w:pPr>
      <w:rPr>
        <w:rFonts w:hint="default"/>
      </w:rPr>
    </w:lvl>
  </w:abstractNum>
  <w:abstractNum w:abstractNumId="5" w15:restartNumberingAfterBreak="0">
    <w:nsid w:val="581D0CC1"/>
    <w:multiLevelType w:val="multilevel"/>
    <w:tmpl w:val="47DE6CBE"/>
    <w:lvl w:ilvl="0">
      <w:start w:val="1"/>
      <w:numFmt w:val="decimal"/>
      <w:lvlText w:val="[%1]"/>
      <w:lvlJc w:val="left"/>
      <w:pPr>
        <w:tabs>
          <w:tab w:val="num" w:pos="360"/>
        </w:tabs>
        <w:ind w:left="312" w:hanging="312"/>
      </w:pPr>
      <w:rPr>
        <w:rFonts w:hint="default"/>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15:restartNumberingAfterBreak="0">
    <w:nsid w:val="61426C2F"/>
    <w:multiLevelType w:val="hybridMultilevel"/>
    <w:tmpl w:val="2EB08300"/>
    <w:lvl w:ilvl="0" w:tplc="2D9ABB34">
      <w:start w:val="1"/>
      <w:numFmt w:val="lowerLetter"/>
      <w:pStyle w:val="LISTalph"/>
      <w:lvlText w:val="%1)"/>
      <w:lvlJc w:val="left"/>
      <w:pPr>
        <w:tabs>
          <w:tab w:val="num" w:pos="564"/>
        </w:tabs>
        <w:ind w:left="499" w:hanging="295"/>
      </w:pPr>
      <w:rPr>
        <w:rFonts w:hint="default"/>
      </w:rPr>
    </w:lvl>
    <w:lvl w:ilvl="1" w:tplc="04090019">
      <w:start w:val="1"/>
      <w:numFmt w:val="lowerLetter"/>
      <w:lvlText w:val="%2."/>
      <w:lvlJc w:val="left"/>
      <w:pPr>
        <w:tabs>
          <w:tab w:val="num" w:pos="1284"/>
        </w:tabs>
        <w:ind w:left="1284" w:hanging="360"/>
      </w:pPr>
    </w:lvl>
    <w:lvl w:ilvl="2" w:tplc="0409001B" w:tentative="1">
      <w:start w:val="1"/>
      <w:numFmt w:val="lowerRoman"/>
      <w:lvlText w:val="%3."/>
      <w:lvlJc w:val="right"/>
      <w:pPr>
        <w:tabs>
          <w:tab w:val="num" w:pos="2004"/>
        </w:tabs>
        <w:ind w:left="2004" w:hanging="180"/>
      </w:pPr>
    </w:lvl>
    <w:lvl w:ilvl="3" w:tplc="0409000F" w:tentative="1">
      <w:start w:val="1"/>
      <w:numFmt w:val="decimal"/>
      <w:lvlText w:val="%4."/>
      <w:lvlJc w:val="left"/>
      <w:pPr>
        <w:tabs>
          <w:tab w:val="num" w:pos="2724"/>
        </w:tabs>
        <w:ind w:left="2724" w:hanging="360"/>
      </w:pPr>
    </w:lvl>
    <w:lvl w:ilvl="4" w:tplc="04090019" w:tentative="1">
      <w:start w:val="1"/>
      <w:numFmt w:val="lowerLetter"/>
      <w:lvlText w:val="%5."/>
      <w:lvlJc w:val="left"/>
      <w:pPr>
        <w:tabs>
          <w:tab w:val="num" w:pos="3444"/>
        </w:tabs>
        <w:ind w:left="3444" w:hanging="360"/>
      </w:pPr>
    </w:lvl>
    <w:lvl w:ilvl="5" w:tplc="0409001B" w:tentative="1">
      <w:start w:val="1"/>
      <w:numFmt w:val="lowerRoman"/>
      <w:lvlText w:val="%6."/>
      <w:lvlJc w:val="right"/>
      <w:pPr>
        <w:tabs>
          <w:tab w:val="num" w:pos="4164"/>
        </w:tabs>
        <w:ind w:left="4164" w:hanging="180"/>
      </w:pPr>
    </w:lvl>
    <w:lvl w:ilvl="6" w:tplc="0409000F" w:tentative="1">
      <w:start w:val="1"/>
      <w:numFmt w:val="decimal"/>
      <w:lvlText w:val="%7."/>
      <w:lvlJc w:val="left"/>
      <w:pPr>
        <w:tabs>
          <w:tab w:val="num" w:pos="4884"/>
        </w:tabs>
        <w:ind w:left="4884" w:hanging="360"/>
      </w:pPr>
    </w:lvl>
    <w:lvl w:ilvl="7" w:tplc="04090019" w:tentative="1">
      <w:start w:val="1"/>
      <w:numFmt w:val="lowerLetter"/>
      <w:lvlText w:val="%8."/>
      <w:lvlJc w:val="left"/>
      <w:pPr>
        <w:tabs>
          <w:tab w:val="num" w:pos="5604"/>
        </w:tabs>
        <w:ind w:left="5604" w:hanging="360"/>
      </w:pPr>
    </w:lvl>
    <w:lvl w:ilvl="8" w:tplc="0409001B" w:tentative="1">
      <w:start w:val="1"/>
      <w:numFmt w:val="lowerRoman"/>
      <w:lvlText w:val="%9."/>
      <w:lvlJc w:val="right"/>
      <w:pPr>
        <w:tabs>
          <w:tab w:val="num" w:pos="6324"/>
        </w:tabs>
        <w:ind w:left="6324" w:hanging="180"/>
      </w:pPr>
    </w:lvl>
  </w:abstractNum>
  <w:abstractNum w:abstractNumId="7" w15:restartNumberingAfterBreak="0">
    <w:nsid w:val="63CA79E0"/>
    <w:multiLevelType w:val="multilevel"/>
    <w:tmpl w:val="F370C5B4"/>
    <w:lvl w:ilvl="0">
      <w:start w:val="1"/>
      <w:numFmt w:val="decimal"/>
      <w:pStyle w:val="LISTnum"/>
      <w:lvlText w:val="%1."/>
      <w:lvlJc w:val="left"/>
      <w:pPr>
        <w:tabs>
          <w:tab w:val="num" w:pos="717"/>
        </w:tabs>
        <w:ind w:left="652" w:hanging="295"/>
      </w:pPr>
      <w:rPr>
        <w:rFonts w:hint="default"/>
      </w:rPr>
    </w:lvl>
    <w:lvl w:ilvl="1">
      <w:start w:val="1"/>
      <w:numFmt w:val="decimal"/>
      <w:lvlText w:val="%1.%2."/>
      <w:lvlJc w:val="left"/>
      <w:pPr>
        <w:tabs>
          <w:tab w:val="num" w:pos="1077"/>
        </w:tabs>
        <w:ind w:left="1077" w:hanging="363"/>
      </w:pPr>
      <w:rPr>
        <w:rFonts w:hint="default"/>
      </w:rPr>
    </w:lvl>
    <w:lvl w:ilvl="2">
      <w:start w:val="1"/>
      <w:numFmt w:val="decimal"/>
      <w:lvlText w:val="%1.%2.%3."/>
      <w:lvlJc w:val="left"/>
      <w:pPr>
        <w:tabs>
          <w:tab w:val="num" w:pos="1797"/>
        </w:tabs>
        <w:ind w:left="1581" w:hanging="504"/>
      </w:pPr>
      <w:rPr>
        <w:rFonts w:hint="default"/>
      </w:rPr>
    </w:lvl>
    <w:lvl w:ilvl="3">
      <w:start w:val="1"/>
      <w:numFmt w:val="decimal"/>
      <w:lvlText w:val="%1.%2.%3.%4."/>
      <w:lvlJc w:val="left"/>
      <w:pPr>
        <w:tabs>
          <w:tab w:val="num" w:pos="2157"/>
        </w:tabs>
        <w:ind w:left="2085" w:hanging="648"/>
      </w:pPr>
      <w:rPr>
        <w:rFonts w:hint="default"/>
      </w:rPr>
    </w:lvl>
    <w:lvl w:ilvl="4">
      <w:start w:val="1"/>
      <w:numFmt w:val="decimal"/>
      <w:lvlText w:val="%1.%2.%3.%4.%5."/>
      <w:lvlJc w:val="left"/>
      <w:pPr>
        <w:tabs>
          <w:tab w:val="num" w:pos="2877"/>
        </w:tabs>
        <w:ind w:left="2589" w:hanging="792"/>
      </w:pPr>
      <w:rPr>
        <w:rFonts w:hint="default"/>
      </w:rPr>
    </w:lvl>
    <w:lvl w:ilvl="5">
      <w:start w:val="1"/>
      <w:numFmt w:val="decimal"/>
      <w:lvlText w:val="%1.%2.%3.%4.%5.%6."/>
      <w:lvlJc w:val="left"/>
      <w:pPr>
        <w:tabs>
          <w:tab w:val="num" w:pos="3237"/>
        </w:tabs>
        <w:ind w:left="3093" w:hanging="936"/>
      </w:pPr>
      <w:rPr>
        <w:rFonts w:hint="default"/>
      </w:rPr>
    </w:lvl>
    <w:lvl w:ilvl="6">
      <w:start w:val="1"/>
      <w:numFmt w:val="decimal"/>
      <w:lvlText w:val="%1.%2.%3.%4.%5.%6.%7."/>
      <w:lvlJc w:val="left"/>
      <w:pPr>
        <w:tabs>
          <w:tab w:val="num" w:pos="3957"/>
        </w:tabs>
        <w:ind w:left="3597" w:hanging="1080"/>
      </w:pPr>
      <w:rPr>
        <w:rFonts w:hint="default"/>
      </w:rPr>
    </w:lvl>
    <w:lvl w:ilvl="7">
      <w:start w:val="1"/>
      <w:numFmt w:val="decimal"/>
      <w:lvlText w:val="%1.%2.%3.%4.%5.%6.%7.%8."/>
      <w:lvlJc w:val="left"/>
      <w:pPr>
        <w:tabs>
          <w:tab w:val="num" w:pos="4317"/>
        </w:tabs>
        <w:ind w:left="4101" w:hanging="1224"/>
      </w:pPr>
      <w:rPr>
        <w:rFonts w:hint="default"/>
      </w:rPr>
    </w:lvl>
    <w:lvl w:ilvl="8">
      <w:start w:val="1"/>
      <w:numFmt w:val="decimal"/>
      <w:lvlText w:val="%1.%2.%3.%4.%5.%6.%7.%8.%9."/>
      <w:lvlJc w:val="left"/>
      <w:pPr>
        <w:tabs>
          <w:tab w:val="num" w:pos="5037"/>
        </w:tabs>
        <w:ind w:left="4677" w:hanging="1440"/>
      </w:pPr>
      <w:rPr>
        <w:rFonts w:hint="default"/>
      </w:rPr>
    </w:lvl>
  </w:abstractNum>
  <w:abstractNum w:abstractNumId="8" w15:restartNumberingAfterBreak="0">
    <w:nsid w:val="749D7927"/>
    <w:multiLevelType w:val="multilevel"/>
    <w:tmpl w:val="1F9C18A8"/>
    <w:lvl w:ilvl="0">
      <w:start w:val="1"/>
      <w:numFmt w:val="decimal"/>
      <w:pStyle w:val="Titolo1"/>
      <w:suff w:val="space"/>
      <w:lvlText w:val="%1."/>
      <w:lvlJc w:val="left"/>
      <w:pPr>
        <w:ind w:left="454" w:hanging="454"/>
      </w:pPr>
      <w:rPr>
        <w:rFonts w:ascii="Times New Roman" w:hAnsi="Times New Roman" w:hint="default"/>
        <w:b/>
        <w:i w:val="0"/>
        <w:caps w:val="0"/>
        <w:strike w:val="0"/>
        <w:dstrike w:val="0"/>
        <w:color w:val="000000"/>
        <w:spacing w:val="0"/>
        <w:kern w:val="28"/>
        <w:position w:val="0"/>
        <w:sz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Titolo2"/>
      <w:suff w:val="space"/>
      <w:lvlText w:val="%1.%2."/>
      <w:lvlJc w:val="left"/>
      <w:pPr>
        <w:ind w:left="0" w:firstLine="0"/>
      </w:pPr>
      <w:rPr>
        <w:rFonts w:ascii="Times New Roman" w:hAnsi="Times New Roman" w:hint="default"/>
        <w:b w:val="0"/>
        <w:i/>
        <w:sz w:val="20"/>
      </w:rPr>
    </w:lvl>
    <w:lvl w:ilvl="2">
      <w:start w:val="1"/>
      <w:numFmt w:val="decimal"/>
      <w:pStyle w:val="Titolo3"/>
      <w:suff w:val="space"/>
      <w:lvlText w:val="%1.%2.%3."/>
      <w:lvlJc w:val="left"/>
      <w:pPr>
        <w:ind w:left="0" w:firstLine="0"/>
      </w:pPr>
      <w:rPr>
        <w:rFonts w:ascii="Times" w:hAnsi="Times" w:hint="default"/>
        <w:b w:val="0"/>
        <w:i/>
        <w:sz w:val="20"/>
      </w:rPr>
    </w:lvl>
    <w:lvl w:ilvl="3">
      <w:start w:val="1"/>
      <w:numFmt w:val="decimal"/>
      <w:pStyle w:val="Titolo4"/>
      <w:suff w:val="space"/>
      <w:lvlText w:val="%1.%2.%3.%4."/>
      <w:lvlJc w:val="left"/>
      <w:pPr>
        <w:ind w:left="0" w:firstLine="0"/>
      </w:pPr>
      <w:rPr>
        <w:rFonts w:ascii="Times" w:hAnsi="Times" w:hint="default"/>
        <w:b w:val="0"/>
        <w:i/>
        <w:sz w:val="20"/>
      </w:rPr>
    </w:lvl>
    <w:lvl w:ilvl="4">
      <w:start w:val="1"/>
      <w:numFmt w:val="none"/>
      <w:pStyle w:val="Titolo5"/>
      <w:suff w:val="nothing"/>
      <w:lvlText w:val=""/>
      <w:lvlJc w:val="left"/>
      <w:pPr>
        <w:ind w:left="0" w:firstLine="0"/>
      </w:pPr>
      <w:rPr>
        <w:rFonts w:hint="default"/>
      </w:rPr>
    </w:lvl>
    <w:lvl w:ilvl="5">
      <w:start w:val="1"/>
      <w:numFmt w:val="none"/>
      <w:pStyle w:val="Titolo6"/>
      <w:suff w:val="nothing"/>
      <w:lvlText w:val=""/>
      <w:lvlJc w:val="left"/>
      <w:pPr>
        <w:ind w:left="850" w:firstLine="0"/>
      </w:pPr>
      <w:rPr>
        <w:rFonts w:hint="default"/>
      </w:rPr>
    </w:lvl>
    <w:lvl w:ilvl="6">
      <w:start w:val="1"/>
      <w:numFmt w:val="none"/>
      <w:suff w:val="nothing"/>
      <w:lvlText w:val=""/>
      <w:lvlJc w:val="left"/>
      <w:pPr>
        <w:ind w:left="510" w:firstLine="0"/>
      </w:pPr>
      <w:rPr>
        <w:rFonts w:hint="default"/>
      </w:rPr>
    </w:lvl>
    <w:lvl w:ilvl="7">
      <w:start w:val="1"/>
      <w:numFmt w:val="none"/>
      <w:suff w:val="nothing"/>
      <w:lvlText w:val=""/>
      <w:lvlJc w:val="left"/>
      <w:pPr>
        <w:ind w:left="510" w:firstLine="0"/>
      </w:pPr>
      <w:rPr>
        <w:rFonts w:hint="default"/>
      </w:rPr>
    </w:lvl>
    <w:lvl w:ilvl="8">
      <w:start w:val="1"/>
      <w:numFmt w:val="none"/>
      <w:suff w:val="nothing"/>
      <w:lvlText w:val=""/>
      <w:lvlJc w:val="left"/>
      <w:pPr>
        <w:ind w:left="510" w:firstLine="0"/>
      </w:pPr>
      <w:rPr>
        <w:rFonts w:hint="default"/>
      </w:rPr>
    </w:lvl>
  </w:abstractNum>
  <w:abstractNum w:abstractNumId="9" w15:restartNumberingAfterBreak="0">
    <w:nsid w:val="76F27992"/>
    <w:multiLevelType w:val="hybridMultilevel"/>
    <w:tmpl w:val="8E28FDE8"/>
    <w:lvl w:ilvl="0" w:tplc="7B981C04">
      <w:start w:val="1"/>
      <w:numFmt w:val="decimal"/>
      <w:pStyle w:val="References"/>
      <w:lvlText w:val="[%1]"/>
      <w:lvlJc w:val="left"/>
      <w:pPr>
        <w:tabs>
          <w:tab w:val="num" w:pos="255"/>
        </w:tabs>
        <w:ind w:left="369" w:hanging="369"/>
      </w:pPr>
      <w:rPr>
        <w:rFonts w:hint="default"/>
        <w:sz w:val="16"/>
        <w:szCs w:val="16"/>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773454BF"/>
    <w:multiLevelType w:val="hybridMultilevel"/>
    <w:tmpl w:val="F564804E"/>
    <w:lvl w:ilvl="0" w:tplc="0410000F">
      <w:start w:val="1"/>
      <w:numFmt w:val="decimal"/>
      <w:lvlText w:val="%1."/>
      <w:lvlJc w:val="left"/>
      <w:pPr>
        <w:ind w:left="1077" w:hanging="360"/>
      </w:pPr>
    </w:lvl>
    <w:lvl w:ilvl="1" w:tplc="04100019" w:tentative="1">
      <w:start w:val="1"/>
      <w:numFmt w:val="lowerLetter"/>
      <w:lvlText w:val="%2."/>
      <w:lvlJc w:val="left"/>
      <w:pPr>
        <w:ind w:left="1797" w:hanging="360"/>
      </w:pPr>
    </w:lvl>
    <w:lvl w:ilvl="2" w:tplc="0410001B" w:tentative="1">
      <w:start w:val="1"/>
      <w:numFmt w:val="lowerRoman"/>
      <w:lvlText w:val="%3."/>
      <w:lvlJc w:val="right"/>
      <w:pPr>
        <w:ind w:left="2517" w:hanging="180"/>
      </w:pPr>
    </w:lvl>
    <w:lvl w:ilvl="3" w:tplc="0410000F" w:tentative="1">
      <w:start w:val="1"/>
      <w:numFmt w:val="decimal"/>
      <w:lvlText w:val="%4."/>
      <w:lvlJc w:val="left"/>
      <w:pPr>
        <w:ind w:left="3237" w:hanging="360"/>
      </w:pPr>
    </w:lvl>
    <w:lvl w:ilvl="4" w:tplc="04100019" w:tentative="1">
      <w:start w:val="1"/>
      <w:numFmt w:val="lowerLetter"/>
      <w:lvlText w:val="%5."/>
      <w:lvlJc w:val="left"/>
      <w:pPr>
        <w:ind w:left="3957" w:hanging="360"/>
      </w:pPr>
    </w:lvl>
    <w:lvl w:ilvl="5" w:tplc="0410001B" w:tentative="1">
      <w:start w:val="1"/>
      <w:numFmt w:val="lowerRoman"/>
      <w:lvlText w:val="%6."/>
      <w:lvlJc w:val="right"/>
      <w:pPr>
        <w:ind w:left="4677" w:hanging="180"/>
      </w:pPr>
    </w:lvl>
    <w:lvl w:ilvl="6" w:tplc="0410000F" w:tentative="1">
      <w:start w:val="1"/>
      <w:numFmt w:val="decimal"/>
      <w:lvlText w:val="%7."/>
      <w:lvlJc w:val="left"/>
      <w:pPr>
        <w:ind w:left="5397" w:hanging="360"/>
      </w:pPr>
    </w:lvl>
    <w:lvl w:ilvl="7" w:tplc="04100019" w:tentative="1">
      <w:start w:val="1"/>
      <w:numFmt w:val="lowerLetter"/>
      <w:lvlText w:val="%8."/>
      <w:lvlJc w:val="left"/>
      <w:pPr>
        <w:ind w:left="6117" w:hanging="360"/>
      </w:pPr>
    </w:lvl>
    <w:lvl w:ilvl="8" w:tplc="0410001B" w:tentative="1">
      <w:start w:val="1"/>
      <w:numFmt w:val="lowerRoman"/>
      <w:lvlText w:val="%9."/>
      <w:lvlJc w:val="right"/>
      <w:pPr>
        <w:ind w:left="6837" w:hanging="180"/>
      </w:pPr>
    </w:lvl>
  </w:abstractNum>
  <w:num w:numId="1">
    <w:abstractNumId w:val="6"/>
  </w:num>
  <w:num w:numId="2">
    <w:abstractNumId w:val="4"/>
  </w:num>
  <w:num w:numId="3">
    <w:abstractNumId w:val="0"/>
  </w:num>
  <w:num w:numId="4">
    <w:abstractNumId w:val="8"/>
  </w:num>
  <w:num w:numId="5">
    <w:abstractNumId w:val="3"/>
  </w:num>
  <w:num w:numId="6">
    <w:abstractNumId w:val="7"/>
  </w:num>
  <w:num w:numId="7">
    <w:abstractNumId w:val="9"/>
  </w:num>
  <w:num w:numId="8">
    <w:abstractNumId w:val="5"/>
  </w:num>
  <w:num w:numId="9">
    <w:abstractNumId w:val="9"/>
  </w:num>
  <w:num w:numId="10">
    <w:abstractNumId w:val="1"/>
  </w:num>
  <w:num w:numId="11">
    <w:abstractNumId w:val="9"/>
    <w:lvlOverride w:ilvl="0">
      <w:startOverride w:val="1"/>
    </w:lvlOverride>
  </w:num>
  <w:num w:numId="12">
    <w:abstractNumId w:val="2"/>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activeWritingStyle w:lang="it-IT" w:vendorID="64" w:dllVersion="6" w:nlCheck="1" w:checkStyle="0" w:appName="MSWord"/>
  <w:activeWritingStyle w:lang="en-US" w:vendorID="64" w:dllVersion="6" w:nlCheck="1" w:checkStyle="0" w:appName="MSWord"/>
  <w:activeWritingStyle w:lang="en-GB" w:vendorID="64" w:dllVersion="6" w:nlCheck="1" w:checkStyle="0" w:appName="MSWord"/>
  <w:activeWritingStyle w:lang="en-GB" w:vendorID="64" w:dllVersion="0" w:nlCheck="1" w:checkStyle="0" w:appName="MSWord"/>
  <w:activeWritingStyle w:lang="it-IT" w:vendorID="64" w:dllVersion="0" w:nlCheck="1" w:checkStyle="0" w:appName="MSWord"/>
  <w:activeWritingStyle w:lang="en-US" w:vendorID="64" w:dllVersion="0" w:nlCheck="1" w:checkStyle="0" w:appName="MSWord"/>
  <w:activeWritingStyle w:lang="en-GB" w:vendorID="64" w:dllVersion="131078" w:nlCheck="1" w:checkStyle="1" w:appName="MSWord"/>
  <w:activeWritingStyle w:lang="it-IT" w:vendorID="64" w:dllVersion="131078" w:nlCheck="1" w:checkStyle="0" w:appName="MSWord"/>
  <w:activeWritingStyle w:lang="en-US" w:vendorID="64" w:dllVersion="131078" w:nlCheck="1" w:checkStyle="1" w:appName="MSWord"/>
  <w:proofState w:spelling="clean" w:grammar="clean"/>
  <w:attachedTemplate r:id="rId1"/>
  <w:defaultTabStop w:val="720"/>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FLIR_DOCUMENT_ID" w:val="ba1102b5-5f67-4547-ac51-120a6b94b8c6"/>
  </w:docVars>
  <w:rsids>
    <w:rsidRoot w:val="009F1001"/>
    <w:rsid w:val="0000169C"/>
    <w:rsid w:val="00005361"/>
    <w:rsid w:val="00011164"/>
    <w:rsid w:val="00012AF9"/>
    <w:rsid w:val="00020691"/>
    <w:rsid w:val="0002391B"/>
    <w:rsid w:val="00083943"/>
    <w:rsid w:val="00084136"/>
    <w:rsid w:val="00090DFC"/>
    <w:rsid w:val="0009391E"/>
    <w:rsid w:val="000B48D4"/>
    <w:rsid w:val="000D29CD"/>
    <w:rsid w:val="000E20D3"/>
    <w:rsid w:val="000E569A"/>
    <w:rsid w:val="000F26E6"/>
    <w:rsid w:val="000F3966"/>
    <w:rsid w:val="001100EC"/>
    <w:rsid w:val="00114D48"/>
    <w:rsid w:val="001229C0"/>
    <w:rsid w:val="00137F87"/>
    <w:rsid w:val="0016777D"/>
    <w:rsid w:val="001828F5"/>
    <w:rsid w:val="00182B7C"/>
    <w:rsid w:val="0018486F"/>
    <w:rsid w:val="00190CC7"/>
    <w:rsid w:val="001A0163"/>
    <w:rsid w:val="001A39E2"/>
    <w:rsid w:val="001B7C93"/>
    <w:rsid w:val="001D5420"/>
    <w:rsid w:val="001F65EA"/>
    <w:rsid w:val="001F7ABB"/>
    <w:rsid w:val="002048FA"/>
    <w:rsid w:val="00246FD3"/>
    <w:rsid w:val="00290128"/>
    <w:rsid w:val="00295CF0"/>
    <w:rsid w:val="002B2CC6"/>
    <w:rsid w:val="002C12E6"/>
    <w:rsid w:val="002C2ECE"/>
    <w:rsid w:val="002C771D"/>
    <w:rsid w:val="002D11B1"/>
    <w:rsid w:val="0031696D"/>
    <w:rsid w:val="00333AB5"/>
    <w:rsid w:val="00350AE6"/>
    <w:rsid w:val="00367439"/>
    <w:rsid w:val="00384867"/>
    <w:rsid w:val="0038740B"/>
    <w:rsid w:val="003B004A"/>
    <w:rsid w:val="003D1FB5"/>
    <w:rsid w:val="003E2E31"/>
    <w:rsid w:val="003E667F"/>
    <w:rsid w:val="00413BE8"/>
    <w:rsid w:val="00425CD6"/>
    <w:rsid w:val="00440E5D"/>
    <w:rsid w:val="00441B02"/>
    <w:rsid w:val="004442DA"/>
    <w:rsid w:val="004708AC"/>
    <w:rsid w:val="00475E79"/>
    <w:rsid w:val="00485D90"/>
    <w:rsid w:val="004A49C9"/>
    <w:rsid w:val="004A78DC"/>
    <w:rsid w:val="004B2ECE"/>
    <w:rsid w:val="004C7DF3"/>
    <w:rsid w:val="004D21DF"/>
    <w:rsid w:val="004D48A5"/>
    <w:rsid w:val="004D4E20"/>
    <w:rsid w:val="004D6BA2"/>
    <w:rsid w:val="005541C1"/>
    <w:rsid w:val="005872F1"/>
    <w:rsid w:val="005A11B6"/>
    <w:rsid w:val="005D2A4E"/>
    <w:rsid w:val="005E3076"/>
    <w:rsid w:val="00614072"/>
    <w:rsid w:val="006161C2"/>
    <w:rsid w:val="00631672"/>
    <w:rsid w:val="0063783F"/>
    <w:rsid w:val="00652A8B"/>
    <w:rsid w:val="006949EA"/>
    <w:rsid w:val="006A1AE2"/>
    <w:rsid w:val="006A394A"/>
    <w:rsid w:val="006A564B"/>
    <w:rsid w:val="006C4527"/>
    <w:rsid w:val="006C4ECA"/>
    <w:rsid w:val="006C62EF"/>
    <w:rsid w:val="006D20D8"/>
    <w:rsid w:val="006F6FF3"/>
    <w:rsid w:val="0070442C"/>
    <w:rsid w:val="00704B2B"/>
    <w:rsid w:val="00716193"/>
    <w:rsid w:val="00717104"/>
    <w:rsid w:val="007429F5"/>
    <w:rsid w:val="00755571"/>
    <w:rsid w:val="00755F88"/>
    <w:rsid w:val="0076585B"/>
    <w:rsid w:val="00783DF1"/>
    <w:rsid w:val="0078525A"/>
    <w:rsid w:val="00791773"/>
    <w:rsid w:val="00804BA3"/>
    <w:rsid w:val="008261B0"/>
    <w:rsid w:val="00836E19"/>
    <w:rsid w:val="008609AE"/>
    <w:rsid w:val="0086417B"/>
    <w:rsid w:val="00884ACA"/>
    <w:rsid w:val="0088728B"/>
    <w:rsid w:val="008A71A1"/>
    <w:rsid w:val="008B4B44"/>
    <w:rsid w:val="008D0661"/>
    <w:rsid w:val="008E3D9A"/>
    <w:rsid w:val="008E7822"/>
    <w:rsid w:val="00910DD1"/>
    <w:rsid w:val="00927555"/>
    <w:rsid w:val="009279A1"/>
    <w:rsid w:val="0094212A"/>
    <w:rsid w:val="00942405"/>
    <w:rsid w:val="00943BC5"/>
    <w:rsid w:val="00955A52"/>
    <w:rsid w:val="009665D7"/>
    <w:rsid w:val="009B57C7"/>
    <w:rsid w:val="009C19D3"/>
    <w:rsid w:val="009D431D"/>
    <w:rsid w:val="009D5BC3"/>
    <w:rsid w:val="009E12A0"/>
    <w:rsid w:val="009F1001"/>
    <w:rsid w:val="00A00F81"/>
    <w:rsid w:val="00A017A5"/>
    <w:rsid w:val="00A060AC"/>
    <w:rsid w:val="00A07E3C"/>
    <w:rsid w:val="00A21F2D"/>
    <w:rsid w:val="00A308F9"/>
    <w:rsid w:val="00A33E90"/>
    <w:rsid w:val="00A43527"/>
    <w:rsid w:val="00A436F1"/>
    <w:rsid w:val="00A56127"/>
    <w:rsid w:val="00A56AAF"/>
    <w:rsid w:val="00A632F2"/>
    <w:rsid w:val="00A635F6"/>
    <w:rsid w:val="00A7525E"/>
    <w:rsid w:val="00A92B75"/>
    <w:rsid w:val="00AA3846"/>
    <w:rsid w:val="00AB3419"/>
    <w:rsid w:val="00AC0C2C"/>
    <w:rsid w:val="00AC449F"/>
    <w:rsid w:val="00AE0C34"/>
    <w:rsid w:val="00AE0F9E"/>
    <w:rsid w:val="00AE1751"/>
    <w:rsid w:val="00AF1457"/>
    <w:rsid w:val="00AF4F56"/>
    <w:rsid w:val="00AF6342"/>
    <w:rsid w:val="00B05D6E"/>
    <w:rsid w:val="00B05EA3"/>
    <w:rsid w:val="00B10CF4"/>
    <w:rsid w:val="00B22041"/>
    <w:rsid w:val="00B25A76"/>
    <w:rsid w:val="00B31319"/>
    <w:rsid w:val="00B32BDB"/>
    <w:rsid w:val="00B475FB"/>
    <w:rsid w:val="00B51ACD"/>
    <w:rsid w:val="00B62F86"/>
    <w:rsid w:val="00B7559C"/>
    <w:rsid w:val="00B775A0"/>
    <w:rsid w:val="00B84B70"/>
    <w:rsid w:val="00B867DF"/>
    <w:rsid w:val="00B95A5A"/>
    <w:rsid w:val="00BC7BAE"/>
    <w:rsid w:val="00BD4EE3"/>
    <w:rsid w:val="00BD70EE"/>
    <w:rsid w:val="00BE3A95"/>
    <w:rsid w:val="00BF6514"/>
    <w:rsid w:val="00C0540D"/>
    <w:rsid w:val="00C05DE2"/>
    <w:rsid w:val="00C20F96"/>
    <w:rsid w:val="00C22025"/>
    <w:rsid w:val="00C4664D"/>
    <w:rsid w:val="00C46CAE"/>
    <w:rsid w:val="00C55FDA"/>
    <w:rsid w:val="00C60065"/>
    <w:rsid w:val="00C73872"/>
    <w:rsid w:val="00C97D11"/>
    <w:rsid w:val="00CB6BD9"/>
    <w:rsid w:val="00CC5492"/>
    <w:rsid w:val="00CF3C1A"/>
    <w:rsid w:val="00CF5C91"/>
    <w:rsid w:val="00D14137"/>
    <w:rsid w:val="00D147BD"/>
    <w:rsid w:val="00D15B38"/>
    <w:rsid w:val="00D219BC"/>
    <w:rsid w:val="00D34C81"/>
    <w:rsid w:val="00D41952"/>
    <w:rsid w:val="00D44BA4"/>
    <w:rsid w:val="00D51458"/>
    <w:rsid w:val="00D541DD"/>
    <w:rsid w:val="00D63C09"/>
    <w:rsid w:val="00D64720"/>
    <w:rsid w:val="00D6733A"/>
    <w:rsid w:val="00D76F34"/>
    <w:rsid w:val="00D82BC9"/>
    <w:rsid w:val="00D94F41"/>
    <w:rsid w:val="00DB160C"/>
    <w:rsid w:val="00DE7112"/>
    <w:rsid w:val="00DF01A0"/>
    <w:rsid w:val="00E240BB"/>
    <w:rsid w:val="00E4513D"/>
    <w:rsid w:val="00E4693D"/>
    <w:rsid w:val="00E61C15"/>
    <w:rsid w:val="00E61F4D"/>
    <w:rsid w:val="00E65DFA"/>
    <w:rsid w:val="00E716E5"/>
    <w:rsid w:val="00E82F91"/>
    <w:rsid w:val="00E845F7"/>
    <w:rsid w:val="00E848DE"/>
    <w:rsid w:val="00EA4C81"/>
    <w:rsid w:val="00EC36FD"/>
    <w:rsid w:val="00EC3C31"/>
    <w:rsid w:val="00EE02F3"/>
    <w:rsid w:val="00EF28A2"/>
    <w:rsid w:val="00F07FC3"/>
    <w:rsid w:val="00F118F1"/>
    <w:rsid w:val="00F13FF9"/>
    <w:rsid w:val="00F15A14"/>
    <w:rsid w:val="00F2014C"/>
    <w:rsid w:val="00F3206E"/>
    <w:rsid w:val="00F3326C"/>
    <w:rsid w:val="00F34A83"/>
    <w:rsid w:val="00F36421"/>
    <w:rsid w:val="00F36836"/>
    <w:rsid w:val="00F40A2D"/>
    <w:rsid w:val="00F542DA"/>
    <w:rsid w:val="00F725CB"/>
    <w:rsid w:val="00F90CB7"/>
    <w:rsid w:val="00F916A5"/>
    <w:rsid w:val="00FA6550"/>
    <w:rsid w:val="00FB2684"/>
    <w:rsid w:val="00FC2A84"/>
    <w:rsid w:val="00FC5F58"/>
    <w:rsid w:val="00FD1E98"/>
    <w:rsid w:val="00FD475D"/>
    <w:rsid w:val="00FD5021"/>
    <w:rsid w:val="00FD6FD5"/>
    <w:rsid w:val="00FF142F"/>
    <w:rsid w:val="00FF229B"/>
    <w:rsid w:val="00FF35A5"/>
    <w:rsid w:val="00FF3B78"/>
    <w:rsid w:val="00FF6BA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61CA276"/>
  <w15:chartTrackingRefBased/>
  <w15:docId w15:val="{CE31AA69-FE55-4996-A6F6-9C6864D1F8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MS Mincho" w:hAnsi="Times New Roman" w:cs="Times New Roman"/>
        <w:lang w:val="nl-NL" w:eastAsia="nl-NL"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pPr>
      <w:ind w:firstLine="357"/>
      <w:jc w:val="both"/>
    </w:pPr>
    <w:rPr>
      <w:szCs w:val="24"/>
      <w:lang w:val="en-US" w:eastAsia="ja-JP"/>
    </w:rPr>
  </w:style>
  <w:style w:type="paragraph" w:styleId="Titolo1">
    <w:name w:val="heading 1"/>
    <w:basedOn w:val="Normale"/>
    <w:next w:val="NoindentNormal"/>
    <w:qFormat/>
    <w:pPr>
      <w:keepNext/>
      <w:keepLines/>
      <w:numPr>
        <w:numId w:val="4"/>
      </w:numPr>
      <w:suppressAutoHyphens/>
      <w:spacing w:before="480" w:after="240"/>
      <w:jc w:val="left"/>
      <w:outlineLvl w:val="0"/>
    </w:pPr>
    <w:rPr>
      <w:rFonts w:cs="Arial"/>
      <w:b/>
      <w:bCs/>
      <w:kern w:val="32"/>
      <w:szCs w:val="32"/>
    </w:rPr>
  </w:style>
  <w:style w:type="paragraph" w:styleId="Titolo2">
    <w:name w:val="heading 2"/>
    <w:basedOn w:val="Normale"/>
    <w:next w:val="NoindentNormal"/>
    <w:qFormat/>
    <w:pPr>
      <w:keepNext/>
      <w:keepLines/>
      <w:numPr>
        <w:ilvl w:val="1"/>
        <w:numId w:val="4"/>
      </w:numPr>
      <w:suppressAutoHyphens/>
      <w:spacing w:before="240" w:after="240"/>
      <w:jc w:val="left"/>
      <w:outlineLvl w:val="1"/>
    </w:pPr>
    <w:rPr>
      <w:rFonts w:cs="Arial"/>
      <w:bCs/>
      <w:i/>
      <w:iCs/>
      <w:szCs w:val="28"/>
    </w:rPr>
  </w:style>
  <w:style w:type="paragraph" w:styleId="Titolo3">
    <w:name w:val="heading 3"/>
    <w:basedOn w:val="Normale"/>
    <w:next w:val="NoindentNormal"/>
    <w:qFormat/>
    <w:pPr>
      <w:keepNext/>
      <w:keepLines/>
      <w:numPr>
        <w:ilvl w:val="2"/>
        <w:numId w:val="4"/>
      </w:numPr>
      <w:suppressAutoHyphens/>
      <w:spacing w:before="240" w:after="120"/>
      <w:jc w:val="left"/>
      <w:outlineLvl w:val="2"/>
    </w:pPr>
    <w:rPr>
      <w:rFonts w:cs="Arial"/>
      <w:bCs/>
      <w:i/>
      <w:szCs w:val="26"/>
    </w:rPr>
  </w:style>
  <w:style w:type="paragraph" w:styleId="Titolo4">
    <w:name w:val="heading 4"/>
    <w:basedOn w:val="Normale"/>
    <w:next w:val="NoindentNormal"/>
    <w:qFormat/>
    <w:pPr>
      <w:keepNext/>
      <w:numPr>
        <w:ilvl w:val="3"/>
        <w:numId w:val="4"/>
      </w:numPr>
      <w:suppressAutoHyphens/>
      <w:spacing w:before="120"/>
      <w:jc w:val="left"/>
      <w:outlineLvl w:val="3"/>
    </w:pPr>
    <w:rPr>
      <w:bCs/>
      <w:i/>
      <w:szCs w:val="28"/>
    </w:rPr>
  </w:style>
  <w:style w:type="paragraph" w:styleId="Titolo5">
    <w:name w:val="heading 5"/>
    <w:basedOn w:val="Normale"/>
    <w:next w:val="NoindentNormal"/>
    <w:qFormat/>
    <w:pPr>
      <w:numPr>
        <w:ilvl w:val="4"/>
        <w:numId w:val="4"/>
      </w:numPr>
      <w:jc w:val="left"/>
      <w:outlineLvl w:val="4"/>
    </w:pPr>
    <w:rPr>
      <w:bCs/>
      <w:i/>
      <w:iCs/>
      <w:szCs w:val="26"/>
    </w:rPr>
  </w:style>
  <w:style w:type="paragraph" w:styleId="Titolo6">
    <w:name w:val="heading 6"/>
    <w:basedOn w:val="Normale"/>
    <w:next w:val="Normale"/>
    <w:qFormat/>
    <w:pPr>
      <w:numPr>
        <w:ilvl w:val="5"/>
        <w:numId w:val="4"/>
      </w:numPr>
      <w:spacing w:before="240"/>
      <w:outlineLvl w:val="5"/>
    </w:pPr>
    <w:rPr>
      <w:bCs/>
      <w:szCs w:val="22"/>
    </w:rPr>
  </w:style>
  <w:style w:type="paragraph" w:styleId="Titolo7">
    <w:name w:val="heading 7"/>
    <w:basedOn w:val="Normale"/>
    <w:next w:val="Normale"/>
    <w:qFormat/>
    <w:pPr>
      <w:spacing w:before="240" w:after="60"/>
      <w:outlineLvl w:val="6"/>
    </w:pPr>
    <w:rPr>
      <w:sz w:val="24"/>
    </w:rPr>
  </w:style>
  <w:style w:type="paragraph" w:styleId="Titolo8">
    <w:name w:val="heading 8"/>
    <w:basedOn w:val="Normale"/>
    <w:next w:val="Normale"/>
    <w:qFormat/>
    <w:pPr>
      <w:spacing w:before="240" w:after="60"/>
      <w:outlineLvl w:val="7"/>
    </w:pPr>
    <w:rPr>
      <w:i/>
      <w:iCs/>
      <w:sz w:val="24"/>
    </w:rPr>
  </w:style>
  <w:style w:type="paragraph" w:styleId="Titolo9">
    <w:name w:val="heading 9"/>
    <w:basedOn w:val="Normale"/>
    <w:next w:val="Normale"/>
    <w:qFormat/>
    <w:pPr>
      <w:spacing w:before="240" w:after="60"/>
      <w:outlineLvl w:val="8"/>
    </w:pPr>
    <w:rPr>
      <w:rFonts w:ascii="Arial" w:hAnsi="Arial" w:cs="Arial"/>
      <w:sz w:val="22"/>
      <w:szCs w:val="2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NoindentNormal">
    <w:name w:val="NoindentNormal"/>
    <w:basedOn w:val="Normale"/>
    <w:next w:val="Normale"/>
    <w:pPr>
      <w:ind w:firstLine="0"/>
    </w:pPr>
  </w:style>
  <w:style w:type="paragraph" w:customStyle="1" w:styleId="Citaat1">
    <w:name w:val="Citaat1"/>
    <w:basedOn w:val="Normale"/>
    <w:pPr>
      <w:ind w:left="204"/>
    </w:pPr>
    <w:rPr>
      <w:sz w:val="18"/>
    </w:rPr>
  </w:style>
  <w:style w:type="paragraph" w:customStyle="1" w:styleId="Abstract">
    <w:name w:val="Abstract"/>
    <w:basedOn w:val="Normale"/>
    <w:pPr>
      <w:adjustRightInd w:val="0"/>
      <w:snapToGrid w:val="0"/>
      <w:spacing w:before="480"/>
      <w:ind w:left="851" w:right="851" w:firstLine="0"/>
    </w:pPr>
    <w:rPr>
      <w:sz w:val="16"/>
    </w:rPr>
  </w:style>
  <w:style w:type="paragraph" w:customStyle="1" w:styleId="Affiliation">
    <w:name w:val="Affiliation"/>
    <w:basedOn w:val="Normale"/>
    <w:pPr>
      <w:ind w:firstLine="0"/>
      <w:jc w:val="center"/>
    </w:pPr>
    <w:rPr>
      <w:i/>
    </w:rPr>
  </w:style>
  <w:style w:type="paragraph" w:customStyle="1" w:styleId="Equation">
    <w:name w:val="Equation"/>
    <w:basedOn w:val="Normale"/>
    <w:pPr>
      <w:tabs>
        <w:tab w:val="left" w:pos="6781"/>
      </w:tabs>
      <w:spacing w:before="240" w:after="240"/>
      <w:ind w:left="454" w:firstLine="0"/>
      <w:jc w:val="left"/>
    </w:pPr>
  </w:style>
  <w:style w:type="paragraph" w:customStyle="1" w:styleId="Footnote">
    <w:name w:val="Footnote"/>
    <w:basedOn w:val="Normale"/>
    <w:pPr>
      <w:ind w:firstLine="136"/>
    </w:pPr>
    <w:rPr>
      <w:sz w:val="16"/>
    </w:rPr>
  </w:style>
  <w:style w:type="paragraph" w:customStyle="1" w:styleId="LISTalph">
    <w:name w:val="LISTalph"/>
    <w:basedOn w:val="Normale"/>
    <w:pPr>
      <w:numPr>
        <w:numId w:val="1"/>
      </w:numPr>
      <w:tabs>
        <w:tab w:val="left" w:pos="499"/>
      </w:tabs>
    </w:pPr>
  </w:style>
  <w:style w:type="paragraph" w:customStyle="1" w:styleId="LISTdash">
    <w:name w:val="LISTdash"/>
    <w:basedOn w:val="Normale"/>
    <w:pPr>
      <w:numPr>
        <w:numId w:val="2"/>
      </w:numPr>
      <w:tabs>
        <w:tab w:val="left" w:pos="454"/>
      </w:tabs>
      <w:adjustRightInd w:val="0"/>
      <w:snapToGrid w:val="0"/>
    </w:pPr>
  </w:style>
  <w:style w:type="paragraph" w:customStyle="1" w:styleId="LISTnum">
    <w:name w:val="LISTnum"/>
    <w:basedOn w:val="Normale"/>
    <w:pPr>
      <w:numPr>
        <w:numId w:val="6"/>
      </w:numPr>
      <w:adjustRightInd w:val="0"/>
      <w:snapToGrid w:val="0"/>
      <w:ind w:left="714" w:hanging="357"/>
    </w:pPr>
  </w:style>
  <w:style w:type="paragraph" w:customStyle="1" w:styleId="References">
    <w:name w:val="References"/>
    <w:basedOn w:val="Normale"/>
    <w:pPr>
      <w:numPr>
        <w:numId w:val="9"/>
      </w:numPr>
      <w:tabs>
        <w:tab w:val="left" w:pos="85"/>
      </w:tabs>
    </w:pPr>
    <w:rPr>
      <w:sz w:val="16"/>
    </w:rPr>
  </w:style>
  <w:style w:type="paragraph" w:customStyle="1" w:styleId="Table">
    <w:name w:val="Table"/>
    <w:basedOn w:val="Normale"/>
    <w:pPr>
      <w:spacing w:before="60" w:after="60"/>
      <w:ind w:firstLine="0"/>
      <w:jc w:val="left"/>
    </w:pPr>
    <w:rPr>
      <w:sz w:val="16"/>
    </w:rPr>
  </w:style>
  <w:style w:type="paragraph" w:styleId="Titolo">
    <w:name w:val="Title"/>
    <w:basedOn w:val="Normale"/>
    <w:next w:val="Normale"/>
    <w:qFormat/>
    <w:pPr>
      <w:spacing w:before="480" w:after="320"/>
      <w:ind w:firstLine="0"/>
      <w:jc w:val="center"/>
    </w:pPr>
    <w:rPr>
      <w:noProof/>
      <w:kern w:val="28"/>
      <w:sz w:val="40"/>
    </w:rPr>
  </w:style>
  <w:style w:type="paragraph" w:customStyle="1" w:styleId="Author">
    <w:name w:val="Author"/>
    <w:basedOn w:val="Normale"/>
    <w:pPr>
      <w:ind w:firstLine="0"/>
      <w:jc w:val="center"/>
    </w:pPr>
  </w:style>
  <w:style w:type="paragraph" w:styleId="Didascalia">
    <w:name w:val="caption"/>
    <w:basedOn w:val="Normale"/>
    <w:next w:val="Normale"/>
    <w:qFormat/>
    <w:pPr>
      <w:spacing w:before="80" w:after="80"/>
      <w:ind w:firstLine="0"/>
    </w:pPr>
    <w:rPr>
      <w:sz w:val="16"/>
    </w:rPr>
  </w:style>
  <w:style w:type="paragraph" w:customStyle="1" w:styleId="LISTDescription">
    <w:name w:val="LISTDescription"/>
    <w:basedOn w:val="Normale"/>
    <w:pPr>
      <w:ind w:left="454" w:hanging="454"/>
    </w:pPr>
  </w:style>
  <w:style w:type="paragraph" w:customStyle="1" w:styleId="Notes">
    <w:name w:val="Notes"/>
    <w:basedOn w:val="Normale"/>
    <w:rPr>
      <w:sz w:val="16"/>
    </w:rPr>
  </w:style>
  <w:style w:type="paragraph" w:styleId="Corpotesto">
    <w:name w:val="Body Text"/>
    <w:basedOn w:val="Normale"/>
    <w:semiHidden/>
    <w:pPr>
      <w:spacing w:after="120"/>
    </w:pPr>
  </w:style>
  <w:style w:type="paragraph" w:customStyle="1" w:styleId="CaptionLong">
    <w:name w:val="CaptionLong"/>
    <w:basedOn w:val="Normale"/>
    <w:pPr>
      <w:spacing w:before="80" w:after="80"/>
      <w:ind w:firstLine="0"/>
    </w:pPr>
    <w:rPr>
      <w:sz w:val="16"/>
    </w:rPr>
  </w:style>
  <w:style w:type="paragraph" w:customStyle="1" w:styleId="HeadingUnn1">
    <w:name w:val="HeadingUnn1"/>
    <w:basedOn w:val="Titolo1"/>
    <w:next w:val="NoindentNormal"/>
    <w:pPr>
      <w:numPr>
        <w:numId w:val="0"/>
      </w:numPr>
    </w:pPr>
    <w:rPr>
      <w:bCs w:val="0"/>
    </w:rPr>
  </w:style>
  <w:style w:type="paragraph" w:customStyle="1" w:styleId="HeadingUnn2">
    <w:name w:val="HeadingUnn2"/>
    <w:basedOn w:val="Titolo2"/>
    <w:next w:val="NoindentNormal"/>
    <w:pPr>
      <w:numPr>
        <w:ilvl w:val="0"/>
        <w:numId w:val="0"/>
      </w:numPr>
    </w:pPr>
  </w:style>
  <w:style w:type="paragraph" w:customStyle="1" w:styleId="HeadingUnn3">
    <w:name w:val="HeadingUnn3"/>
    <w:basedOn w:val="Titolo3"/>
    <w:next w:val="NoindentNormal"/>
    <w:pPr>
      <w:numPr>
        <w:ilvl w:val="0"/>
        <w:numId w:val="0"/>
      </w:numPr>
    </w:pPr>
  </w:style>
  <w:style w:type="paragraph" w:customStyle="1" w:styleId="HeadingUnn4">
    <w:name w:val="HeadingUnn4"/>
    <w:basedOn w:val="Titolo4"/>
    <w:next w:val="NoindentNormal"/>
    <w:pPr>
      <w:numPr>
        <w:ilvl w:val="0"/>
        <w:numId w:val="0"/>
      </w:numPr>
    </w:pPr>
  </w:style>
  <w:style w:type="paragraph" w:customStyle="1" w:styleId="HeadingUnn5">
    <w:name w:val="HeadingUnn5"/>
    <w:basedOn w:val="Titolo5"/>
    <w:next w:val="Normale"/>
    <w:pPr>
      <w:numPr>
        <w:ilvl w:val="0"/>
        <w:numId w:val="0"/>
      </w:numPr>
      <w:spacing w:before="120"/>
    </w:pPr>
  </w:style>
  <w:style w:type="paragraph" w:styleId="Numeroelenco">
    <w:name w:val="List Number"/>
    <w:basedOn w:val="Normale"/>
    <w:semiHidden/>
    <w:pPr>
      <w:numPr>
        <w:numId w:val="3"/>
      </w:numPr>
    </w:pPr>
  </w:style>
  <w:style w:type="paragraph" w:customStyle="1" w:styleId="CaptionShort">
    <w:name w:val="CaptionShort"/>
    <w:basedOn w:val="Normale"/>
    <w:pPr>
      <w:spacing w:before="80" w:after="80"/>
      <w:ind w:firstLine="0"/>
      <w:jc w:val="center"/>
    </w:pPr>
    <w:rPr>
      <w:sz w:val="16"/>
    </w:rPr>
  </w:style>
  <w:style w:type="paragraph" w:customStyle="1" w:styleId="Listbul">
    <w:name w:val="Listbul"/>
    <w:basedOn w:val="Normale"/>
    <w:pPr>
      <w:numPr>
        <w:numId w:val="5"/>
      </w:numPr>
    </w:pPr>
  </w:style>
  <w:style w:type="paragraph" w:customStyle="1" w:styleId="Keywords">
    <w:name w:val="Keywords"/>
    <w:basedOn w:val="Abstract"/>
    <w:next w:val="Titolo1"/>
    <w:pPr>
      <w:spacing w:before="240" w:after="240"/>
    </w:pPr>
  </w:style>
  <w:style w:type="paragraph" w:styleId="Testonotaapidipagina">
    <w:name w:val="footnote text"/>
    <w:basedOn w:val="Normale"/>
    <w:semiHidden/>
    <w:rPr>
      <w:szCs w:val="20"/>
    </w:rPr>
  </w:style>
  <w:style w:type="character" w:styleId="Rimandonotaapidipagina">
    <w:name w:val="footnote reference"/>
    <w:semiHidden/>
    <w:rPr>
      <w:vertAlign w:val="superscript"/>
    </w:rPr>
  </w:style>
  <w:style w:type="character" w:customStyle="1" w:styleId="FootnoteChar">
    <w:name w:val="Footnote Char"/>
    <w:rPr>
      <w:rFonts w:eastAsia="MS Mincho"/>
      <w:sz w:val="16"/>
      <w:szCs w:val="24"/>
      <w:lang w:val="en-US" w:eastAsia="ja-JP" w:bidi="ar-SA"/>
    </w:rPr>
  </w:style>
  <w:style w:type="character" w:customStyle="1" w:styleId="MTEquationSection">
    <w:name w:val="MTEquationSection"/>
    <w:rPr>
      <w:i/>
      <w:vanish/>
      <w:color w:val="FF0000"/>
    </w:rPr>
  </w:style>
  <w:style w:type="paragraph" w:styleId="Paragrafoelenco">
    <w:name w:val="List Paragraph"/>
    <w:basedOn w:val="Normale"/>
    <w:uiPriority w:val="34"/>
    <w:qFormat/>
    <w:rsid w:val="0088728B"/>
    <w:pPr>
      <w:ind w:left="720"/>
      <w:contextualSpacing/>
    </w:pPr>
  </w:style>
  <w:style w:type="paragraph" w:styleId="Testofumetto">
    <w:name w:val="Balloon Text"/>
    <w:basedOn w:val="Normale"/>
    <w:link w:val="TestofumettoCarattere"/>
    <w:uiPriority w:val="99"/>
    <w:semiHidden/>
    <w:unhideWhenUsed/>
    <w:rsid w:val="006A1AE2"/>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6A1AE2"/>
    <w:rPr>
      <w:rFonts w:ascii="Segoe UI" w:hAnsi="Segoe UI" w:cs="Segoe UI"/>
      <w:sz w:val="18"/>
      <w:szCs w:val="18"/>
      <w:lang w:val="en-US" w:eastAsia="ja-JP"/>
    </w:rPr>
  </w:style>
  <w:style w:type="character" w:styleId="Collegamentoipertestuale">
    <w:name w:val="Hyperlink"/>
    <w:basedOn w:val="Carpredefinitoparagrafo"/>
    <w:uiPriority w:val="99"/>
    <w:unhideWhenUsed/>
    <w:rsid w:val="00C0540D"/>
    <w:rPr>
      <w:color w:val="0000FF"/>
      <w:u w:val="single"/>
    </w:rPr>
  </w:style>
  <w:style w:type="table" w:styleId="Grigliatabella">
    <w:name w:val="Table Grid"/>
    <w:basedOn w:val="Tabellanormale"/>
    <w:uiPriority w:val="59"/>
    <w:rsid w:val="00B220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imandocommento">
    <w:name w:val="annotation reference"/>
    <w:basedOn w:val="Carpredefinitoparagrafo"/>
    <w:uiPriority w:val="99"/>
    <w:semiHidden/>
    <w:unhideWhenUsed/>
    <w:rsid w:val="00E65DFA"/>
    <w:rPr>
      <w:sz w:val="16"/>
      <w:szCs w:val="16"/>
    </w:rPr>
  </w:style>
  <w:style w:type="paragraph" w:styleId="Testocommento">
    <w:name w:val="annotation text"/>
    <w:basedOn w:val="Normale"/>
    <w:link w:val="TestocommentoCarattere"/>
    <w:uiPriority w:val="99"/>
    <w:semiHidden/>
    <w:unhideWhenUsed/>
    <w:rsid w:val="00E65DFA"/>
    <w:rPr>
      <w:szCs w:val="20"/>
    </w:rPr>
  </w:style>
  <w:style w:type="character" w:customStyle="1" w:styleId="TestocommentoCarattere">
    <w:name w:val="Testo commento Carattere"/>
    <w:basedOn w:val="Carpredefinitoparagrafo"/>
    <w:link w:val="Testocommento"/>
    <w:uiPriority w:val="99"/>
    <w:semiHidden/>
    <w:rsid w:val="00E65DFA"/>
    <w:rPr>
      <w:lang w:val="en-US" w:eastAsia="ja-JP"/>
    </w:rPr>
  </w:style>
  <w:style w:type="paragraph" w:styleId="Soggettocommento">
    <w:name w:val="annotation subject"/>
    <w:basedOn w:val="Testocommento"/>
    <w:next w:val="Testocommento"/>
    <w:link w:val="SoggettocommentoCarattere"/>
    <w:uiPriority w:val="99"/>
    <w:semiHidden/>
    <w:unhideWhenUsed/>
    <w:rsid w:val="00E65DFA"/>
    <w:rPr>
      <w:b/>
      <w:bCs/>
    </w:rPr>
  </w:style>
  <w:style w:type="character" w:customStyle="1" w:styleId="SoggettocommentoCarattere">
    <w:name w:val="Soggetto commento Carattere"/>
    <w:basedOn w:val="TestocommentoCarattere"/>
    <w:link w:val="Soggettocommento"/>
    <w:uiPriority w:val="99"/>
    <w:semiHidden/>
    <w:rsid w:val="00E65DFA"/>
    <w:rPr>
      <w:b/>
      <w:bCs/>
      <w:lang w:val="en-US" w:eastAsia="ja-JP"/>
    </w:rPr>
  </w:style>
  <w:style w:type="character" w:styleId="Rimandonotadichiusura">
    <w:name w:val="endnote reference"/>
    <w:basedOn w:val="Carpredefinitoparagrafo"/>
    <w:uiPriority w:val="99"/>
    <w:semiHidden/>
    <w:unhideWhenUsed/>
    <w:rsid w:val="002C12E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742624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customXml" Target="ink/ink1.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microsoft.com/office/2007/relationships/hdphoto" Target="media/hdphoto1.wd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3.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D:\Giulia\Ricerca\Ricerca_2022\NAV20222\ECRC_Author_Instructions_and_tools_Word_2020\IOSPressBookArticleWordTemplate%20with%20Text.dotx" TargetMode="Externa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3-28T20:13:10.361"/>
    </inkml:context>
    <inkml:brush xml:id="br0">
      <inkml:brushProperty name="width" value="0.05" units="cm"/>
      <inkml:brushProperty name="height" value="0.05" units="cm"/>
    </inkml:brush>
  </inkml:definitions>
  <inkml:trace contextRef="#ctx0" brushRef="#br0">1 1 6928 0 0,'0'0'152'0'0</inkml:trace>
</inkml:ink>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CEBEBF-031C-4470-A0B8-00F891B0E0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IOSPressBookArticleWordTemplate with Text.dotx</Template>
  <TotalTime>0</TotalTime>
  <Pages>8</Pages>
  <Words>8196</Words>
  <Characters>46720</Characters>
  <Application>Microsoft Office Word</Application>
  <DocSecurity>0</DocSecurity>
  <Lines>389</Lines>
  <Paragraphs>109</Paragraphs>
  <ScaleCrop>false</ScaleCrop>
  <HeadingPairs>
    <vt:vector size="6" baseType="variant">
      <vt:variant>
        <vt:lpstr>Titolo</vt:lpstr>
      </vt:variant>
      <vt:variant>
        <vt:i4>1</vt:i4>
      </vt:variant>
      <vt:variant>
        <vt:lpstr>Titel</vt:lpstr>
      </vt:variant>
      <vt:variant>
        <vt:i4>1</vt:i4>
      </vt:variant>
      <vt:variant>
        <vt:lpstr>Title</vt:lpstr>
      </vt:variant>
      <vt:variant>
        <vt:i4>1</vt:i4>
      </vt:variant>
    </vt:vector>
  </HeadingPairs>
  <TitlesOfParts>
    <vt:vector size="3" baseType="lpstr">
      <vt:lpstr>1</vt:lpstr>
      <vt:lpstr>1</vt:lpstr>
      <vt:lpstr>1</vt:lpstr>
    </vt:vector>
  </TitlesOfParts>
  <Company>VTEX</Company>
  <LinksUpToDate>false</LinksUpToDate>
  <CharactersWithSpaces>54807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Giulia Palomba</dc:creator>
  <cp:keywords/>
  <cp:lastModifiedBy>Giulia Palomba</cp:lastModifiedBy>
  <cp:revision>4</cp:revision>
  <cp:lastPrinted>2022-04-12T20:14:00Z</cp:lastPrinted>
  <dcterms:created xsi:type="dcterms:W3CDTF">2022-04-12T20:10:00Z</dcterms:created>
  <dcterms:modified xsi:type="dcterms:W3CDTF">2022-04-12T20:15:00Z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http://csl.mendeley.com/styles/487557811/marstruct-2</vt:lpwstr>
  </property>
  <property fmtid="{D5CDD505-2E9C-101B-9397-08002B2CF9AE}" pid="3" name="Mendeley Recent Style Name 0_1">
    <vt:lpwstr>American Psychological Association 7th edition - Giulia Palomba</vt:lpwstr>
  </property>
  <property fmtid="{D5CDD505-2E9C-101B-9397-08002B2CF9AE}" pid="4" name="Mendeley Recent Style Id 1_1">
    <vt:lpwstr>http://www.zotero.org/styles/composites-part-b</vt:lpwstr>
  </property>
  <property fmtid="{D5CDD505-2E9C-101B-9397-08002B2CF9AE}" pid="5" name="Mendeley Recent Style Name 1_1">
    <vt:lpwstr>Composites Part B</vt:lpwstr>
  </property>
  <property fmtid="{D5CDD505-2E9C-101B-9397-08002B2CF9AE}" pid="6" name="Mendeley Recent Style Id 2_1">
    <vt:lpwstr>http://www.zotero.org/styles/ieee</vt:lpwstr>
  </property>
  <property fmtid="{D5CDD505-2E9C-101B-9397-08002B2CF9AE}" pid="7" name="Mendeley Recent Style Name 2_1">
    <vt:lpwstr>IEEE</vt:lpwstr>
  </property>
  <property fmtid="{D5CDD505-2E9C-101B-9397-08002B2CF9AE}" pid="8" name="Mendeley Recent Style Id 3_1">
    <vt:lpwstr>http://csl.mendeley.com/styles/487557811/ieee2mod</vt:lpwstr>
  </property>
  <property fmtid="{D5CDD505-2E9C-101B-9397-08002B2CF9AE}" pid="9" name="Mendeley Recent Style Name 3_1">
    <vt:lpwstr>IEEE - Giulia Palomba</vt:lpwstr>
  </property>
  <property fmtid="{D5CDD505-2E9C-101B-9397-08002B2CF9AE}" pid="10" name="Mendeley Recent Style Id 4_1">
    <vt:lpwstr>http://csl.mendeley.com/styles/487557811/harvard-european-archaeology</vt:lpwstr>
  </property>
  <property fmtid="{D5CDD505-2E9C-101B-9397-08002B2CF9AE}" pid="11" name="Mendeley Recent Style Name 4_1">
    <vt:lpwstr>IMAM - Giulia Palomba</vt:lpwstr>
  </property>
  <property fmtid="{D5CDD505-2E9C-101B-9397-08002B2CF9AE}" pid="12" name="Mendeley Recent Style Id 5_1">
    <vt:lpwstr>http://www.zotero.org/styles/multidisciplinary-digital-publishing-institute</vt:lpwstr>
  </property>
  <property fmtid="{D5CDD505-2E9C-101B-9397-08002B2CF9AE}" pid="13" name="Mendeley Recent Style Name 5_1">
    <vt:lpwstr>Multidisciplinary Digital Publishing Institute</vt:lpwstr>
  </property>
  <property fmtid="{D5CDD505-2E9C-101B-9397-08002B2CF9AE}" pid="14" name="Mendeley Recent Style Id 6_1">
    <vt:lpwstr>http://www.zotero.org/styles/ocean-engineering</vt:lpwstr>
  </property>
  <property fmtid="{D5CDD505-2E9C-101B-9397-08002B2CF9AE}" pid="15" name="Mendeley Recent Style Name 6_1">
    <vt:lpwstr>Ocean Engineering</vt:lpwstr>
  </property>
  <property fmtid="{D5CDD505-2E9C-101B-9397-08002B2CF9AE}" pid="16" name="Mendeley Recent Style Id 7_1">
    <vt:lpwstr>http://www.zotero.org/styles/taylor-and-francis-apa</vt:lpwstr>
  </property>
  <property fmtid="{D5CDD505-2E9C-101B-9397-08002B2CF9AE}" pid="17" name="Mendeley Recent Style Name 7_1">
    <vt:lpwstr>Taylor &amp; Francis - APA</vt:lpwstr>
  </property>
  <property fmtid="{D5CDD505-2E9C-101B-9397-08002B2CF9AE}" pid="18" name="Mendeley Recent Style Id 8_1">
    <vt:lpwstr>http://www.zotero.org/styles/taylor-and-francis-chicago-f</vt:lpwstr>
  </property>
  <property fmtid="{D5CDD505-2E9C-101B-9397-08002B2CF9AE}" pid="19" name="Mendeley Recent Style Name 8_1">
    <vt:lpwstr>Taylor &amp; Francis - Chicago F</vt:lpwstr>
  </property>
  <property fmtid="{D5CDD505-2E9C-101B-9397-08002B2CF9AE}" pid="20" name="Mendeley Recent Style Id 9_1">
    <vt:lpwstr>http://www.zotero.org/styles/taylor-and-francis-chicago-author-date</vt:lpwstr>
  </property>
  <property fmtid="{D5CDD505-2E9C-101B-9397-08002B2CF9AE}" pid="21" name="Mendeley Recent Style Name 9_1">
    <vt:lpwstr>Taylor &amp; Francis - Chicago Manual of Style (author-date)</vt:lpwstr>
  </property>
  <property fmtid="{D5CDD505-2E9C-101B-9397-08002B2CF9AE}" pid="22" name="Mendeley Document_1">
    <vt:lpwstr>True</vt:lpwstr>
  </property>
  <property fmtid="{D5CDD505-2E9C-101B-9397-08002B2CF9AE}" pid="23" name="Mendeley Unique User Id_1">
    <vt:lpwstr>e4ba86f7-03ce-3863-9140-64da553e4b89</vt:lpwstr>
  </property>
  <property fmtid="{D5CDD505-2E9C-101B-9397-08002B2CF9AE}" pid="24" name="Mendeley Citation Style_1">
    <vt:lpwstr>http://www.zotero.org/styles/ieee</vt:lpwstr>
  </property>
</Properties>
</file>