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5C96D" w14:textId="7145B226" w:rsidR="00B05D6E" w:rsidRPr="008A1F2E" w:rsidRDefault="006A072B">
      <w:pPr>
        <w:pStyle w:val="Title"/>
      </w:pPr>
      <w:bookmarkStart w:id="0" w:name="_Hlk100349304"/>
      <w:bookmarkEnd w:id="0"/>
      <w:r w:rsidRPr="008A1F2E">
        <w:t>Safety System for Ships in Harbours</w:t>
      </w:r>
    </w:p>
    <w:p w14:paraId="02DD4C45" w14:textId="0BC21B4E" w:rsidR="00B05D6E" w:rsidRPr="00E37481" w:rsidRDefault="00E37481">
      <w:pPr>
        <w:pStyle w:val="Author"/>
        <w:rPr>
          <w:lang w:val="pt-PT"/>
        </w:rPr>
      </w:pPr>
      <w:r w:rsidRPr="00E37481">
        <w:rPr>
          <w:lang w:val="pt-PT"/>
        </w:rPr>
        <w:t>Liliana</w:t>
      </w:r>
      <w:r w:rsidR="00B05D6E" w:rsidRPr="00E37481">
        <w:rPr>
          <w:lang w:val="pt-PT"/>
        </w:rPr>
        <w:t xml:space="preserve"> </w:t>
      </w:r>
      <w:r w:rsidRPr="00E37481">
        <w:rPr>
          <w:lang w:val="pt-PT"/>
        </w:rPr>
        <w:t>PINHEIRO</w:t>
      </w:r>
      <w:r w:rsidR="00B05D6E" w:rsidRPr="00E37481">
        <w:rPr>
          <w:vertAlign w:val="superscript"/>
          <w:lang w:val="pt-PT"/>
        </w:rPr>
        <w:t>a,</w:t>
      </w:r>
      <w:r w:rsidR="00B05D6E" w:rsidRPr="008A1F2E">
        <w:rPr>
          <w:rStyle w:val="FootnoteReference"/>
        </w:rPr>
        <w:footnoteReference w:id="1"/>
      </w:r>
      <w:r w:rsidRPr="00E37481">
        <w:rPr>
          <w:lang w:val="pt-PT"/>
        </w:rPr>
        <w:t>,</w:t>
      </w:r>
      <w:r w:rsidR="00B05D6E" w:rsidRPr="00E37481">
        <w:rPr>
          <w:lang w:val="pt-PT"/>
        </w:rPr>
        <w:t xml:space="preserve"> </w:t>
      </w:r>
      <w:r w:rsidRPr="00E37481">
        <w:rPr>
          <w:lang w:val="pt-PT"/>
        </w:rPr>
        <w:t>Andreia</w:t>
      </w:r>
      <w:r w:rsidR="00B05D6E" w:rsidRPr="00E37481">
        <w:rPr>
          <w:lang w:val="pt-PT"/>
        </w:rPr>
        <w:t xml:space="preserve"> </w:t>
      </w:r>
      <w:r w:rsidRPr="00E37481">
        <w:rPr>
          <w:lang w:val="pt-PT"/>
        </w:rPr>
        <w:t>GOMES</w:t>
      </w:r>
      <w:r w:rsidR="00B05D6E" w:rsidRPr="00E37481">
        <w:rPr>
          <w:sz w:val="8"/>
          <w:szCs w:val="8"/>
          <w:lang w:val="pt-PT"/>
        </w:rPr>
        <w:t xml:space="preserve"> </w:t>
      </w:r>
      <w:r>
        <w:rPr>
          <w:vertAlign w:val="superscript"/>
          <w:lang w:val="pt-PT"/>
        </w:rPr>
        <w:t>a</w:t>
      </w:r>
      <w:r>
        <w:rPr>
          <w:lang w:val="pt-PT"/>
        </w:rPr>
        <w:t>,</w:t>
      </w:r>
      <w:r w:rsidRPr="00E37481">
        <w:rPr>
          <w:lang w:val="pt-PT"/>
        </w:rPr>
        <w:t xml:space="preserve"> </w:t>
      </w:r>
      <w:r>
        <w:rPr>
          <w:lang w:val="pt-PT"/>
        </w:rPr>
        <w:t>Conceição</w:t>
      </w:r>
      <w:r w:rsidRPr="00E37481">
        <w:rPr>
          <w:lang w:val="pt-PT"/>
        </w:rPr>
        <w:t xml:space="preserve"> </w:t>
      </w:r>
      <w:r>
        <w:rPr>
          <w:lang w:val="pt-PT"/>
        </w:rPr>
        <w:t>FORTES</w:t>
      </w:r>
      <w:r w:rsidRPr="00E37481">
        <w:rPr>
          <w:sz w:val="8"/>
          <w:szCs w:val="8"/>
          <w:lang w:val="pt-PT"/>
        </w:rPr>
        <w:t xml:space="preserve"> </w:t>
      </w:r>
      <w:r>
        <w:rPr>
          <w:vertAlign w:val="superscript"/>
          <w:lang w:val="pt-PT"/>
        </w:rPr>
        <w:t>a</w:t>
      </w:r>
      <w:r w:rsidRPr="00E37481">
        <w:rPr>
          <w:lang w:val="pt-PT"/>
        </w:rPr>
        <w:t xml:space="preserve"> and </w:t>
      </w:r>
      <w:r>
        <w:rPr>
          <w:lang w:val="pt-PT"/>
        </w:rPr>
        <w:t>João A.</w:t>
      </w:r>
      <w:r w:rsidRPr="00E37481">
        <w:rPr>
          <w:lang w:val="pt-PT"/>
        </w:rPr>
        <w:t xml:space="preserve"> </w:t>
      </w:r>
      <w:r>
        <w:rPr>
          <w:lang w:val="pt-PT"/>
        </w:rPr>
        <w:t>SANTOS</w:t>
      </w:r>
      <w:r w:rsidRPr="00E37481">
        <w:rPr>
          <w:sz w:val="8"/>
          <w:szCs w:val="8"/>
          <w:lang w:val="pt-PT"/>
        </w:rPr>
        <w:t xml:space="preserve"> </w:t>
      </w:r>
      <w:r w:rsidRPr="00E37481">
        <w:rPr>
          <w:vertAlign w:val="superscript"/>
          <w:lang w:val="pt-PT"/>
        </w:rPr>
        <w:t>b</w:t>
      </w:r>
    </w:p>
    <w:p w14:paraId="7EC3954E" w14:textId="1870290B" w:rsidR="00B05D6E" w:rsidRPr="00E37481" w:rsidRDefault="00B05D6E">
      <w:pPr>
        <w:pStyle w:val="Affiliation"/>
      </w:pPr>
      <w:r w:rsidRPr="00E37481">
        <w:rPr>
          <w:i w:val="0"/>
          <w:vertAlign w:val="superscript"/>
        </w:rPr>
        <w:t>a</w:t>
      </w:r>
      <w:r w:rsidRPr="00E37481">
        <w:rPr>
          <w:sz w:val="8"/>
          <w:szCs w:val="8"/>
        </w:rPr>
        <w:t xml:space="preserve"> </w:t>
      </w:r>
      <w:r w:rsidR="00E37481" w:rsidRPr="00E37481">
        <w:t xml:space="preserve">Ports and Maritime Structures </w:t>
      </w:r>
      <w:proofErr w:type="gramStart"/>
      <w:r w:rsidR="00E37481" w:rsidRPr="00E37481">
        <w:t>Unit ;</w:t>
      </w:r>
      <w:proofErr w:type="gramEnd"/>
      <w:r w:rsidR="00E37481" w:rsidRPr="00E37481">
        <w:t xml:space="preserve"> Hydraulics and Environment Department, National Laboratory of Civil Engineering</w:t>
      </w:r>
      <w:r w:rsidR="00E37481">
        <w:t>. Lisbon, Portugal</w:t>
      </w:r>
    </w:p>
    <w:p w14:paraId="3043D1EB" w14:textId="6BE3B330" w:rsidR="00B05D6E" w:rsidRPr="008A1F2E" w:rsidRDefault="00B05D6E">
      <w:pPr>
        <w:pStyle w:val="Affiliation"/>
        <w:rPr>
          <w:lang w:val="fr-FR"/>
        </w:rPr>
      </w:pPr>
      <w:proofErr w:type="gramStart"/>
      <w:r w:rsidRPr="008A1F2E">
        <w:rPr>
          <w:i w:val="0"/>
          <w:vertAlign w:val="superscript"/>
          <w:lang w:val="fr-FR"/>
        </w:rPr>
        <w:t>b</w:t>
      </w:r>
      <w:proofErr w:type="gramEnd"/>
      <w:r w:rsidRPr="008A1F2E">
        <w:rPr>
          <w:sz w:val="8"/>
          <w:szCs w:val="8"/>
          <w:lang w:val="fr-FR"/>
        </w:rPr>
        <w:t xml:space="preserve"> </w:t>
      </w:r>
      <w:proofErr w:type="spellStart"/>
      <w:r w:rsidR="00E37481">
        <w:rPr>
          <w:lang w:val="fr-FR"/>
        </w:rPr>
        <w:t>Polytechnic</w:t>
      </w:r>
      <w:proofErr w:type="spellEnd"/>
      <w:r w:rsidR="00E37481">
        <w:rPr>
          <w:lang w:val="fr-FR"/>
        </w:rPr>
        <w:t xml:space="preserve"> Institute of </w:t>
      </w:r>
      <w:proofErr w:type="spellStart"/>
      <w:r w:rsidR="00E37481">
        <w:rPr>
          <w:lang w:val="fr-FR"/>
        </w:rPr>
        <w:t>Lisbon</w:t>
      </w:r>
      <w:proofErr w:type="spellEnd"/>
      <w:r w:rsidR="00E37481">
        <w:rPr>
          <w:lang w:val="fr-FR"/>
        </w:rPr>
        <w:t>, Portugal</w:t>
      </w:r>
    </w:p>
    <w:p w14:paraId="34D8E33D" w14:textId="37BF02FD" w:rsidR="00B05D6E" w:rsidRPr="008A1F2E" w:rsidRDefault="00B05D6E">
      <w:pPr>
        <w:pStyle w:val="Abstract"/>
      </w:pPr>
      <w:r w:rsidRPr="008A1F2E">
        <w:rPr>
          <w:b/>
          <w:lang w:val="fr-FR"/>
        </w:rPr>
        <w:t>Abstract.</w:t>
      </w:r>
      <w:r w:rsidRPr="008A1F2E">
        <w:rPr>
          <w:lang w:val="fr-FR"/>
        </w:rPr>
        <w:t xml:space="preserve"> </w:t>
      </w:r>
      <w:r w:rsidR="00CD240F" w:rsidRPr="008A1F2E">
        <w:t xml:space="preserve">SAFEPORT safety system aims at forecasting and alerting, on a regular basis, emergency situations regarding ships operation in port areas caused by extreme weather-oceanographic conditions. It uses forecasts provided offshore of the area under study of sea agitation, </w:t>
      </w:r>
      <w:proofErr w:type="gramStart"/>
      <w:r w:rsidR="00CD240F" w:rsidRPr="008A1F2E">
        <w:t>wind</w:t>
      </w:r>
      <w:proofErr w:type="gramEnd"/>
      <w:r w:rsidR="00CD240F" w:rsidRPr="008A1F2E">
        <w:t xml:space="preserve"> and tide. The characterization of the response of the free and moored ships at a berth is performed using the numerical package SWAMS. The system issue alerts, through danger levels associated with risk levels of exceedance of recommended values for movements and forces imposed on ship mooring systems. SAFEPORT can be adapted to any port. So far, it has been developed and adapted to three terminals of the port of Sines, where three different ships were simulated. This paper presents the developments made to date of the safety system, which includes tests performed in storm situations. The numerical models run every day, in real-time mode, in a computer cluster and the system provide forecast results for the next 72 hours. The results are disseminated on a web page and a mobile application in a variety of formats. It was concluded that the SAFEPORT safety system issued alerts according to the observed reality during the storm Dora. It has also been shown to be a computer tool for the optimization of ship mooring systems. The system is currently in testing and validation phase therefore, forecasts should be interpreted as indicative</w:t>
      </w:r>
      <w:r w:rsidRPr="008A1F2E">
        <w:t>.</w:t>
      </w:r>
    </w:p>
    <w:p w14:paraId="7F925DD8" w14:textId="3391B66C" w:rsidR="00B05D6E" w:rsidRPr="008A1F2E" w:rsidRDefault="00B05D6E">
      <w:pPr>
        <w:pStyle w:val="Keywords"/>
      </w:pPr>
      <w:r w:rsidRPr="008A1F2E">
        <w:rPr>
          <w:b/>
        </w:rPr>
        <w:t>Keywords.</w:t>
      </w:r>
      <w:r w:rsidRPr="008A1F2E">
        <w:t xml:space="preserve"> </w:t>
      </w:r>
      <w:r w:rsidR="00CD240F" w:rsidRPr="008A1F2E">
        <w:t>SAFEPORT, SWAMS, Wave propagation, Moored ships, storm Dora, Risk assessment</w:t>
      </w:r>
    </w:p>
    <w:p w14:paraId="2D271AA3" w14:textId="77777777" w:rsidR="00B05D6E" w:rsidRPr="008A1F2E" w:rsidRDefault="00B05D6E" w:rsidP="00F07FC3">
      <w:pPr>
        <w:pStyle w:val="Heading1"/>
        <w:rPr>
          <w:rFonts w:cs="Times New Roman"/>
        </w:rPr>
      </w:pPr>
      <w:r w:rsidRPr="008A1F2E">
        <w:rPr>
          <w:rFonts w:cs="Times New Roman"/>
        </w:rPr>
        <w:t>Introduction</w:t>
      </w:r>
    </w:p>
    <w:p w14:paraId="39DD65F2" w14:textId="21EA7462" w:rsidR="00FA55A2" w:rsidRDefault="00CD240F" w:rsidP="00FA55A2">
      <w:pPr>
        <w:pStyle w:val="NoindentNormal"/>
      </w:pPr>
      <w:r w:rsidRPr="008A1F2E">
        <w:t xml:space="preserve">The success of a port depends on three fundamental factors: safety, </w:t>
      </w:r>
      <w:r w:rsidR="00235A42" w:rsidRPr="008A1F2E">
        <w:t>efficiency,</w:t>
      </w:r>
      <w:r w:rsidRPr="008A1F2E">
        <w:t xml:space="preserve"> and competitiveness, and all three are interlinked. One of the criteria that ensures the safety and operability of ports is to keep the ships' movements within the established limits, both during entry/exit of the port, during berthing maneuvers and while the ships are moored.</w:t>
      </w:r>
      <w:r w:rsidR="00FA55A2">
        <w:t xml:space="preserve"> </w:t>
      </w:r>
      <w:r w:rsidR="00E86B67">
        <w:t>K</w:t>
      </w:r>
      <w:r w:rsidR="00E86B67" w:rsidRPr="008A1F2E">
        <w:t xml:space="preserve">nowing in advance how the ship </w:t>
      </w:r>
      <w:r w:rsidR="00E86B67">
        <w:t xml:space="preserve">will </w:t>
      </w:r>
      <w:r w:rsidR="00E86B67" w:rsidRPr="008A1F2E">
        <w:t xml:space="preserve">respond to incident </w:t>
      </w:r>
      <w:r w:rsidR="00E86B67">
        <w:t>met-ocean</w:t>
      </w:r>
      <w:r w:rsidR="00E86B67" w:rsidRPr="008A1F2E">
        <w:t xml:space="preserve"> conditions is very useful for planning operations, to take early measures to deal with extreme events, and increase the overall safety record of the port, </w:t>
      </w:r>
      <w:r w:rsidR="00E86B67">
        <w:t xml:space="preserve">thus contributing </w:t>
      </w:r>
      <w:r w:rsidR="00E86B67" w:rsidRPr="008A1F2E">
        <w:t>for its economic success.</w:t>
      </w:r>
      <w:r w:rsidR="00FA55A2">
        <w:t xml:space="preserve"> </w:t>
      </w:r>
      <w:r w:rsidRPr="008A1F2E">
        <w:t xml:space="preserve">In the case of moored ships subjected to extreme agitation states, the breakage of a mooring element (moorings, </w:t>
      </w:r>
      <w:proofErr w:type="gramStart"/>
      <w:r w:rsidRPr="008A1F2E">
        <w:t>bollards</w:t>
      </w:r>
      <w:proofErr w:type="gramEnd"/>
      <w:r w:rsidRPr="008A1F2E">
        <w:t xml:space="preserve"> and fenders) </w:t>
      </w:r>
      <w:r w:rsidR="00A4308B">
        <w:t>is</w:t>
      </w:r>
      <w:r w:rsidRPr="008A1F2E">
        <w:t xml:space="preserve"> an extremely dangerous event. For that reason, there are safety limits imposed on the mooring system efforts and on the horizontal, vertical and rotation movements, and operational limits, beyond which cargo </w:t>
      </w:r>
      <w:r w:rsidRPr="008A1F2E">
        <w:lastRenderedPageBreak/>
        <w:t>handling becomes restricted or even impossible. For large container ships, limiting the surge movement is essential, as cranes cannot keep up with this movement.</w:t>
      </w:r>
      <w:r w:rsidR="00FA55A2">
        <w:t xml:space="preserve"> </w:t>
      </w:r>
    </w:p>
    <w:p w14:paraId="476B4226" w14:textId="1F5BB695" w:rsidR="00CD240F" w:rsidRPr="008A1F2E" w:rsidRDefault="00B92EF7" w:rsidP="004A0895">
      <w:pPr>
        <w:pStyle w:val="NoindentNormal"/>
        <w:ind w:firstLine="357"/>
      </w:pPr>
      <w:r>
        <w:t>Global shipping</w:t>
      </w:r>
      <w:r w:rsidR="00CD240F" w:rsidRPr="008A1F2E">
        <w:t xml:space="preserve"> has </w:t>
      </w:r>
      <w:r>
        <w:t>had</w:t>
      </w:r>
      <w:r w:rsidR="00CD240F" w:rsidRPr="008A1F2E">
        <w:t xml:space="preserve"> a clear growth trend and new records </w:t>
      </w:r>
      <w:r>
        <w:t xml:space="preserve">every year </w:t>
      </w:r>
      <w:r w:rsidR="00CD240F" w:rsidRPr="008A1F2E">
        <w:t xml:space="preserve">in the size of ships. In 2021 the port of Sines reached a new record in cargo handled. Given its importance on the Portuguese coast and to ensure its response capacity and provide a continuous and safe service, a safety system for navigation in the port of Sines was developed under the </w:t>
      </w:r>
      <w:proofErr w:type="spellStart"/>
      <w:r w:rsidR="00CD240F" w:rsidRPr="008A1F2E">
        <w:t>BlueSafePort</w:t>
      </w:r>
      <w:proofErr w:type="spellEnd"/>
      <w:r w:rsidR="00CD240F" w:rsidRPr="008A1F2E">
        <w:t xml:space="preserve"> project. It consists of a</w:t>
      </w:r>
      <w:r w:rsidR="00AD08ED">
        <w:t>n</w:t>
      </w:r>
      <w:r w:rsidR="00CD240F" w:rsidRPr="008A1F2E">
        <w:t xml:space="preserve"> </w:t>
      </w:r>
      <w:r w:rsidR="00AD08ED">
        <w:t xml:space="preserve">Early Warning System (EWS) for </w:t>
      </w:r>
      <w:r w:rsidR="00AD08ED" w:rsidRPr="008A1F2E">
        <w:t>risks associated with the safety and operation of ships in maneuvering and moored inside the port</w:t>
      </w:r>
      <w:r w:rsidR="00AD08ED">
        <w:t xml:space="preserve">, implemented both in a </w:t>
      </w:r>
      <w:r w:rsidR="00CD240F" w:rsidRPr="008A1F2E">
        <w:t>web platform and a</w:t>
      </w:r>
      <w:r w:rsidR="00AD08ED">
        <w:t xml:space="preserve"> mobile</w:t>
      </w:r>
      <w:r w:rsidR="00CD240F" w:rsidRPr="008A1F2E">
        <w:t xml:space="preserve"> applicatio</w:t>
      </w:r>
      <w:r w:rsidR="00AD08ED">
        <w:t>n. T</w:t>
      </w:r>
      <w:r w:rsidR="00AD08ED" w:rsidRPr="008A1F2E">
        <w:t xml:space="preserve">he SAFEPORT platform is </w:t>
      </w:r>
      <w:r w:rsidR="00AD08ED">
        <w:t>b</w:t>
      </w:r>
      <w:r w:rsidR="00CD240F" w:rsidRPr="008A1F2E">
        <w:t xml:space="preserve">ased on the HIDRALERTA system (Fortes </w:t>
      </w:r>
      <w:r w:rsidR="00AD08ED" w:rsidRPr="00AD08ED">
        <w:rPr>
          <w:i/>
        </w:rPr>
        <w:t>et al.</w:t>
      </w:r>
      <w:r w:rsidR="00CD240F" w:rsidRPr="008A1F2E">
        <w:t>, 2015</w:t>
      </w:r>
      <w:r w:rsidR="00890553">
        <w:t xml:space="preserve"> </w:t>
      </w:r>
      <w:r w:rsidR="00CD240F" w:rsidRPr="008A1F2E">
        <w:t xml:space="preserve">and Pinheiro </w:t>
      </w:r>
      <w:r w:rsidR="00AD08ED" w:rsidRPr="00AD08ED">
        <w:rPr>
          <w:i/>
        </w:rPr>
        <w:t>et al.</w:t>
      </w:r>
      <w:r w:rsidR="00CD240F" w:rsidRPr="008A1F2E">
        <w:t xml:space="preserve">, 2020), </w:t>
      </w:r>
      <w:r w:rsidR="00AD08ED">
        <w:t>and</w:t>
      </w:r>
      <w:r w:rsidR="00CD240F" w:rsidRPr="008A1F2E">
        <w:t xml:space="preserve"> provides 3-day advance forecasts of sea agitation, wind</w:t>
      </w:r>
      <w:r w:rsidR="00B16C4E">
        <w:t>, current</w:t>
      </w:r>
      <w:r w:rsidR="00CD240F" w:rsidRPr="008A1F2E">
        <w:t xml:space="preserve"> and tide conditions, as well as ship </w:t>
      </w:r>
      <w:r w:rsidR="00B16C4E">
        <w:t>motions and mooring forces</w:t>
      </w:r>
      <w:r w:rsidR="00CD240F" w:rsidRPr="008A1F2E">
        <w:t>. The associated risk levels are based on safety and operability criteria.</w:t>
      </w:r>
      <w:r w:rsidR="00FA55A2">
        <w:t xml:space="preserve"> </w:t>
      </w:r>
      <w:r w:rsidR="00CD240F" w:rsidRPr="008A1F2E">
        <w:t>This paper presents the SAFEPORT system in terms of its development and architecture, the flow and processing of data and the operation of the numerical models used to determine the behavior of moored ships at the Port of Sines, subject to waves, tide</w:t>
      </w:r>
      <w:r w:rsidR="00B16C4E">
        <w:t>, current</w:t>
      </w:r>
      <w:r w:rsidR="00CD240F" w:rsidRPr="008A1F2E">
        <w:t xml:space="preserve"> and wind.</w:t>
      </w:r>
    </w:p>
    <w:p w14:paraId="421B4892" w14:textId="5648151A" w:rsidR="00B05D6E" w:rsidRPr="008A1F2E" w:rsidRDefault="00CD240F">
      <w:pPr>
        <w:pStyle w:val="Heading1"/>
        <w:rPr>
          <w:rFonts w:cs="Times New Roman"/>
          <w:szCs w:val="20"/>
          <w:lang w:eastAsia="en-US"/>
        </w:rPr>
      </w:pPr>
      <w:r w:rsidRPr="008A1F2E">
        <w:rPr>
          <w:rFonts w:cs="Times New Roman"/>
          <w:lang w:eastAsia="en-US"/>
        </w:rPr>
        <w:t>The SAFEPORT safety system</w:t>
      </w:r>
    </w:p>
    <w:p w14:paraId="0DF09120" w14:textId="79E44F00" w:rsidR="00CD240F" w:rsidRPr="008A1F2E" w:rsidRDefault="00CD240F" w:rsidP="00CD240F">
      <w:r w:rsidRPr="008A1F2E">
        <w:t>The SAFEPORT EWS</w:t>
      </w:r>
      <w:r w:rsidR="00B16C4E">
        <w:t xml:space="preserve"> </w:t>
      </w:r>
      <w:r w:rsidRPr="008A1F2E">
        <w:t>anticipates the effects of sea agitation on ships, providing systematic and reliable information about ship motions and the forces imposed on the mooring systems.</w:t>
      </w:r>
      <w:r w:rsidR="004A0895">
        <w:t xml:space="preserve"> </w:t>
      </w:r>
      <w:r w:rsidR="008110F2">
        <w:t>T</w:t>
      </w:r>
      <w:r w:rsidRPr="008A1F2E">
        <w:t xml:space="preserve">he system </w:t>
      </w:r>
      <w:r w:rsidR="008110F2">
        <w:t>uses</w:t>
      </w:r>
      <w:r w:rsidRPr="008A1F2E">
        <w:t xml:space="preserve"> </w:t>
      </w:r>
      <w:r w:rsidR="008110F2" w:rsidRPr="008A1F2E">
        <w:t>an integrated numerical tool capable of simulating the response of a moored ship</w:t>
      </w:r>
      <w:r w:rsidR="008110F2">
        <w:t>:</w:t>
      </w:r>
      <w:r w:rsidR="008110F2" w:rsidRPr="008A1F2E">
        <w:t xml:space="preserve"> </w:t>
      </w:r>
      <w:r w:rsidRPr="008A1F2E">
        <w:t xml:space="preserve">SWAMS </w:t>
      </w:r>
      <w:r w:rsidR="008110F2" w:rsidRPr="008A1F2E">
        <w:t>package</w:t>
      </w:r>
      <w:r w:rsidR="008110F2">
        <w:t xml:space="preserve"> </w:t>
      </w:r>
      <w:r w:rsidR="00FA55A2">
        <w:t>(</w:t>
      </w:r>
      <w:r w:rsidR="00FA55A2" w:rsidRPr="00FA55A2">
        <w:rPr>
          <w:i/>
          <w:iCs/>
        </w:rPr>
        <w:t>Simulation of Wave Action on Moored Ships</w:t>
      </w:r>
      <w:r w:rsidR="00FA55A2">
        <w:t xml:space="preserve">) </w:t>
      </w:r>
      <w:r w:rsidRPr="008A1F2E">
        <w:t xml:space="preserve">(Pinheiro </w:t>
      </w:r>
      <w:r w:rsidR="00AD08ED" w:rsidRPr="00AD08ED">
        <w:rPr>
          <w:i/>
        </w:rPr>
        <w:t>et al.</w:t>
      </w:r>
      <w:r w:rsidRPr="008A1F2E">
        <w:t xml:space="preserve">, 2013). The system prototype was developed for the Port of Sines and </w:t>
      </w:r>
      <w:r w:rsidR="008110F2">
        <w:t>is</w:t>
      </w:r>
      <w:r w:rsidRPr="008A1F2E">
        <w:t xml:space="preserve"> validated in three terminals, namely the Liquid Bulk Terminal (TGL), the Sines Container Terminal or Terminal XXI (TCS) and the Sines Multipurpose Terminal (TMS) (Figure 1).</w:t>
      </w:r>
    </w:p>
    <w:p w14:paraId="628E835D" w14:textId="0B581706" w:rsidR="00CD240F" w:rsidRPr="008A1F2E" w:rsidRDefault="00CD240F" w:rsidP="00CD240F">
      <w:pPr>
        <w:pStyle w:val="NoindentNormal"/>
        <w:spacing w:before="240"/>
        <w:jc w:val="center"/>
        <w:rPr>
          <w:noProof/>
        </w:rPr>
      </w:pPr>
      <w:r w:rsidRPr="008A1F2E">
        <w:rPr>
          <w:noProof/>
        </w:rPr>
        <w:drawing>
          <wp:inline distT="0" distB="0" distL="0" distR="0" wp14:anchorId="4C442BF5" wp14:editId="49AE3E67">
            <wp:extent cx="2167857" cy="1656000"/>
            <wp:effectExtent l="0" t="0" r="4445" b="1905"/>
            <wp:docPr id="2" name="Picture 2" descr="A picture containing text,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ifferent, several&#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959"/>
                    <a:stretch/>
                  </pic:blipFill>
                  <pic:spPr bwMode="auto">
                    <a:xfrm>
                      <a:off x="0" y="0"/>
                      <a:ext cx="2167857" cy="1656000"/>
                    </a:xfrm>
                    <a:prstGeom prst="rect">
                      <a:avLst/>
                    </a:prstGeom>
                    <a:noFill/>
                    <a:ln>
                      <a:noFill/>
                    </a:ln>
                    <a:extLst>
                      <a:ext uri="{53640926-AAD7-44D8-BBD7-CCE9431645EC}">
                        <a14:shadowObscured xmlns:a14="http://schemas.microsoft.com/office/drawing/2010/main"/>
                      </a:ext>
                    </a:extLst>
                  </pic:spPr>
                </pic:pic>
              </a:graphicData>
            </a:graphic>
          </wp:inline>
        </w:drawing>
      </w:r>
      <w:r w:rsidR="001408AD">
        <w:rPr>
          <w:noProof/>
        </w:rPr>
        <w:t xml:space="preserve">   </w:t>
      </w:r>
      <w:r w:rsidR="001408AD" w:rsidRPr="008A1F2E">
        <w:rPr>
          <w:noProof/>
        </w:rPr>
        <w:drawing>
          <wp:inline distT="0" distB="0" distL="0" distR="0" wp14:anchorId="4F99425C" wp14:editId="4FAC3F68">
            <wp:extent cx="2149117" cy="1656000"/>
            <wp:effectExtent l="0" t="0" r="3810" b="190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9"/>
                    <a:stretch>
                      <a:fillRect/>
                    </a:stretch>
                  </pic:blipFill>
                  <pic:spPr>
                    <a:xfrm>
                      <a:off x="0" y="0"/>
                      <a:ext cx="2149117" cy="1656000"/>
                    </a:xfrm>
                    <a:prstGeom prst="rect">
                      <a:avLst/>
                    </a:prstGeom>
                  </pic:spPr>
                </pic:pic>
              </a:graphicData>
            </a:graphic>
          </wp:inline>
        </w:drawing>
      </w:r>
    </w:p>
    <w:p w14:paraId="175BD993" w14:textId="70393EE4" w:rsidR="00CD240F" w:rsidRPr="008A1F2E" w:rsidRDefault="00973D28" w:rsidP="00CD240F">
      <w:pPr>
        <w:pStyle w:val="CaptionShort"/>
      </w:pPr>
      <w:r w:rsidRPr="00973D28">
        <w:rPr>
          <w:b/>
        </w:rPr>
        <w:t xml:space="preserve">Figure </w:t>
      </w:r>
      <w:r w:rsidRPr="00973D28">
        <w:rPr>
          <w:b/>
        </w:rPr>
        <w:fldChar w:fldCharType="begin"/>
      </w:r>
      <w:r w:rsidRPr="00973D28">
        <w:rPr>
          <w:b/>
        </w:rPr>
        <w:instrText xml:space="preserve"> SEQ Figure \* ARABIC </w:instrText>
      </w:r>
      <w:r w:rsidRPr="00973D28">
        <w:rPr>
          <w:b/>
        </w:rPr>
        <w:fldChar w:fldCharType="separate"/>
      </w:r>
      <w:r>
        <w:rPr>
          <w:b/>
          <w:noProof/>
        </w:rPr>
        <w:t>1</w:t>
      </w:r>
      <w:r w:rsidRPr="00973D28">
        <w:rPr>
          <w:b/>
        </w:rPr>
        <w:fldChar w:fldCharType="end"/>
      </w:r>
      <w:r w:rsidRPr="00973D28">
        <w:rPr>
          <w:b/>
        </w:rPr>
        <w:t xml:space="preserve">. </w:t>
      </w:r>
      <w:r w:rsidR="00CD240F" w:rsidRPr="008A1F2E">
        <w:t>Location of the operational prototype, the Port of Sines, and the target terminals, TGL, TMS and TCS.</w:t>
      </w:r>
      <w:r w:rsidR="001408AD">
        <w:t xml:space="preserve"> </w:t>
      </w:r>
      <w:r w:rsidR="001408AD" w:rsidRPr="008A1F2E">
        <w:t>SAFEPORT safety system architecture</w:t>
      </w:r>
    </w:p>
    <w:p w14:paraId="4B54F401" w14:textId="37BE7DBC" w:rsidR="00C40065" w:rsidRPr="008A1F2E" w:rsidRDefault="00C40065" w:rsidP="00C40065">
      <w:r w:rsidRPr="008A1F2E">
        <w:t xml:space="preserve">The SAFEPORT </w:t>
      </w:r>
      <w:r>
        <w:t>EWS is</w:t>
      </w:r>
      <w:r w:rsidRPr="008A1F2E">
        <w:t xml:space="preserve"> structured as shown in </w:t>
      </w:r>
      <w:r w:rsidR="001408AD" w:rsidRPr="008A1F2E">
        <w:t>Figure 1</w:t>
      </w:r>
      <w:r w:rsidRPr="008A1F2E">
        <w:t>, in four modules: I - Sea wave characteristics; II - Navigation in port areas; III - Monitoring; IV - Risk assessment and forecasting.</w:t>
      </w:r>
      <w:r w:rsidR="004A0895">
        <w:t xml:space="preserve"> </w:t>
      </w:r>
      <w:r w:rsidRPr="008A1F2E">
        <w:t>The first module includes most of the numerical models implemented in the system and it also includes in situ data collection, essential in the validation of the numerical models. The results of Module I feed the system's database.</w:t>
      </w:r>
      <w:r w:rsidR="004A0895">
        <w:t xml:space="preserve"> </w:t>
      </w:r>
      <w:r w:rsidRPr="008A1F2E">
        <w:t xml:space="preserve">Module II contains the remaining numerical models i.e., the navigation models in port areas. This module </w:t>
      </w:r>
      <w:r w:rsidRPr="008A1F2E">
        <w:lastRenderedPageBreak/>
        <w:t>uses the results of the previous module to evaluate the behavior of ships in ports. Module III deals with the continuous in situ monitoring required to daily validate, in real-time, the results produced by the numerical models.</w:t>
      </w:r>
      <w:r w:rsidR="004A0895">
        <w:t xml:space="preserve"> </w:t>
      </w:r>
      <w:r w:rsidRPr="008A1F2E">
        <w:t>The last module consists of a qualitative analysis of the risk associated to the probability of exceedance of the recommended values for the ship's motions in its 6 degrees of freedom and for the forces in its mooring system (mooring lines and fenders). Based on the risk levels, the system issues alerts, 72 hours in advance, of emergency situations related to a specific moored ship</w:t>
      </w:r>
    </w:p>
    <w:p w14:paraId="27B7B23C" w14:textId="6A70C01A" w:rsidR="00CD240F" w:rsidRPr="008A1F2E" w:rsidRDefault="00CD240F" w:rsidP="00CD240F">
      <w:r w:rsidRPr="008A1F2E">
        <w:t>The coupling of the numerical models was performed through a script routine written in python programming language. Numerical simulations run on the Central Node for Grid Computing of the Portuguese Infra-structure for Distributed Computing, a 64-node high performance computing facility.</w:t>
      </w:r>
      <w:r w:rsidR="00240829">
        <w:t xml:space="preserve"> </w:t>
      </w:r>
      <w:r w:rsidR="00C40065">
        <w:t>A</w:t>
      </w:r>
      <w:r w:rsidRPr="008A1F2E">
        <w:t xml:space="preserve"> web platform and a mobile application were developed. In these it is possible to access and view, in graphic and numerical form, forecasts of sea agitation, tide and wind conditions and the consequences on ships. It is also possible to monitor possible emergency situations in real time and view alerts for navigation and continuous model validations (forecasts vs observations).</w:t>
      </w:r>
    </w:p>
    <w:p w14:paraId="37F11CBB" w14:textId="77777777" w:rsidR="00CD240F" w:rsidRPr="008A1F2E" w:rsidRDefault="00CD240F" w:rsidP="00CD240F">
      <w:r w:rsidRPr="008A1F2E">
        <w:t>The purpose of module I is the characterization of the sea agitation offshore, at the port entrance and in several points within the port basin, in terms characteristics of the wave states. In addition, this module contains the forecast of other phenomena involved in the propagation of sea waves, namely wind fields and tide levels.</w:t>
      </w:r>
    </w:p>
    <w:p w14:paraId="37E80C26" w14:textId="1B8C7329" w:rsidR="00CD240F" w:rsidRPr="008A1F2E" w:rsidRDefault="00C40065" w:rsidP="00CD240F">
      <w:r>
        <w:t>F</w:t>
      </w:r>
      <w:r w:rsidR="00CD240F" w:rsidRPr="008A1F2E">
        <w:t xml:space="preserve">orecast of the sea agitation produced by the WAM </w:t>
      </w:r>
      <w:r w:rsidRPr="008A1F2E">
        <w:t>(WAMDI Group, 1988)</w:t>
      </w:r>
      <w:r>
        <w:t xml:space="preserve"> </w:t>
      </w:r>
      <w:r w:rsidR="00CD240F" w:rsidRPr="008A1F2E">
        <w:t>model executed by the ECMWF. WAM is a third-generation ocean wave prediction model that integrates the basic transport equation describing the evolution of a two-dimensional ocean wave spectrum. Its implementation in the safety system enables accurate forecasts, 72 hours in advance (with results every 3 hours), of the significant height (Hs), the peak period (</w:t>
      </w:r>
      <w:proofErr w:type="spellStart"/>
      <w:r w:rsidR="00CD240F" w:rsidRPr="008A1F2E">
        <w:t>Tp</w:t>
      </w:r>
      <w:proofErr w:type="spellEnd"/>
      <w:r w:rsidR="00CD240F" w:rsidRPr="008A1F2E">
        <w:t>) and the average direction (</w:t>
      </w:r>
      <w:proofErr w:type="spellStart"/>
      <w:r w:rsidR="00CD240F" w:rsidRPr="008A1F2E">
        <w:t>θm</w:t>
      </w:r>
      <w:proofErr w:type="spellEnd"/>
      <w:r w:rsidR="00CD240F" w:rsidRPr="008A1F2E">
        <w:t>) of the wave states.</w:t>
      </w:r>
    </w:p>
    <w:p w14:paraId="386791D8" w14:textId="327638CC" w:rsidR="00CD240F" w:rsidRDefault="00CD240F" w:rsidP="00CD240F">
      <w:r w:rsidRPr="008A1F2E">
        <w:t>The SWAN model (</w:t>
      </w:r>
      <w:proofErr w:type="spellStart"/>
      <w:r w:rsidRPr="008A1F2E">
        <w:t>Booij</w:t>
      </w:r>
      <w:proofErr w:type="spellEnd"/>
      <w:r w:rsidRPr="008A1F2E">
        <w:t xml:space="preserve"> </w:t>
      </w:r>
      <w:r w:rsidR="00AD08ED" w:rsidRPr="00AD08ED">
        <w:rPr>
          <w:i/>
        </w:rPr>
        <w:t>et al.</w:t>
      </w:r>
      <w:r w:rsidRPr="008A1F2E">
        <w:t>, 1999)</w:t>
      </w:r>
      <w:r w:rsidR="00C40065">
        <w:t xml:space="preserve"> </w:t>
      </w:r>
      <w:r w:rsidRPr="008A1F2E">
        <w:t xml:space="preserve">is a numerical model for the generation, </w:t>
      </w:r>
      <w:r w:rsidR="00973D28" w:rsidRPr="008A1F2E">
        <w:t>propagation,</w:t>
      </w:r>
      <w:r w:rsidRPr="008A1F2E">
        <w:t xml:space="preserve"> and dissipation of sea waves, based on the equation for the conservation of wave action. The numerical model SWAN was applied to propagate the wave parameters, i.e., Hs, </w:t>
      </w:r>
      <w:proofErr w:type="spellStart"/>
      <w:r w:rsidRPr="008A1F2E">
        <w:t>Tp</w:t>
      </w:r>
      <w:proofErr w:type="spellEnd"/>
      <w:r w:rsidRPr="008A1F2E">
        <w:t xml:space="preserve"> and </w:t>
      </w:r>
      <w:proofErr w:type="spellStart"/>
      <w:r w:rsidRPr="008A1F2E">
        <w:t>θm</w:t>
      </w:r>
      <w:proofErr w:type="spellEnd"/>
      <w:r w:rsidRPr="008A1F2E">
        <w:t>, estimated by the WAM model (boundary conditions), from offshore to the entrance of the port of Sines. To achieve a better numerical performance, the model calculation domain, as well as the bathymetric meshes, was discretized into three nested rectangular meshes. The physical phenomena accounted on the port of Sines SWAN model were diffraction and dissipation by bottom friction and the simulations were performed in the two-dimensional stationary mode</w:t>
      </w:r>
      <w:r w:rsidR="007732DD">
        <w:t>.</w:t>
      </w:r>
    </w:p>
    <w:p w14:paraId="2184AADA" w14:textId="77777777" w:rsidR="004C4EF1" w:rsidRPr="008A1F2E" w:rsidRDefault="004C4EF1" w:rsidP="004C4EF1">
      <w:r w:rsidRPr="008A1F2E">
        <w:t>Before being incorporated into the system, the WAM and SWAN models were validated, and the SWAN model parameters were calibrated to reproduce as accurately as possible the observed reality.</w:t>
      </w:r>
      <w:r>
        <w:t xml:space="preserve"> S</w:t>
      </w:r>
      <w:r w:rsidRPr="008A1F2E">
        <w:t>imulations were performed for 40 years of data between 1988 and 2018 of wave and wind regimes derived from reanalysis of the ERA5 models of the ECMWF, at the nearest point of the Sines1D buoy. The results were compared with the records from the wave buoy</w:t>
      </w:r>
      <w:r>
        <w:t xml:space="preserve">. </w:t>
      </w:r>
      <w:r w:rsidRPr="008A1F2E">
        <w:t>For the comparison of the numerical results and in situ measurements</w:t>
      </w:r>
      <w:r>
        <w:t xml:space="preserve"> a</w:t>
      </w:r>
      <w:r w:rsidRPr="008A1F2E">
        <w:t xml:space="preserve"> statistical </w:t>
      </w:r>
      <w:r>
        <w:t>analysis of the error parameters, is performed</w:t>
      </w:r>
      <w:r w:rsidRPr="008A1F2E">
        <w:t xml:space="preserve">. </w:t>
      </w:r>
      <w:r>
        <w:t>T</w:t>
      </w:r>
      <w:r w:rsidRPr="008A1F2E">
        <w:t xml:space="preserve">he validation </w:t>
      </w:r>
      <w:r>
        <w:t xml:space="preserve">showed that it </w:t>
      </w:r>
      <w:r w:rsidRPr="008A1F2E">
        <w:t>produces consistent results according to the observed reality.</w:t>
      </w:r>
    </w:p>
    <w:p w14:paraId="7C6DBF60" w14:textId="799B2577" w:rsidR="004C4EF1" w:rsidRPr="008A1F2E" w:rsidRDefault="004C4EF1" w:rsidP="004C4EF1">
      <w:r w:rsidRPr="008A1F2E">
        <w:t xml:space="preserve">The wave </w:t>
      </w:r>
      <w:r>
        <w:t>propagation</w:t>
      </w:r>
      <w:r w:rsidRPr="008A1F2E">
        <w:t xml:space="preserve"> into the port area is performed with the numerical model DREAMS (Fortes, 2002)</w:t>
      </w:r>
      <w:r>
        <w:t xml:space="preserve">, </w:t>
      </w:r>
      <w:r w:rsidRPr="008A1F2E">
        <w:t>a linear finite element model, based on the mild slope equation (</w:t>
      </w:r>
      <w:proofErr w:type="spellStart"/>
      <w:r w:rsidRPr="008A1F2E">
        <w:t>Berkhoff</w:t>
      </w:r>
      <w:proofErr w:type="spellEnd"/>
      <w:r w:rsidRPr="008A1F2E">
        <w:t>, 1972), used to simulate the propagation of monochromatic waves in port basins, considering the combined effects of refraction, diffraction and partial or total reflection of port structures</w:t>
      </w:r>
      <w:r>
        <w:t>,</w:t>
      </w:r>
      <w:r w:rsidRPr="008A1F2E">
        <w:t xml:space="preserve"> (</w:t>
      </w:r>
      <w:r w:rsidRPr="008A1F2E">
        <w:fldChar w:fldCharType="begin"/>
      </w:r>
      <w:r w:rsidRPr="008A1F2E">
        <w:instrText xml:space="preserve"> REF _Ref98439388 \h  \* MERGEFORMAT </w:instrText>
      </w:r>
      <w:r w:rsidRPr="008A1F2E">
        <w:fldChar w:fldCharType="separate"/>
      </w:r>
      <w:r w:rsidRPr="008A1F2E">
        <w:t>Figure 6</w:t>
      </w:r>
      <w:r w:rsidRPr="008A1F2E">
        <w:fldChar w:fldCharType="end"/>
      </w:r>
      <w:r w:rsidRPr="008A1F2E">
        <w:t xml:space="preserve">). The boundary conditions in the model domain were defined from Hs, </w:t>
      </w:r>
      <w:proofErr w:type="spellStart"/>
      <w:r w:rsidRPr="008A1F2E">
        <w:t>Tp</w:t>
      </w:r>
      <w:proofErr w:type="spellEnd"/>
      <w:r w:rsidRPr="008A1F2E">
        <w:t xml:space="preserve"> and </w:t>
      </w:r>
      <w:proofErr w:type="spellStart"/>
      <w:r w:rsidRPr="008A1F2E">
        <w:t>θm</w:t>
      </w:r>
      <w:proofErr w:type="spellEnd"/>
      <w:r w:rsidRPr="008A1F2E">
        <w:t xml:space="preserve">, parameters obtained by applying the SWAN model. </w:t>
      </w:r>
      <w:r w:rsidRPr="008A1F2E">
        <w:lastRenderedPageBreak/>
        <w:t>The results were extracted at three points near the three terminals of the port of Sines which will benefit the most from the forecasting system herein presented, more specifically in the bulk liquid (TGL), container (TCS) and multipurpose (TMS) terminals.</w:t>
      </w:r>
    </w:p>
    <w:p w14:paraId="7852CF5A" w14:textId="54BF3F85" w:rsidR="00CD240F" w:rsidRPr="008A1F2E" w:rsidRDefault="00CD240F" w:rsidP="0048120F">
      <w:pPr>
        <w:pStyle w:val="NoindentNormal"/>
        <w:spacing w:before="240"/>
        <w:jc w:val="center"/>
        <w:rPr>
          <w:noProof/>
        </w:rPr>
      </w:pPr>
      <w:r w:rsidRPr="008A1F2E">
        <w:rPr>
          <w:noProof/>
        </w:rPr>
        <w:drawing>
          <wp:inline distT="0" distB="0" distL="0" distR="0" wp14:anchorId="2F722245" wp14:editId="3B62C688">
            <wp:extent cx="2082800" cy="1510831"/>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a:stretch>
                      <a:fillRect/>
                    </a:stretch>
                  </pic:blipFill>
                  <pic:spPr>
                    <a:xfrm>
                      <a:off x="0" y="0"/>
                      <a:ext cx="2087743" cy="1514416"/>
                    </a:xfrm>
                    <a:prstGeom prst="rect">
                      <a:avLst/>
                    </a:prstGeom>
                  </pic:spPr>
                </pic:pic>
              </a:graphicData>
            </a:graphic>
          </wp:inline>
        </w:drawing>
      </w:r>
      <w:r w:rsidR="001822A6" w:rsidRPr="001822A6">
        <w:rPr>
          <w:noProof/>
        </w:rPr>
        <w:t xml:space="preserve"> </w:t>
      </w:r>
      <w:r w:rsidR="001822A6" w:rsidRPr="008A1F2E">
        <w:rPr>
          <w:noProof/>
        </w:rPr>
        <w:drawing>
          <wp:inline distT="0" distB="0" distL="0" distR="0" wp14:anchorId="26C2A7EA" wp14:editId="656066CC">
            <wp:extent cx="1631950" cy="1474015"/>
            <wp:effectExtent l="0" t="0" r="6350" b="0"/>
            <wp:docPr id="15" name="Picture 1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10;&#10;Description automatically generated"/>
                    <pic:cNvPicPr/>
                  </pic:nvPicPr>
                  <pic:blipFill>
                    <a:blip r:embed="rId11"/>
                    <a:stretch>
                      <a:fillRect/>
                    </a:stretch>
                  </pic:blipFill>
                  <pic:spPr>
                    <a:xfrm>
                      <a:off x="0" y="0"/>
                      <a:ext cx="1640729" cy="1481944"/>
                    </a:xfrm>
                    <a:prstGeom prst="rect">
                      <a:avLst/>
                    </a:prstGeom>
                  </pic:spPr>
                </pic:pic>
              </a:graphicData>
            </a:graphic>
          </wp:inline>
        </w:drawing>
      </w:r>
    </w:p>
    <w:p w14:paraId="1BE99F44" w14:textId="2463EC30" w:rsidR="00CD240F" w:rsidRDefault="00CD240F" w:rsidP="00CD240F">
      <w:pPr>
        <w:rPr>
          <w:sz w:val="16"/>
          <w:szCs w:val="16"/>
        </w:rPr>
      </w:pPr>
      <w:bookmarkStart w:id="1" w:name="_Ref98438391"/>
      <w:r w:rsidRPr="00973D28">
        <w:rPr>
          <w:b/>
          <w:bCs/>
          <w:sz w:val="16"/>
          <w:szCs w:val="16"/>
        </w:rPr>
        <w:t xml:space="preserve">Figure </w:t>
      </w:r>
      <w:r w:rsidRPr="00973D28">
        <w:rPr>
          <w:b/>
          <w:bCs/>
          <w:sz w:val="16"/>
          <w:szCs w:val="16"/>
        </w:rPr>
        <w:fldChar w:fldCharType="begin"/>
      </w:r>
      <w:r w:rsidRPr="00973D28">
        <w:rPr>
          <w:b/>
          <w:bCs/>
          <w:sz w:val="16"/>
          <w:szCs w:val="16"/>
        </w:rPr>
        <w:instrText xml:space="preserve"> SEQ Figure \* ARABIC </w:instrText>
      </w:r>
      <w:r w:rsidRPr="00973D28">
        <w:rPr>
          <w:b/>
          <w:bCs/>
          <w:sz w:val="16"/>
          <w:szCs w:val="16"/>
        </w:rPr>
        <w:fldChar w:fldCharType="separate"/>
      </w:r>
      <w:r w:rsidR="00973D28" w:rsidRPr="00973D28">
        <w:rPr>
          <w:b/>
          <w:bCs/>
          <w:noProof/>
          <w:sz w:val="16"/>
          <w:szCs w:val="16"/>
        </w:rPr>
        <w:t>3</w:t>
      </w:r>
      <w:r w:rsidRPr="00973D28">
        <w:rPr>
          <w:b/>
          <w:bCs/>
          <w:sz w:val="16"/>
          <w:szCs w:val="16"/>
        </w:rPr>
        <w:fldChar w:fldCharType="end"/>
      </w:r>
      <w:bookmarkEnd w:id="1"/>
      <w:r w:rsidRPr="00973D28">
        <w:rPr>
          <w:b/>
          <w:bCs/>
          <w:sz w:val="16"/>
          <w:szCs w:val="16"/>
        </w:rPr>
        <w:t>.</w:t>
      </w:r>
      <w:r w:rsidRPr="00973D28">
        <w:rPr>
          <w:sz w:val="16"/>
          <w:szCs w:val="16"/>
        </w:rPr>
        <w:t xml:space="preserve"> </w:t>
      </w:r>
      <w:r w:rsidR="007732DD">
        <w:rPr>
          <w:sz w:val="16"/>
          <w:szCs w:val="16"/>
        </w:rPr>
        <w:t>B</w:t>
      </w:r>
      <w:r w:rsidRPr="00973D28">
        <w:rPr>
          <w:sz w:val="16"/>
          <w:szCs w:val="16"/>
        </w:rPr>
        <w:t xml:space="preserve">athymetric meshes used in the SWAN </w:t>
      </w:r>
      <w:r w:rsidR="001822A6">
        <w:rPr>
          <w:sz w:val="16"/>
          <w:szCs w:val="16"/>
        </w:rPr>
        <w:t xml:space="preserve">and DREAMS </w:t>
      </w:r>
      <w:r w:rsidRPr="00973D28">
        <w:rPr>
          <w:sz w:val="16"/>
          <w:szCs w:val="16"/>
        </w:rPr>
        <w:t>numerical model.</w:t>
      </w:r>
    </w:p>
    <w:p w14:paraId="2D5DF9AD" w14:textId="2F6314AE" w:rsidR="00CD240F" w:rsidRDefault="004433F2" w:rsidP="00CD240F">
      <w:r>
        <w:t>M</w:t>
      </w:r>
      <w:r w:rsidR="00CD240F" w:rsidRPr="008A1F2E">
        <w:t>odule</w:t>
      </w:r>
      <w:r>
        <w:t xml:space="preserve"> II</w:t>
      </w:r>
      <w:r w:rsidR="00CD240F" w:rsidRPr="008A1F2E">
        <w:t xml:space="preserve"> uses the </w:t>
      </w:r>
      <w:r w:rsidR="001822A6">
        <w:t>WA</w:t>
      </w:r>
      <w:r w:rsidR="00CD240F" w:rsidRPr="008A1F2E">
        <w:t xml:space="preserve">MIT model </w:t>
      </w:r>
      <w:r w:rsidR="001822A6" w:rsidRPr="008A1F2E">
        <w:t>(</w:t>
      </w:r>
      <w:proofErr w:type="spellStart"/>
      <w:r w:rsidR="001822A6" w:rsidRPr="008A1F2E">
        <w:t>Korsemeyer</w:t>
      </w:r>
      <w:proofErr w:type="spellEnd"/>
      <w:r w:rsidR="001822A6" w:rsidRPr="008A1F2E">
        <w:t xml:space="preserve"> </w:t>
      </w:r>
      <w:r w:rsidR="001822A6" w:rsidRPr="00AD08ED">
        <w:rPr>
          <w:i/>
        </w:rPr>
        <w:t>et al.</w:t>
      </w:r>
      <w:r w:rsidR="001822A6" w:rsidRPr="008A1F2E">
        <w:t xml:space="preserve">, 1988 and Newman &amp; </w:t>
      </w:r>
      <w:proofErr w:type="spellStart"/>
      <w:r w:rsidR="001822A6" w:rsidRPr="008A1F2E">
        <w:t>Sclavounos</w:t>
      </w:r>
      <w:proofErr w:type="spellEnd"/>
      <w:r w:rsidR="001822A6" w:rsidRPr="008A1F2E">
        <w:t xml:space="preserve">, 1988) </w:t>
      </w:r>
      <w:r w:rsidR="00CD240F" w:rsidRPr="008A1F2E">
        <w:t xml:space="preserve">and the </w:t>
      </w:r>
      <w:r w:rsidR="001822A6">
        <w:t xml:space="preserve">BAS </w:t>
      </w:r>
      <w:r w:rsidR="00CD240F" w:rsidRPr="008A1F2E">
        <w:t>model</w:t>
      </w:r>
      <w:r w:rsidR="001822A6">
        <w:t xml:space="preserve"> </w:t>
      </w:r>
      <w:r w:rsidR="001822A6" w:rsidRPr="008A1F2E">
        <w:t>(</w:t>
      </w:r>
      <w:proofErr w:type="spellStart"/>
      <w:r w:rsidR="001822A6" w:rsidRPr="008A1F2E">
        <w:t>Mynett</w:t>
      </w:r>
      <w:proofErr w:type="spellEnd"/>
      <w:r w:rsidR="001822A6" w:rsidRPr="008A1F2E">
        <w:t xml:space="preserve"> </w:t>
      </w:r>
      <w:r w:rsidR="001822A6" w:rsidRPr="00AD08ED">
        <w:rPr>
          <w:i/>
        </w:rPr>
        <w:t>et al.</w:t>
      </w:r>
      <w:r w:rsidR="001822A6" w:rsidRPr="008A1F2E">
        <w:t>, 1985)</w:t>
      </w:r>
      <w:r w:rsidR="00CD240F" w:rsidRPr="008A1F2E">
        <w:t xml:space="preserve">, capable of characterizing the response of a free and moored ship inside a port subject to the action of sea agitation, wind and </w:t>
      </w:r>
      <w:r w:rsidR="001822A6">
        <w:t>current</w:t>
      </w:r>
      <w:r w:rsidR="00CD240F" w:rsidRPr="008A1F2E">
        <w:t xml:space="preserve">. Given the non-linear behavior of the ship - moorings - fenders system, the numerical models implemented in the system deal with formulations in the time domain, relating instantaneous values of movements and forces. WAMIT is a second-generation radiation/diffraction program based on a three-dimensional panel method which evaluates, in the frequency domain, the radiation and diffraction velocity potentials and the hydrodynamics parameters. BAS </w:t>
      </w:r>
      <w:r w:rsidR="001822A6">
        <w:t>simulates</w:t>
      </w:r>
      <w:r w:rsidR="00CD240F" w:rsidRPr="008A1F2E">
        <w:t xml:space="preserve"> the dynamic behavior of moored ships under the influence of environmental conditions. It assembles and solves, in the time domain, the equations of motion of a moored ship. The WAMIT numerical model determines the response of the free-floating ship to incident monochromatic waves. Then, with the hydrodynamic information obtained, it is possible to determine the moored ship response through the BAS numerical model.</w:t>
      </w:r>
      <w:r w:rsidR="00240829">
        <w:t xml:space="preserve"> </w:t>
      </w:r>
      <w:r w:rsidR="006E352C">
        <w:t>T</w:t>
      </w:r>
      <w:r w:rsidR="00CD240F" w:rsidRPr="008A1F2E">
        <w:t xml:space="preserve">hree different ships were selected to represent as comprehensively as possible the ships operating in the TGL, TCS and TMS, namely an oil tanker, a container ship, and a general cargo ship, respectively. Nautical Pre-Processor, NPP (Santos, 1994), was employed to discretize the submerged hulls of the ships, into rectangular/triangular flat panels. The submerged hull of the oil tanker was discretized with 1004 panels, the general cargo ship with 1992 panels and the container ship with </w:t>
      </w:r>
      <w:bookmarkStart w:id="2" w:name="_Hlk94545553"/>
      <w:r w:rsidR="00CD240F" w:rsidRPr="008A1F2E">
        <w:t>3464</w:t>
      </w:r>
      <w:bookmarkEnd w:id="2"/>
      <w:r w:rsidR="00CD240F" w:rsidRPr="008A1F2E">
        <w:t xml:space="preserve"> panels (</w:t>
      </w:r>
      <w:r w:rsidR="00CD240F" w:rsidRPr="008A1F2E">
        <w:fldChar w:fldCharType="begin"/>
      </w:r>
      <w:r w:rsidR="00CD240F" w:rsidRPr="008A1F2E">
        <w:instrText xml:space="preserve"> REF _Ref98439461 \h  \* MERGEFORMAT </w:instrText>
      </w:r>
      <w:r w:rsidR="00CD240F" w:rsidRPr="008A1F2E">
        <w:fldChar w:fldCharType="separate"/>
      </w:r>
      <w:r w:rsidR="00CD240F" w:rsidRPr="008A1F2E">
        <w:t>Figure 7</w:t>
      </w:r>
      <w:r w:rsidR="00CD240F" w:rsidRPr="008A1F2E">
        <w:fldChar w:fldCharType="end"/>
      </w:r>
      <w:r w:rsidR="00CD240F" w:rsidRPr="008A1F2E">
        <w:t>). This geometric information constitutes the first input data of the ships WAMIT models.</w:t>
      </w:r>
    </w:p>
    <w:p w14:paraId="389E36D8" w14:textId="77777777" w:rsidR="00240829" w:rsidRDefault="00240829" w:rsidP="00240829">
      <w:r w:rsidRPr="008A1F2E">
        <w:t xml:space="preserve">The water depth at TGL was set at 28 meters, at TCS at 17 meters and at TMS at 18 meters. For all models a range of 89 frequencies was considered and in the diffraction case the computations were performed for the possible wave directions approaching each terminal. The </w:t>
      </w:r>
      <w:r>
        <w:t>outputs</w:t>
      </w:r>
      <w:r w:rsidRPr="008A1F2E">
        <w:t xml:space="preserve"> of the model consist of the added mass coefficients, the damping coefficients, and the exciting forces.</w:t>
      </w:r>
      <w:r>
        <w:t xml:space="preserve"> </w:t>
      </w:r>
      <w:r w:rsidRPr="008A1F2E">
        <w:t>The results of the WAMIT models are put into the convenient format by the HYDRO numerical model (Hurdle, 1987 and Schuurmans, 1991), to be read and used as input data by the BAS model. HYDRO calculates the time dependent retardation functions from the frequency dependent damping functions and a series of approximations to the added mass at infinite frequency</w:t>
      </w:r>
      <w:r>
        <w:t xml:space="preserve"> and </w:t>
      </w:r>
      <w:r w:rsidRPr="008A1F2E">
        <w:t xml:space="preserve">creates a </w:t>
      </w:r>
      <w:proofErr w:type="spellStart"/>
      <w:r w:rsidRPr="008A1F2E">
        <w:t>hydrobase</w:t>
      </w:r>
      <w:proofErr w:type="spellEnd"/>
      <w:r w:rsidRPr="008A1F2E">
        <w:t xml:space="preserve"> suitable for use by BAS.</w:t>
      </w:r>
    </w:p>
    <w:p w14:paraId="094036E5" w14:textId="77777777" w:rsidR="00CD240F" w:rsidRPr="008A1F2E" w:rsidRDefault="00CD240F" w:rsidP="0048120F">
      <w:pPr>
        <w:pStyle w:val="NoindentNormal"/>
        <w:spacing w:before="240"/>
        <w:jc w:val="center"/>
        <w:rPr>
          <w:noProof/>
        </w:rPr>
      </w:pPr>
      <w:r w:rsidRPr="008A1F2E">
        <w:rPr>
          <w:noProof/>
        </w:rPr>
        <w:lastRenderedPageBreak/>
        <w:drawing>
          <wp:inline distT="0" distB="0" distL="0" distR="0" wp14:anchorId="7C4AC676" wp14:editId="177FD879">
            <wp:extent cx="3815255" cy="1762666"/>
            <wp:effectExtent l="0" t="0" r="0" b="952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5806" cy="1767540"/>
                    </a:xfrm>
                    <a:prstGeom prst="rect">
                      <a:avLst/>
                    </a:prstGeom>
                    <a:noFill/>
                  </pic:spPr>
                </pic:pic>
              </a:graphicData>
            </a:graphic>
          </wp:inline>
        </w:drawing>
      </w:r>
    </w:p>
    <w:p w14:paraId="7F86A8E2" w14:textId="77777777" w:rsidR="00CD240F" w:rsidRPr="006E352C" w:rsidRDefault="00CD240F" w:rsidP="00CD240F">
      <w:pPr>
        <w:rPr>
          <w:sz w:val="16"/>
          <w:szCs w:val="16"/>
        </w:rPr>
      </w:pPr>
      <w:bookmarkStart w:id="3" w:name="_Ref98439461"/>
      <w:r w:rsidRPr="006E352C">
        <w:rPr>
          <w:b/>
          <w:bCs/>
          <w:sz w:val="16"/>
          <w:szCs w:val="16"/>
        </w:rPr>
        <w:t xml:space="preserve">Figure </w:t>
      </w:r>
      <w:r w:rsidRPr="006E352C">
        <w:rPr>
          <w:b/>
          <w:bCs/>
          <w:sz w:val="16"/>
          <w:szCs w:val="16"/>
        </w:rPr>
        <w:fldChar w:fldCharType="begin"/>
      </w:r>
      <w:r w:rsidRPr="006E352C">
        <w:rPr>
          <w:b/>
          <w:bCs/>
          <w:sz w:val="16"/>
          <w:szCs w:val="16"/>
        </w:rPr>
        <w:instrText xml:space="preserve"> SEQ Figure \* ARABIC </w:instrText>
      </w:r>
      <w:r w:rsidRPr="006E352C">
        <w:rPr>
          <w:b/>
          <w:bCs/>
          <w:sz w:val="16"/>
          <w:szCs w:val="16"/>
        </w:rPr>
        <w:fldChar w:fldCharType="separate"/>
      </w:r>
      <w:r w:rsidRPr="006E352C">
        <w:rPr>
          <w:b/>
          <w:bCs/>
          <w:sz w:val="16"/>
          <w:szCs w:val="16"/>
        </w:rPr>
        <w:t>7</w:t>
      </w:r>
      <w:r w:rsidRPr="006E352C">
        <w:rPr>
          <w:b/>
          <w:bCs/>
          <w:sz w:val="16"/>
          <w:szCs w:val="16"/>
        </w:rPr>
        <w:fldChar w:fldCharType="end"/>
      </w:r>
      <w:bookmarkStart w:id="4" w:name="_Toc96357678"/>
      <w:bookmarkEnd w:id="3"/>
      <w:r w:rsidRPr="006E352C">
        <w:rPr>
          <w:b/>
          <w:bCs/>
          <w:sz w:val="16"/>
          <w:szCs w:val="16"/>
        </w:rPr>
        <w:t>.</w:t>
      </w:r>
      <w:r w:rsidRPr="006E352C">
        <w:rPr>
          <w:sz w:val="16"/>
          <w:szCs w:val="16"/>
        </w:rPr>
        <w:t xml:space="preserve"> </w:t>
      </w:r>
      <w:bookmarkEnd w:id="4"/>
      <w:r w:rsidRPr="006E352C">
        <w:rPr>
          <w:sz w:val="16"/>
          <w:szCs w:val="16"/>
        </w:rPr>
        <w:t>Panel discretization for the 3 ships.</w:t>
      </w:r>
    </w:p>
    <w:p w14:paraId="326A8CA4" w14:textId="6AF95093" w:rsidR="00CD240F" w:rsidRPr="008A1F2E" w:rsidRDefault="00CD240F" w:rsidP="00CD240F">
      <w:r w:rsidRPr="008A1F2E">
        <w:t>For the oil tanker and the general cargo ship, 8 mooring lines grouped in two and 5 fenders were defined. For the container ship model, a total of 10 mooring lines and 5 fenders were defined (</w:t>
      </w:r>
      <w:r w:rsidRPr="008A1F2E">
        <w:fldChar w:fldCharType="begin"/>
      </w:r>
      <w:r w:rsidRPr="008A1F2E">
        <w:instrText xml:space="preserve"> REF _Ref96350830 \h  \* MERGEFORMAT </w:instrText>
      </w:r>
      <w:r w:rsidRPr="008A1F2E">
        <w:fldChar w:fldCharType="separate"/>
      </w:r>
      <w:r w:rsidRPr="008A1F2E">
        <w:t>Figure 8</w:t>
      </w:r>
      <w:r w:rsidRPr="008A1F2E">
        <w:fldChar w:fldCharType="end"/>
      </w:r>
      <w:r w:rsidRPr="008A1F2E">
        <w:t>).</w:t>
      </w:r>
    </w:p>
    <w:p w14:paraId="3CA24F56" w14:textId="68D2BE7C" w:rsidR="00CD240F" w:rsidRPr="008A1F2E" w:rsidRDefault="00CD240F" w:rsidP="0048120F">
      <w:pPr>
        <w:pStyle w:val="NoindentNormal"/>
        <w:spacing w:before="240"/>
        <w:jc w:val="center"/>
        <w:rPr>
          <w:noProof/>
        </w:rPr>
      </w:pPr>
      <w:r w:rsidRPr="008A1F2E">
        <w:rPr>
          <w:noProof/>
        </w:rPr>
        <w:drawing>
          <wp:inline distT="0" distB="0" distL="0" distR="0" wp14:anchorId="09A4FB2F" wp14:editId="0C129085">
            <wp:extent cx="510353" cy="1260000"/>
            <wp:effectExtent l="0" t="0" r="4445" b="0"/>
            <wp:docPr id="17" name="Picture 1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353" cy="1260000"/>
                    </a:xfrm>
                    <a:prstGeom prst="rect">
                      <a:avLst/>
                    </a:prstGeom>
                    <a:noFill/>
                  </pic:spPr>
                </pic:pic>
              </a:graphicData>
            </a:graphic>
          </wp:inline>
        </w:drawing>
      </w:r>
      <w:r w:rsidR="004C4EF1">
        <w:rPr>
          <w:noProof/>
        </w:rPr>
        <w:t xml:space="preserve">        </w:t>
      </w:r>
      <w:r w:rsidRPr="008A1F2E">
        <w:rPr>
          <w:noProof/>
        </w:rPr>
        <w:drawing>
          <wp:inline distT="0" distB="0" distL="0" distR="0" wp14:anchorId="051AA33C" wp14:editId="2C99F898">
            <wp:extent cx="1624173" cy="1260000"/>
            <wp:effectExtent l="0" t="0" r="0" b="0"/>
            <wp:docPr id="18" name="Picture 1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4173" cy="1260000"/>
                    </a:xfrm>
                    <a:prstGeom prst="rect">
                      <a:avLst/>
                    </a:prstGeom>
                    <a:noFill/>
                  </pic:spPr>
                </pic:pic>
              </a:graphicData>
            </a:graphic>
          </wp:inline>
        </w:drawing>
      </w:r>
      <w:r w:rsidR="004C4EF1">
        <w:rPr>
          <w:noProof/>
        </w:rPr>
        <w:t xml:space="preserve">     </w:t>
      </w:r>
      <w:r w:rsidRPr="008A1F2E">
        <w:rPr>
          <w:noProof/>
        </w:rPr>
        <w:drawing>
          <wp:inline distT="0" distB="0" distL="0" distR="0" wp14:anchorId="724C04F0" wp14:editId="3DA86106">
            <wp:extent cx="1634857" cy="1260000"/>
            <wp:effectExtent l="0" t="0" r="381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4857" cy="1260000"/>
                    </a:xfrm>
                    <a:prstGeom prst="rect">
                      <a:avLst/>
                    </a:prstGeom>
                    <a:noFill/>
                  </pic:spPr>
                </pic:pic>
              </a:graphicData>
            </a:graphic>
          </wp:inline>
        </w:drawing>
      </w:r>
    </w:p>
    <w:p w14:paraId="39CA7554" w14:textId="70703224" w:rsidR="00CD240F" w:rsidRDefault="00CD240F" w:rsidP="00CD240F">
      <w:pPr>
        <w:rPr>
          <w:sz w:val="16"/>
          <w:szCs w:val="16"/>
        </w:rPr>
      </w:pPr>
      <w:bookmarkStart w:id="5" w:name="_Ref96350830"/>
      <w:bookmarkStart w:id="6" w:name="_Toc96357686"/>
      <w:r w:rsidRPr="006E352C">
        <w:rPr>
          <w:b/>
          <w:bCs/>
          <w:sz w:val="16"/>
          <w:szCs w:val="16"/>
        </w:rPr>
        <w:t xml:space="preserve">Figure </w:t>
      </w:r>
      <w:r w:rsidRPr="006E352C">
        <w:rPr>
          <w:b/>
          <w:bCs/>
          <w:sz w:val="16"/>
          <w:szCs w:val="16"/>
        </w:rPr>
        <w:fldChar w:fldCharType="begin"/>
      </w:r>
      <w:r w:rsidRPr="006E352C">
        <w:rPr>
          <w:b/>
          <w:bCs/>
          <w:sz w:val="16"/>
          <w:szCs w:val="16"/>
        </w:rPr>
        <w:instrText xml:space="preserve"> SEQ Figure \* ARABIC </w:instrText>
      </w:r>
      <w:r w:rsidRPr="006E352C">
        <w:rPr>
          <w:b/>
          <w:bCs/>
          <w:sz w:val="16"/>
          <w:szCs w:val="16"/>
        </w:rPr>
        <w:fldChar w:fldCharType="separate"/>
      </w:r>
      <w:r w:rsidRPr="006E352C">
        <w:rPr>
          <w:b/>
          <w:bCs/>
          <w:sz w:val="16"/>
          <w:szCs w:val="16"/>
        </w:rPr>
        <w:t>8</w:t>
      </w:r>
      <w:r w:rsidRPr="006E352C">
        <w:rPr>
          <w:b/>
          <w:bCs/>
          <w:sz w:val="16"/>
          <w:szCs w:val="16"/>
        </w:rPr>
        <w:fldChar w:fldCharType="end"/>
      </w:r>
      <w:bookmarkEnd w:id="5"/>
      <w:r w:rsidRPr="006E352C">
        <w:rPr>
          <w:b/>
          <w:bCs/>
          <w:sz w:val="16"/>
          <w:szCs w:val="16"/>
        </w:rPr>
        <w:t>.</w:t>
      </w:r>
      <w:r w:rsidRPr="006E352C">
        <w:rPr>
          <w:sz w:val="16"/>
          <w:szCs w:val="16"/>
        </w:rPr>
        <w:t xml:space="preserve"> Mooring lines and fenders arrangements of the oil tanker, the general cargo </w:t>
      </w:r>
      <w:proofErr w:type="gramStart"/>
      <w:r w:rsidRPr="006E352C">
        <w:rPr>
          <w:sz w:val="16"/>
          <w:szCs w:val="16"/>
        </w:rPr>
        <w:t>ship</w:t>
      </w:r>
      <w:proofErr w:type="gramEnd"/>
      <w:r w:rsidRPr="006E352C">
        <w:rPr>
          <w:sz w:val="16"/>
          <w:szCs w:val="16"/>
        </w:rPr>
        <w:t xml:space="preserve"> and the container ship, respectively.</w:t>
      </w:r>
      <w:bookmarkEnd w:id="6"/>
    </w:p>
    <w:p w14:paraId="5A7202B5" w14:textId="3C0670B8" w:rsidR="00CD240F" w:rsidRPr="008A1F2E" w:rsidRDefault="00CD240F" w:rsidP="00CD240F">
      <w:r w:rsidRPr="008A1F2E">
        <w:t xml:space="preserve">The constitutive relations for the mooring lines </w:t>
      </w:r>
      <w:r w:rsidR="00C17807">
        <w:t>consist of</w:t>
      </w:r>
      <w:r w:rsidRPr="008A1F2E">
        <w:t xml:space="preserve"> an elongation of 4%</w:t>
      </w:r>
      <w:r w:rsidR="00C17807">
        <w:t xml:space="preserve"> for the </w:t>
      </w:r>
      <w:r w:rsidRPr="008A1F2E">
        <w:t xml:space="preserve">maximum load </w:t>
      </w:r>
      <w:r w:rsidR="00C17807">
        <w:t xml:space="preserve">of </w:t>
      </w:r>
      <w:r w:rsidRPr="008A1F2E">
        <w:t xml:space="preserve">2100 </w:t>
      </w:r>
      <w:proofErr w:type="spellStart"/>
      <w:r w:rsidRPr="008A1F2E">
        <w:t>kN</w:t>
      </w:r>
      <w:proofErr w:type="spellEnd"/>
      <w:r w:rsidRPr="008A1F2E">
        <w:t xml:space="preserve">, </w:t>
      </w:r>
      <w:r w:rsidR="00C17807" w:rsidRPr="008A1F2E">
        <w:t xml:space="preserve">1900 </w:t>
      </w:r>
      <w:proofErr w:type="spellStart"/>
      <w:r w:rsidR="00C17807" w:rsidRPr="008A1F2E">
        <w:t>kN</w:t>
      </w:r>
      <w:proofErr w:type="spellEnd"/>
      <w:r w:rsidR="00C17807" w:rsidRPr="008A1F2E">
        <w:t xml:space="preserve"> </w:t>
      </w:r>
      <w:r w:rsidR="00C17807">
        <w:t xml:space="preserve">and </w:t>
      </w:r>
      <w:r w:rsidR="00C17807" w:rsidRPr="008A1F2E">
        <w:t xml:space="preserve">1860 </w:t>
      </w:r>
      <w:proofErr w:type="spellStart"/>
      <w:r w:rsidR="00C17807" w:rsidRPr="008A1F2E">
        <w:t>kN</w:t>
      </w:r>
      <w:proofErr w:type="spellEnd"/>
      <w:r w:rsidR="00C17807" w:rsidRPr="008A1F2E">
        <w:t xml:space="preserve"> </w:t>
      </w:r>
      <w:r w:rsidR="00C17807">
        <w:t xml:space="preserve">for the </w:t>
      </w:r>
      <w:r w:rsidR="00C17807" w:rsidRPr="008A1F2E">
        <w:t>oil tanker</w:t>
      </w:r>
      <w:r w:rsidR="00C17807">
        <w:t xml:space="preserve">, </w:t>
      </w:r>
      <w:r w:rsidRPr="008A1F2E">
        <w:t>general cargo ship and</w:t>
      </w:r>
      <w:r w:rsidR="00C17807">
        <w:t xml:space="preserve"> </w:t>
      </w:r>
      <w:r w:rsidRPr="008A1F2E">
        <w:t xml:space="preserve">container </w:t>
      </w:r>
      <w:r w:rsidR="00C17807">
        <w:t>ship, respectively</w:t>
      </w:r>
      <w:r w:rsidRPr="008A1F2E">
        <w:t xml:space="preserve">. The constitutive relations for </w:t>
      </w:r>
      <w:r w:rsidR="00F55D0A">
        <w:t>the</w:t>
      </w:r>
      <w:r w:rsidRPr="008A1F2E">
        <w:t xml:space="preserve"> fenders</w:t>
      </w:r>
      <w:r w:rsidR="00F55D0A">
        <w:t xml:space="preserve"> consist of </w:t>
      </w:r>
      <w:r w:rsidRPr="008A1F2E">
        <w:t xml:space="preserve">a maximum force of 8900 </w:t>
      </w:r>
      <w:proofErr w:type="spellStart"/>
      <w:r w:rsidRPr="008A1F2E">
        <w:t>kN</w:t>
      </w:r>
      <w:proofErr w:type="spellEnd"/>
      <w:r w:rsidRPr="008A1F2E">
        <w:t xml:space="preserve"> for a deflection of 1 m.</w:t>
      </w:r>
      <w:r w:rsidR="00240829">
        <w:t xml:space="preserve"> </w:t>
      </w:r>
      <w:r w:rsidRPr="008A1F2E">
        <w:t>The application of the BAS numerical model to the three ships resulted in time series of the motions and mooring line and fender forces, under wind</w:t>
      </w:r>
      <w:r w:rsidR="00F55D0A">
        <w:t>, current</w:t>
      </w:r>
      <w:r w:rsidRPr="008A1F2E">
        <w:t xml:space="preserve"> and wave attack.</w:t>
      </w:r>
    </w:p>
    <w:p w14:paraId="17D5EB90" w14:textId="33D467BC" w:rsidR="00F55D0A" w:rsidRDefault="006E352C" w:rsidP="00CD240F">
      <w:pPr>
        <w:rPr>
          <w:sz w:val="16"/>
          <w:szCs w:val="16"/>
        </w:rPr>
      </w:pPr>
      <w:r>
        <w:t>A</w:t>
      </w:r>
      <w:r w:rsidR="00CD240F" w:rsidRPr="008A1F2E">
        <w:t xml:space="preserve"> risk assessment and forecasting (probability x consequences) </w:t>
      </w:r>
      <w:proofErr w:type="gramStart"/>
      <w:r w:rsidR="00CD240F" w:rsidRPr="008A1F2E">
        <w:t>was</w:t>
      </w:r>
      <w:proofErr w:type="gramEnd"/>
      <w:r w:rsidR="00CD240F" w:rsidRPr="008A1F2E">
        <w:t xml:space="preserve"> implemented in the SAFEPORT system, associated with the probability of exceeding </w:t>
      </w:r>
      <w:bookmarkStart w:id="7" w:name="_Hlk95899312"/>
      <w:r w:rsidR="00CD240F" w:rsidRPr="008A1F2E">
        <w:t xml:space="preserve">a pre-established thresholds </w:t>
      </w:r>
      <w:bookmarkEnd w:id="7"/>
      <w:r w:rsidR="00CD240F" w:rsidRPr="008A1F2E">
        <w:t>for the amplitude of ships' motions and for the forces on their mooring system</w:t>
      </w:r>
      <w:r w:rsidR="00F109E3" w:rsidRPr="00F109E3">
        <w:t xml:space="preserve"> </w:t>
      </w:r>
      <w:r w:rsidR="00F109E3">
        <w:t>(</w:t>
      </w:r>
      <w:r w:rsidR="00F109E3" w:rsidRPr="008A1F2E">
        <w:t xml:space="preserve">Pinheiro </w:t>
      </w:r>
      <w:r w:rsidR="00F109E3" w:rsidRPr="00AD08ED">
        <w:rPr>
          <w:i/>
        </w:rPr>
        <w:t>et al.</w:t>
      </w:r>
      <w:r w:rsidR="00F109E3" w:rsidRPr="008A1F2E">
        <w:t>, 2020</w:t>
      </w:r>
      <w:r w:rsidR="00F109E3">
        <w:t>)</w:t>
      </w:r>
      <w:r w:rsidR="00CD240F" w:rsidRPr="008A1F2E">
        <w:t>. Considering the loading and unloading operations, the characteristics of the ships and the need to ensure the safety of persons and infrastructure, consequence levels have been attributed to the threshold values recommended by organizations concerned with maritime and port activities</w:t>
      </w:r>
      <w:r>
        <w:t>.</w:t>
      </w:r>
      <w:r w:rsidR="004A0895">
        <w:t xml:space="preserve"> </w:t>
      </w:r>
      <w:r w:rsidR="00CD240F" w:rsidRPr="008A1F2E">
        <w:t xml:space="preserve">The consequence levels must be associated with a probability of exceeding the assumed thresholds, to assess the risk associated with a moored ship. The amplitude of ships' motions and the forces on their mooring system are a direct result of wave action. Therefore, the risk analysis was developed assuming a Rayleigh distribution formulated by </w:t>
      </w:r>
      <w:proofErr w:type="spellStart"/>
      <w:r w:rsidR="00CD240F" w:rsidRPr="008A1F2E">
        <w:t>Longuet</w:t>
      </w:r>
      <w:proofErr w:type="spellEnd"/>
      <w:r w:rsidR="00CD240F" w:rsidRPr="008A1F2E">
        <w:t xml:space="preserve">-Higgins (1952) which depend on the directional spectrum and the dimensionless wave height. Each time series produced by the ships' BAS models for each variable, namely, six degrees of freedom motion amplitudes, mooring lines forces and fenders forces, undergoes a Fourier transform and a power density spectrum is obtained. From spectral moments of this spectrum the required statistical information can be derived and used in the Rayleigh </w:t>
      </w:r>
      <w:r w:rsidR="00CD240F" w:rsidRPr="008A1F2E">
        <w:lastRenderedPageBreak/>
        <w:t>distribution exceedance probability function.</w:t>
      </w:r>
      <w:r w:rsidR="004A0895">
        <w:t xml:space="preserve"> </w:t>
      </w:r>
      <w:r w:rsidR="00CD240F" w:rsidRPr="008A1F2E">
        <w:t xml:space="preserve">To be used in the qualitative risk analysis herein presented, the exceedance probability (P) of the Rayleigh distribution is ranked as rare (P&lt;0.001%), unlikely (P&lt;0.1%), possible (0.1%&lt;P&lt;10%) and likely (P&gt;10%), which correspond to exceedance probability levels ranging from 0 to 3, respectively. Thus, risk levels can be assigned as shown in </w:t>
      </w:r>
      <w:r w:rsidR="00CD240F" w:rsidRPr="008A1F2E">
        <w:fldChar w:fldCharType="begin"/>
      </w:r>
      <w:r w:rsidR="00CD240F" w:rsidRPr="008A1F2E">
        <w:instrText xml:space="preserve"> REF _Ref98515844 \h  \* MERGEFORMAT </w:instrText>
      </w:r>
      <w:r w:rsidR="00CD240F" w:rsidRPr="008A1F2E">
        <w:fldChar w:fldCharType="separate"/>
      </w:r>
      <w:r w:rsidR="00CD240F" w:rsidRPr="008A1F2E">
        <w:t>Table 3</w:t>
      </w:r>
      <w:r w:rsidR="00CD240F" w:rsidRPr="008A1F2E">
        <w:fldChar w:fldCharType="end"/>
      </w:r>
      <w:r w:rsidR="00CD240F" w:rsidRPr="008A1F2E">
        <w:t>.</w:t>
      </w:r>
      <w:r w:rsidR="004C4EF1">
        <w:t xml:space="preserve"> </w:t>
      </w:r>
      <w:r w:rsidR="004C4EF1" w:rsidRPr="008A1F2E">
        <w:t>Based on the risk levels, the system issue alerts, through the definition of danger levels related to the difficulty of loading and unloading operations and the probability of breakage of an element of the mooring system, due to excessive ship motions</w:t>
      </w:r>
      <w:r w:rsidR="004C4EF1">
        <w:t xml:space="preserve">. </w:t>
      </w:r>
      <w:r w:rsidR="004C4EF1" w:rsidRPr="008A1F2E">
        <w:t xml:space="preserve">The risk levels, relating to the ships’ motions and the forces on their mooring lines, have been color-coded </w:t>
      </w:r>
      <w:r w:rsidR="004C4EF1">
        <w:t xml:space="preserve">(green, yellow, </w:t>
      </w:r>
      <w:proofErr w:type="gramStart"/>
      <w:r w:rsidR="004C4EF1">
        <w:t>orange</w:t>
      </w:r>
      <w:proofErr w:type="gramEnd"/>
      <w:r w:rsidR="004C4EF1">
        <w:t xml:space="preserve"> and red) </w:t>
      </w:r>
      <w:r w:rsidR="004C4EF1" w:rsidRPr="008A1F2E">
        <w:t>and symbolized to issue the SAFEPORT system alerts.</w:t>
      </w:r>
      <w:bookmarkStart w:id="8" w:name="_Ref98515844"/>
    </w:p>
    <w:p w14:paraId="2019848F" w14:textId="4A897EE5" w:rsidR="00CD240F" w:rsidRPr="00F55D0A" w:rsidRDefault="00CD240F" w:rsidP="00CD240F">
      <w:pPr>
        <w:rPr>
          <w:sz w:val="16"/>
          <w:szCs w:val="16"/>
        </w:rPr>
      </w:pPr>
      <w:r w:rsidRPr="00F55D0A">
        <w:rPr>
          <w:b/>
          <w:bCs/>
          <w:sz w:val="16"/>
          <w:szCs w:val="16"/>
        </w:rPr>
        <w:t xml:space="preserve">Table </w:t>
      </w:r>
      <w:r w:rsidRPr="00F55D0A">
        <w:rPr>
          <w:b/>
          <w:bCs/>
          <w:sz w:val="16"/>
          <w:szCs w:val="16"/>
        </w:rPr>
        <w:fldChar w:fldCharType="begin"/>
      </w:r>
      <w:r w:rsidRPr="00F55D0A">
        <w:rPr>
          <w:b/>
          <w:bCs/>
          <w:sz w:val="16"/>
          <w:szCs w:val="16"/>
        </w:rPr>
        <w:instrText xml:space="preserve"> SEQ Table \* ARABIC </w:instrText>
      </w:r>
      <w:r w:rsidRPr="00F55D0A">
        <w:rPr>
          <w:b/>
          <w:bCs/>
          <w:sz w:val="16"/>
          <w:szCs w:val="16"/>
        </w:rPr>
        <w:fldChar w:fldCharType="separate"/>
      </w:r>
      <w:r w:rsidRPr="00F55D0A">
        <w:rPr>
          <w:b/>
          <w:bCs/>
          <w:sz w:val="16"/>
          <w:szCs w:val="16"/>
        </w:rPr>
        <w:t>3</w:t>
      </w:r>
      <w:r w:rsidRPr="00F55D0A">
        <w:rPr>
          <w:b/>
          <w:bCs/>
          <w:sz w:val="16"/>
          <w:szCs w:val="16"/>
        </w:rPr>
        <w:fldChar w:fldCharType="end"/>
      </w:r>
      <w:bookmarkEnd w:id="8"/>
      <w:r w:rsidRPr="00F55D0A">
        <w:rPr>
          <w:b/>
          <w:bCs/>
          <w:sz w:val="16"/>
          <w:szCs w:val="16"/>
        </w:rPr>
        <w:t>.</w:t>
      </w:r>
      <w:r w:rsidRPr="00F55D0A">
        <w:rPr>
          <w:sz w:val="16"/>
          <w:szCs w:val="16"/>
        </w:rPr>
        <w:t xml:space="preserve"> Risk Levels</w:t>
      </w:r>
    </w:p>
    <w:tbl>
      <w:tblPr>
        <w:tblStyle w:val="TableGrid0"/>
        <w:tblW w:w="0" w:type="auto"/>
        <w:jc w:val="center"/>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3"/>
        <w:gridCol w:w="570"/>
        <w:gridCol w:w="1330"/>
        <w:gridCol w:w="1115"/>
        <w:gridCol w:w="1241"/>
        <w:gridCol w:w="802"/>
      </w:tblGrid>
      <w:tr w:rsidR="00CD240F" w:rsidRPr="008A1F2E" w14:paraId="6E6EB209" w14:textId="77777777" w:rsidTr="005B35A1">
        <w:trPr>
          <w:jc w:val="center"/>
        </w:trPr>
        <w:tc>
          <w:tcPr>
            <w:tcW w:w="2778" w:type="dxa"/>
            <w:gridSpan w:val="2"/>
            <w:vMerge w:val="restart"/>
            <w:tcBorders>
              <w:top w:val="single" w:sz="4" w:space="0" w:color="auto"/>
              <w:bottom w:val="nil"/>
            </w:tcBorders>
          </w:tcPr>
          <w:p w14:paraId="0DFF1B33" w14:textId="77777777" w:rsidR="00CD240F" w:rsidRPr="008A1F2E" w:rsidRDefault="00CD240F" w:rsidP="008A1F2E">
            <w:pPr>
              <w:ind w:firstLine="0"/>
              <w:jc w:val="center"/>
              <w:rPr>
                <w:rFonts w:ascii="Times New Roman" w:hAnsi="Times New Roman" w:cs="Times New Roman"/>
                <w:b/>
                <w:sz w:val="16"/>
                <w:szCs w:val="16"/>
              </w:rPr>
            </w:pPr>
            <w:r w:rsidRPr="008A1F2E">
              <w:rPr>
                <w:rFonts w:ascii="Times New Roman" w:hAnsi="Times New Roman" w:cs="Times New Roman"/>
                <w:b/>
                <w:sz w:val="16"/>
                <w:szCs w:val="16"/>
              </w:rPr>
              <w:t xml:space="preserve">Exceedance </w:t>
            </w:r>
            <w:proofErr w:type="spellStart"/>
            <w:r w:rsidRPr="008A1F2E">
              <w:rPr>
                <w:rFonts w:ascii="Times New Roman" w:hAnsi="Times New Roman" w:cs="Times New Roman"/>
                <w:b/>
                <w:sz w:val="16"/>
                <w:szCs w:val="16"/>
              </w:rPr>
              <w:t>Probablity</w:t>
            </w:r>
            <w:proofErr w:type="spellEnd"/>
            <w:r w:rsidRPr="008A1F2E">
              <w:rPr>
                <w:rFonts w:ascii="Times New Roman" w:hAnsi="Times New Roman" w:cs="Times New Roman"/>
                <w:b/>
                <w:sz w:val="16"/>
                <w:szCs w:val="16"/>
              </w:rPr>
              <w:t xml:space="preserve"> Levels</w:t>
            </w:r>
          </w:p>
        </w:tc>
        <w:tc>
          <w:tcPr>
            <w:tcW w:w="4782" w:type="dxa"/>
            <w:gridSpan w:val="4"/>
            <w:tcBorders>
              <w:top w:val="single" w:sz="4" w:space="0" w:color="auto"/>
              <w:bottom w:val="single" w:sz="4" w:space="0" w:color="auto"/>
            </w:tcBorders>
          </w:tcPr>
          <w:p w14:paraId="0EC31E51" w14:textId="77777777" w:rsidR="00CD240F" w:rsidRPr="008A1F2E" w:rsidRDefault="00CD240F" w:rsidP="008A1F2E">
            <w:pPr>
              <w:ind w:firstLine="0"/>
              <w:jc w:val="center"/>
              <w:rPr>
                <w:rFonts w:ascii="Times New Roman" w:hAnsi="Times New Roman" w:cs="Times New Roman"/>
                <w:b/>
                <w:sz w:val="16"/>
                <w:szCs w:val="16"/>
              </w:rPr>
            </w:pPr>
            <w:r w:rsidRPr="008A1F2E">
              <w:rPr>
                <w:rFonts w:ascii="Times New Roman" w:hAnsi="Times New Roman" w:cs="Times New Roman"/>
                <w:b/>
                <w:sz w:val="16"/>
                <w:szCs w:val="16"/>
              </w:rPr>
              <w:t>Consequence Levels</w:t>
            </w:r>
          </w:p>
        </w:tc>
      </w:tr>
      <w:tr w:rsidR="00CD240F" w:rsidRPr="008A1F2E" w14:paraId="76022BC6" w14:textId="77777777" w:rsidTr="005B35A1">
        <w:trPr>
          <w:jc w:val="center"/>
        </w:trPr>
        <w:tc>
          <w:tcPr>
            <w:tcW w:w="2778" w:type="dxa"/>
            <w:gridSpan w:val="2"/>
            <w:vMerge/>
            <w:tcBorders>
              <w:top w:val="nil"/>
              <w:bottom w:val="nil"/>
            </w:tcBorders>
          </w:tcPr>
          <w:p w14:paraId="27B0EE58" w14:textId="77777777" w:rsidR="00CD240F" w:rsidRPr="008A1F2E" w:rsidRDefault="00CD240F" w:rsidP="008A1F2E">
            <w:pPr>
              <w:ind w:firstLine="0"/>
              <w:jc w:val="center"/>
              <w:rPr>
                <w:rFonts w:ascii="Times New Roman" w:hAnsi="Times New Roman" w:cs="Times New Roman"/>
                <w:b/>
                <w:sz w:val="16"/>
                <w:szCs w:val="16"/>
              </w:rPr>
            </w:pPr>
          </w:p>
        </w:tc>
        <w:tc>
          <w:tcPr>
            <w:tcW w:w="1383" w:type="dxa"/>
            <w:tcBorders>
              <w:top w:val="single" w:sz="4" w:space="0" w:color="auto"/>
              <w:bottom w:val="single" w:sz="4" w:space="0" w:color="auto"/>
            </w:tcBorders>
          </w:tcPr>
          <w:p w14:paraId="49B46F2C" w14:textId="77777777" w:rsidR="00CD240F" w:rsidRPr="008A1F2E" w:rsidRDefault="00CD240F" w:rsidP="008A1F2E">
            <w:pPr>
              <w:ind w:firstLine="0"/>
              <w:jc w:val="center"/>
              <w:rPr>
                <w:rFonts w:ascii="Times New Roman" w:hAnsi="Times New Roman" w:cs="Times New Roman"/>
                <w:b/>
                <w:sz w:val="16"/>
                <w:szCs w:val="16"/>
              </w:rPr>
            </w:pPr>
            <w:r w:rsidRPr="008A1F2E">
              <w:rPr>
                <w:rFonts w:ascii="Times New Roman" w:hAnsi="Times New Roman" w:cs="Times New Roman"/>
                <w:b/>
                <w:sz w:val="16"/>
                <w:szCs w:val="16"/>
              </w:rPr>
              <w:t>Insignificant</w:t>
            </w:r>
          </w:p>
        </w:tc>
        <w:tc>
          <w:tcPr>
            <w:tcW w:w="1234" w:type="dxa"/>
            <w:tcBorders>
              <w:top w:val="single" w:sz="4" w:space="0" w:color="auto"/>
              <w:bottom w:val="single" w:sz="4" w:space="0" w:color="auto"/>
            </w:tcBorders>
          </w:tcPr>
          <w:p w14:paraId="2A19D695" w14:textId="77777777" w:rsidR="00CD240F" w:rsidRPr="008A1F2E" w:rsidRDefault="00CD240F" w:rsidP="008A1F2E">
            <w:pPr>
              <w:ind w:firstLine="0"/>
              <w:jc w:val="center"/>
              <w:rPr>
                <w:rFonts w:ascii="Times New Roman" w:hAnsi="Times New Roman" w:cs="Times New Roman"/>
                <w:b/>
                <w:sz w:val="16"/>
                <w:szCs w:val="16"/>
              </w:rPr>
            </w:pPr>
            <w:r w:rsidRPr="008A1F2E">
              <w:rPr>
                <w:rFonts w:ascii="Times New Roman" w:hAnsi="Times New Roman" w:cs="Times New Roman"/>
                <w:b/>
                <w:sz w:val="16"/>
                <w:szCs w:val="16"/>
              </w:rPr>
              <w:t>Mild</w:t>
            </w:r>
          </w:p>
        </w:tc>
        <w:tc>
          <w:tcPr>
            <w:tcW w:w="1350" w:type="dxa"/>
            <w:tcBorders>
              <w:top w:val="single" w:sz="4" w:space="0" w:color="auto"/>
              <w:bottom w:val="single" w:sz="4" w:space="0" w:color="auto"/>
            </w:tcBorders>
          </w:tcPr>
          <w:p w14:paraId="3C49E5AD" w14:textId="77777777" w:rsidR="00CD240F" w:rsidRPr="008A1F2E" w:rsidRDefault="00CD240F" w:rsidP="008A1F2E">
            <w:pPr>
              <w:ind w:firstLine="0"/>
              <w:jc w:val="center"/>
              <w:rPr>
                <w:rFonts w:ascii="Times New Roman" w:hAnsi="Times New Roman" w:cs="Times New Roman"/>
                <w:b/>
                <w:sz w:val="16"/>
                <w:szCs w:val="16"/>
              </w:rPr>
            </w:pPr>
            <w:r w:rsidRPr="008A1F2E">
              <w:rPr>
                <w:rFonts w:ascii="Times New Roman" w:hAnsi="Times New Roman" w:cs="Times New Roman"/>
                <w:b/>
                <w:sz w:val="16"/>
                <w:szCs w:val="16"/>
              </w:rPr>
              <w:t>Serious</w:t>
            </w:r>
          </w:p>
        </w:tc>
        <w:tc>
          <w:tcPr>
            <w:tcW w:w="815" w:type="dxa"/>
            <w:tcBorders>
              <w:top w:val="single" w:sz="4" w:space="0" w:color="auto"/>
              <w:bottom w:val="single" w:sz="4" w:space="0" w:color="auto"/>
            </w:tcBorders>
          </w:tcPr>
          <w:p w14:paraId="79FCE5A0" w14:textId="77777777" w:rsidR="00CD240F" w:rsidRPr="008A1F2E" w:rsidRDefault="00CD240F" w:rsidP="008A1F2E">
            <w:pPr>
              <w:ind w:firstLine="0"/>
              <w:jc w:val="center"/>
              <w:rPr>
                <w:rFonts w:ascii="Times New Roman" w:hAnsi="Times New Roman" w:cs="Times New Roman"/>
                <w:b/>
                <w:sz w:val="16"/>
                <w:szCs w:val="16"/>
              </w:rPr>
            </w:pPr>
            <w:r w:rsidRPr="008A1F2E">
              <w:rPr>
                <w:rFonts w:ascii="Times New Roman" w:hAnsi="Times New Roman" w:cs="Times New Roman"/>
                <w:b/>
                <w:sz w:val="16"/>
                <w:szCs w:val="16"/>
              </w:rPr>
              <w:t>Critical</w:t>
            </w:r>
          </w:p>
        </w:tc>
      </w:tr>
      <w:tr w:rsidR="00CD240F" w:rsidRPr="008A1F2E" w14:paraId="1967FE86" w14:textId="77777777" w:rsidTr="005B35A1">
        <w:trPr>
          <w:jc w:val="center"/>
        </w:trPr>
        <w:tc>
          <w:tcPr>
            <w:tcW w:w="2778" w:type="dxa"/>
            <w:gridSpan w:val="2"/>
            <w:vMerge/>
            <w:tcBorders>
              <w:top w:val="nil"/>
              <w:bottom w:val="single" w:sz="4" w:space="0" w:color="auto"/>
            </w:tcBorders>
          </w:tcPr>
          <w:p w14:paraId="4C56467C" w14:textId="77777777" w:rsidR="00CD240F" w:rsidRPr="008A1F2E" w:rsidRDefault="00CD240F" w:rsidP="008A1F2E">
            <w:pPr>
              <w:ind w:firstLine="0"/>
              <w:jc w:val="center"/>
              <w:rPr>
                <w:rFonts w:ascii="Times New Roman" w:hAnsi="Times New Roman" w:cs="Times New Roman"/>
                <w:b/>
                <w:sz w:val="16"/>
                <w:szCs w:val="16"/>
              </w:rPr>
            </w:pPr>
          </w:p>
        </w:tc>
        <w:tc>
          <w:tcPr>
            <w:tcW w:w="1383" w:type="dxa"/>
            <w:tcBorders>
              <w:top w:val="single" w:sz="4" w:space="0" w:color="auto"/>
              <w:bottom w:val="single" w:sz="4" w:space="0" w:color="auto"/>
            </w:tcBorders>
          </w:tcPr>
          <w:p w14:paraId="24DAF11E" w14:textId="77777777" w:rsidR="00CD240F" w:rsidRPr="008A1F2E" w:rsidRDefault="00CD240F" w:rsidP="008A1F2E">
            <w:pPr>
              <w:ind w:firstLine="0"/>
              <w:jc w:val="center"/>
              <w:rPr>
                <w:rFonts w:ascii="Times New Roman" w:hAnsi="Times New Roman" w:cs="Times New Roman"/>
                <w:b/>
                <w:sz w:val="16"/>
                <w:szCs w:val="16"/>
              </w:rPr>
            </w:pPr>
            <w:r w:rsidRPr="008A1F2E">
              <w:rPr>
                <w:rFonts w:ascii="Times New Roman" w:hAnsi="Times New Roman" w:cs="Times New Roman"/>
                <w:b/>
                <w:sz w:val="16"/>
                <w:szCs w:val="16"/>
              </w:rPr>
              <w:t>0</w:t>
            </w:r>
          </w:p>
        </w:tc>
        <w:tc>
          <w:tcPr>
            <w:tcW w:w="1234" w:type="dxa"/>
            <w:tcBorders>
              <w:top w:val="single" w:sz="4" w:space="0" w:color="auto"/>
              <w:bottom w:val="single" w:sz="4" w:space="0" w:color="auto"/>
            </w:tcBorders>
          </w:tcPr>
          <w:p w14:paraId="7E60DF37" w14:textId="77777777" w:rsidR="00CD240F" w:rsidRPr="008A1F2E" w:rsidRDefault="00CD240F" w:rsidP="008A1F2E">
            <w:pPr>
              <w:ind w:firstLine="0"/>
              <w:jc w:val="center"/>
              <w:rPr>
                <w:rFonts w:ascii="Times New Roman" w:hAnsi="Times New Roman" w:cs="Times New Roman"/>
                <w:b/>
                <w:sz w:val="16"/>
                <w:szCs w:val="16"/>
              </w:rPr>
            </w:pPr>
            <w:r w:rsidRPr="008A1F2E">
              <w:rPr>
                <w:rFonts w:ascii="Times New Roman" w:hAnsi="Times New Roman" w:cs="Times New Roman"/>
                <w:b/>
                <w:sz w:val="16"/>
                <w:szCs w:val="16"/>
              </w:rPr>
              <w:t>1</w:t>
            </w:r>
          </w:p>
        </w:tc>
        <w:tc>
          <w:tcPr>
            <w:tcW w:w="1350" w:type="dxa"/>
            <w:tcBorders>
              <w:top w:val="single" w:sz="4" w:space="0" w:color="auto"/>
              <w:bottom w:val="single" w:sz="4" w:space="0" w:color="auto"/>
            </w:tcBorders>
          </w:tcPr>
          <w:p w14:paraId="65604095" w14:textId="77777777" w:rsidR="00CD240F" w:rsidRPr="008A1F2E" w:rsidRDefault="00CD240F" w:rsidP="008A1F2E">
            <w:pPr>
              <w:ind w:firstLine="0"/>
              <w:jc w:val="center"/>
              <w:rPr>
                <w:rFonts w:ascii="Times New Roman" w:hAnsi="Times New Roman" w:cs="Times New Roman"/>
                <w:b/>
                <w:sz w:val="16"/>
                <w:szCs w:val="16"/>
              </w:rPr>
            </w:pPr>
            <w:r w:rsidRPr="008A1F2E">
              <w:rPr>
                <w:rFonts w:ascii="Times New Roman" w:hAnsi="Times New Roman" w:cs="Times New Roman"/>
                <w:b/>
                <w:sz w:val="16"/>
                <w:szCs w:val="16"/>
              </w:rPr>
              <w:t>2</w:t>
            </w:r>
          </w:p>
        </w:tc>
        <w:tc>
          <w:tcPr>
            <w:tcW w:w="815" w:type="dxa"/>
            <w:tcBorders>
              <w:top w:val="single" w:sz="4" w:space="0" w:color="auto"/>
              <w:bottom w:val="single" w:sz="4" w:space="0" w:color="auto"/>
            </w:tcBorders>
          </w:tcPr>
          <w:p w14:paraId="389A7ADB" w14:textId="77777777" w:rsidR="00CD240F" w:rsidRPr="008A1F2E" w:rsidRDefault="00CD240F" w:rsidP="008A1F2E">
            <w:pPr>
              <w:ind w:firstLine="0"/>
              <w:jc w:val="center"/>
              <w:rPr>
                <w:rFonts w:ascii="Times New Roman" w:hAnsi="Times New Roman" w:cs="Times New Roman"/>
                <w:b/>
                <w:sz w:val="16"/>
                <w:szCs w:val="16"/>
              </w:rPr>
            </w:pPr>
            <w:r w:rsidRPr="008A1F2E">
              <w:rPr>
                <w:rFonts w:ascii="Times New Roman" w:hAnsi="Times New Roman" w:cs="Times New Roman"/>
                <w:b/>
                <w:sz w:val="16"/>
                <w:szCs w:val="16"/>
              </w:rPr>
              <w:t>3</w:t>
            </w:r>
          </w:p>
        </w:tc>
      </w:tr>
      <w:tr w:rsidR="00CD240F" w:rsidRPr="008A1F2E" w14:paraId="7595929E" w14:textId="77777777" w:rsidTr="005B35A1">
        <w:trPr>
          <w:jc w:val="center"/>
        </w:trPr>
        <w:tc>
          <w:tcPr>
            <w:tcW w:w="2150" w:type="dxa"/>
            <w:tcBorders>
              <w:top w:val="single" w:sz="4" w:space="0" w:color="auto"/>
            </w:tcBorders>
          </w:tcPr>
          <w:p w14:paraId="459C21C9" w14:textId="77777777" w:rsidR="00CD240F" w:rsidRPr="008A1F2E" w:rsidRDefault="00CD240F" w:rsidP="008A1F2E">
            <w:pPr>
              <w:ind w:firstLine="0"/>
              <w:jc w:val="center"/>
              <w:rPr>
                <w:rFonts w:ascii="Times New Roman" w:hAnsi="Times New Roman" w:cs="Times New Roman"/>
                <w:b/>
                <w:sz w:val="16"/>
                <w:szCs w:val="16"/>
              </w:rPr>
            </w:pPr>
            <w:r w:rsidRPr="008A1F2E">
              <w:rPr>
                <w:rFonts w:ascii="Times New Roman" w:hAnsi="Times New Roman" w:cs="Times New Roman"/>
                <w:b/>
                <w:sz w:val="16"/>
                <w:szCs w:val="16"/>
              </w:rPr>
              <w:t>Rare (P&lt;0.001%)</w:t>
            </w:r>
          </w:p>
        </w:tc>
        <w:tc>
          <w:tcPr>
            <w:tcW w:w="628" w:type="dxa"/>
            <w:tcBorders>
              <w:top w:val="single" w:sz="4" w:space="0" w:color="auto"/>
            </w:tcBorders>
          </w:tcPr>
          <w:p w14:paraId="11C90453" w14:textId="77777777" w:rsidR="00CD240F" w:rsidRPr="008A1F2E" w:rsidRDefault="00CD240F" w:rsidP="008A1F2E">
            <w:pPr>
              <w:ind w:firstLine="0"/>
              <w:jc w:val="center"/>
              <w:rPr>
                <w:rFonts w:ascii="Times New Roman" w:hAnsi="Times New Roman" w:cs="Times New Roman"/>
                <w:bCs/>
                <w:sz w:val="16"/>
                <w:szCs w:val="16"/>
              </w:rPr>
            </w:pPr>
            <w:r w:rsidRPr="008A1F2E">
              <w:rPr>
                <w:rFonts w:ascii="Times New Roman" w:hAnsi="Times New Roman" w:cs="Times New Roman"/>
                <w:bCs/>
                <w:sz w:val="16"/>
                <w:szCs w:val="16"/>
              </w:rPr>
              <w:t>0</w:t>
            </w:r>
          </w:p>
        </w:tc>
        <w:tc>
          <w:tcPr>
            <w:tcW w:w="1383" w:type="dxa"/>
            <w:tcBorders>
              <w:top w:val="single" w:sz="4" w:space="0" w:color="auto"/>
            </w:tcBorders>
          </w:tcPr>
          <w:p w14:paraId="67B791A2" w14:textId="77777777" w:rsidR="00CD240F" w:rsidRPr="008A1F2E" w:rsidRDefault="00CD240F" w:rsidP="008A1F2E">
            <w:pPr>
              <w:ind w:firstLine="0"/>
              <w:jc w:val="center"/>
              <w:rPr>
                <w:rFonts w:ascii="Times New Roman" w:hAnsi="Times New Roman" w:cs="Times New Roman"/>
                <w:bCs/>
                <w:sz w:val="16"/>
                <w:szCs w:val="16"/>
              </w:rPr>
            </w:pPr>
            <w:r w:rsidRPr="008A1F2E">
              <w:rPr>
                <w:rFonts w:ascii="Times New Roman" w:hAnsi="Times New Roman" w:cs="Times New Roman"/>
                <w:bCs/>
                <w:sz w:val="16"/>
                <w:szCs w:val="16"/>
              </w:rPr>
              <w:t>0</w:t>
            </w:r>
          </w:p>
        </w:tc>
        <w:tc>
          <w:tcPr>
            <w:tcW w:w="1234" w:type="dxa"/>
            <w:tcBorders>
              <w:top w:val="single" w:sz="4" w:space="0" w:color="auto"/>
            </w:tcBorders>
          </w:tcPr>
          <w:p w14:paraId="085AD783" w14:textId="77777777" w:rsidR="00CD240F" w:rsidRPr="008A1F2E" w:rsidRDefault="00CD240F" w:rsidP="008A1F2E">
            <w:pPr>
              <w:ind w:firstLine="0"/>
              <w:jc w:val="center"/>
              <w:rPr>
                <w:rFonts w:ascii="Times New Roman" w:hAnsi="Times New Roman" w:cs="Times New Roman"/>
                <w:bCs/>
                <w:sz w:val="16"/>
                <w:szCs w:val="16"/>
              </w:rPr>
            </w:pPr>
            <w:r w:rsidRPr="008A1F2E">
              <w:rPr>
                <w:rFonts w:ascii="Times New Roman" w:hAnsi="Times New Roman" w:cs="Times New Roman"/>
                <w:bCs/>
                <w:sz w:val="16"/>
                <w:szCs w:val="16"/>
              </w:rPr>
              <w:t>0</w:t>
            </w:r>
          </w:p>
        </w:tc>
        <w:tc>
          <w:tcPr>
            <w:tcW w:w="1350" w:type="dxa"/>
            <w:tcBorders>
              <w:top w:val="single" w:sz="4" w:space="0" w:color="auto"/>
            </w:tcBorders>
          </w:tcPr>
          <w:p w14:paraId="200A6009" w14:textId="77777777" w:rsidR="00CD240F" w:rsidRPr="008A1F2E" w:rsidRDefault="00CD240F" w:rsidP="008A1F2E">
            <w:pPr>
              <w:ind w:firstLine="0"/>
              <w:jc w:val="center"/>
              <w:rPr>
                <w:rFonts w:ascii="Times New Roman" w:hAnsi="Times New Roman" w:cs="Times New Roman"/>
                <w:bCs/>
                <w:sz w:val="16"/>
                <w:szCs w:val="16"/>
              </w:rPr>
            </w:pPr>
            <w:r w:rsidRPr="008A1F2E">
              <w:rPr>
                <w:rFonts w:ascii="Times New Roman" w:hAnsi="Times New Roman" w:cs="Times New Roman"/>
                <w:bCs/>
                <w:sz w:val="16"/>
                <w:szCs w:val="16"/>
              </w:rPr>
              <w:t>0</w:t>
            </w:r>
          </w:p>
        </w:tc>
        <w:tc>
          <w:tcPr>
            <w:tcW w:w="815" w:type="dxa"/>
            <w:tcBorders>
              <w:top w:val="single" w:sz="4" w:space="0" w:color="auto"/>
            </w:tcBorders>
          </w:tcPr>
          <w:p w14:paraId="4912E986" w14:textId="77777777" w:rsidR="00CD240F" w:rsidRPr="008A1F2E" w:rsidRDefault="00CD240F" w:rsidP="008A1F2E">
            <w:pPr>
              <w:ind w:firstLine="0"/>
              <w:jc w:val="center"/>
              <w:rPr>
                <w:rFonts w:ascii="Times New Roman" w:hAnsi="Times New Roman" w:cs="Times New Roman"/>
                <w:bCs/>
                <w:sz w:val="16"/>
                <w:szCs w:val="16"/>
              </w:rPr>
            </w:pPr>
            <w:r w:rsidRPr="008A1F2E">
              <w:rPr>
                <w:rFonts w:ascii="Times New Roman" w:hAnsi="Times New Roman" w:cs="Times New Roman"/>
                <w:bCs/>
                <w:sz w:val="16"/>
                <w:szCs w:val="16"/>
              </w:rPr>
              <w:t>0</w:t>
            </w:r>
          </w:p>
        </w:tc>
      </w:tr>
      <w:tr w:rsidR="00CD240F" w:rsidRPr="008A1F2E" w14:paraId="434BBD0D" w14:textId="77777777" w:rsidTr="005B35A1">
        <w:trPr>
          <w:jc w:val="center"/>
        </w:trPr>
        <w:tc>
          <w:tcPr>
            <w:tcW w:w="2150" w:type="dxa"/>
          </w:tcPr>
          <w:p w14:paraId="0626A88B" w14:textId="77777777" w:rsidR="00CD240F" w:rsidRPr="008A1F2E" w:rsidRDefault="00CD240F" w:rsidP="008A1F2E">
            <w:pPr>
              <w:ind w:firstLine="0"/>
              <w:jc w:val="center"/>
              <w:rPr>
                <w:rFonts w:ascii="Times New Roman" w:hAnsi="Times New Roman" w:cs="Times New Roman"/>
                <w:b/>
                <w:sz w:val="16"/>
                <w:szCs w:val="16"/>
              </w:rPr>
            </w:pPr>
            <w:r w:rsidRPr="008A1F2E">
              <w:rPr>
                <w:rFonts w:ascii="Times New Roman" w:hAnsi="Times New Roman" w:cs="Times New Roman"/>
                <w:b/>
                <w:sz w:val="16"/>
                <w:szCs w:val="16"/>
              </w:rPr>
              <w:t>Unlikely (P&lt;0.1%)</w:t>
            </w:r>
          </w:p>
        </w:tc>
        <w:tc>
          <w:tcPr>
            <w:tcW w:w="628" w:type="dxa"/>
          </w:tcPr>
          <w:p w14:paraId="141C9AC4" w14:textId="77777777" w:rsidR="00CD240F" w:rsidRPr="008A1F2E" w:rsidRDefault="00CD240F" w:rsidP="008A1F2E">
            <w:pPr>
              <w:ind w:firstLine="0"/>
              <w:jc w:val="center"/>
              <w:rPr>
                <w:rFonts w:ascii="Times New Roman" w:hAnsi="Times New Roman" w:cs="Times New Roman"/>
                <w:bCs/>
                <w:sz w:val="16"/>
                <w:szCs w:val="16"/>
              </w:rPr>
            </w:pPr>
            <w:r w:rsidRPr="008A1F2E">
              <w:rPr>
                <w:rFonts w:ascii="Times New Roman" w:hAnsi="Times New Roman" w:cs="Times New Roman"/>
                <w:bCs/>
                <w:sz w:val="16"/>
                <w:szCs w:val="16"/>
              </w:rPr>
              <w:t>1</w:t>
            </w:r>
          </w:p>
        </w:tc>
        <w:tc>
          <w:tcPr>
            <w:tcW w:w="1383" w:type="dxa"/>
          </w:tcPr>
          <w:p w14:paraId="286A0282" w14:textId="77777777" w:rsidR="00CD240F" w:rsidRPr="008A1F2E" w:rsidRDefault="00CD240F" w:rsidP="008A1F2E">
            <w:pPr>
              <w:ind w:firstLine="0"/>
              <w:jc w:val="center"/>
              <w:rPr>
                <w:rFonts w:ascii="Times New Roman" w:hAnsi="Times New Roman" w:cs="Times New Roman"/>
                <w:bCs/>
                <w:sz w:val="16"/>
                <w:szCs w:val="16"/>
              </w:rPr>
            </w:pPr>
            <w:r w:rsidRPr="008A1F2E">
              <w:rPr>
                <w:rFonts w:ascii="Times New Roman" w:hAnsi="Times New Roman" w:cs="Times New Roman"/>
                <w:bCs/>
                <w:sz w:val="16"/>
                <w:szCs w:val="16"/>
              </w:rPr>
              <w:t>0</w:t>
            </w:r>
          </w:p>
        </w:tc>
        <w:tc>
          <w:tcPr>
            <w:tcW w:w="1234" w:type="dxa"/>
          </w:tcPr>
          <w:p w14:paraId="05EEFCA3" w14:textId="77777777" w:rsidR="00CD240F" w:rsidRPr="008A1F2E" w:rsidRDefault="00CD240F" w:rsidP="008A1F2E">
            <w:pPr>
              <w:ind w:firstLine="0"/>
              <w:jc w:val="center"/>
              <w:rPr>
                <w:rFonts w:ascii="Times New Roman" w:hAnsi="Times New Roman" w:cs="Times New Roman"/>
                <w:bCs/>
                <w:sz w:val="16"/>
                <w:szCs w:val="16"/>
              </w:rPr>
            </w:pPr>
            <w:r w:rsidRPr="008A1F2E">
              <w:rPr>
                <w:rFonts w:ascii="Times New Roman" w:hAnsi="Times New Roman" w:cs="Times New Roman"/>
                <w:bCs/>
                <w:sz w:val="16"/>
                <w:szCs w:val="16"/>
              </w:rPr>
              <w:t>1</w:t>
            </w:r>
          </w:p>
        </w:tc>
        <w:tc>
          <w:tcPr>
            <w:tcW w:w="1350" w:type="dxa"/>
          </w:tcPr>
          <w:p w14:paraId="3C5EB0AA" w14:textId="77777777" w:rsidR="00CD240F" w:rsidRPr="008A1F2E" w:rsidRDefault="00CD240F" w:rsidP="008A1F2E">
            <w:pPr>
              <w:ind w:firstLine="0"/>
              <w:jc w:val="center"/>
              <w:rPr>
                <w:rFonts w:ascii="Times New Roman" w:hAnsi="Times New Roman" w:cs="Times New Roman"/>
                <w:bCs/>
                <w:sz w:val="16"/>
                <w:szCs w:val="16"/>
              </w:rPr>
            </w:pPr>
            <w:r w:rsidRPr="008A1F2E">
              <w:rPr>
                <w:rFonts w:ascii="Times New Roman" w:hAnsi="Times New Roman" w:cs="Times New Roman"/>
                <w:bCs/>
                <w:sz w:val="16"/>
                <w:szCs w:val="16"/>
              </w:rPr>
              <w:t>2</w:t>
            </w:r>
          </w:p>
        </w:tc>
        <w:tc>
          <w:tcPr>
            <w:tcW w:w="815" w:type="dxa"/>
          </w:tcPr>
          <w:p w14:paraId="17AC2D1F" w14:textId="77777777" w:rsidR="00CD240F" w:rsidRPr="008A1F2E" w:rsidRDefault="00CD240F" w:rsidP="008A1F2E">
            <w:pPr>
              <w:ind w:firstLine="0"/>
              <w:jc w:val="center"/>
              <w:rPr>
                <w:rFonts w:ascii="Times New Roman" w:hAnsi="Times New Roman" w:cs="Times New Roman"/>
                <w:bCs/>
                <w:sz w:val="16"/>
                <w:szCs w:val="16"/>
              </w:rPr>
            </w:pPr>
            <w:r w:rsidRPr="008A1F2E">
              <w:rPr>
                <w:rFonts w:ascii="Times New Roman" w:hAnsi="Times New Roman" w:cs="Times New Roman"/>
                <w:bCs/>
                <w:sz w:val="16"/>
                <w:szCs w:val="16"/>
              </w:rPr>
              <w:t>3</w:t>
            </w:r>
          </w:p>
        </w:tc>
      </w:tr>
      <w:tr w:rsidR="00CD240F" w:rsidRPr="008A1F2E" w14:paraId="24BE144D" w14:textId="77777777" w:rsidTr="005B35A1">
        <w:trPr>
          <w:jc w:val="center"/>
        </w:trPr>
        <w:tc>
          <w:tcPr>
            <w:tcW w:w="2150" w:type="dxa"/>
          </w:tcPr>
          <w:p w14:paraId="4BA07DCE" w14:textId="77777777" w:rsidR="00CD240F" w:rsidRPr="008A1F2E" w:rsidRDefault="00CD240F" w:rsidP="008A1F2E">
            <w:pPr>
              <w:ind w:firstLine="0"/>
              <w:jc w:val="center"/>
              <w:rPr>
                <w:rFonts w:ascii="Times New Roman" w:hAnsi="Times New Roman" w:cs="Times New Roman"/>
                <w:b/>
                <w:sz w:val="16"/>
                <w:szCs w:val="16"/>
              </w:rPr>
            </w:pPr>
            <w:r w:rsidRPr="008A1F2E">
              <w:rPr>
                <w:rFonts w:ascii="Times New Roman" w:hAnsi="Times New Roman" w:cs="Times New Roman"/>
                <w:b/>
                <w:sz w:val="16"/>
                <w:szCs w:val="16"/>
              </w:rPr>
              <w:t>Possible (0.1&lt;P&lt;10%)</w:t>
            </w:r>
          </w:p>
        </w:tc>
        <w:tc>
          <w:tcPr>
            <w:tcW w:w="628" w:type="dxa"/>
          </w:tcPr>
          <w:p w14:paraId="670718C2" w14:textId="77777777" w:rsidR="00CD240F" w:rsidRPr="008A1F2E" w:rsidRDefault="00CD240F" w:rsidP="008A1F2E">
            <w:pPr>
              <w:ind w:firstLine="0"/>
              <w:jc w:val="center"/>
              <w:rPr>
                <w:rFonts w:ascii="Times New Roman" w:hAnsi="Times New Roman" w:cs="Times New Roman"/>
                <w:bCs/>
                <w:sz w:val="16"/>
                <w:szCs w:val="16"/>
              </w:rPr>
            </w:pPr>
            <w:r w:rsidRPr="008A1F2E">
              <w:rPr>
                <w:rFonts w:ascii="Times New Roman" w:hAnsi="Times New Roman" w:cs="Times New Roman"/>
                <w:bCs/>
                <w:sz w:val="16"/>
                <w:szCs w:val="16"/>
              </w:rPr>
              <w:t>2</w:t>
            </w:r>
          </w:p>
        </w:tc>
        <w:tc>
          <w:tcPr>
            <w:tcW w:w="1383" w:type="dxa"/>
          </w:tcPr>
          <w:p w14:paraId="164DAAEA" w14:textId="77777777" w:rsidR="00CD240F" w:rsidRPr="008A1F2E" w:rsidRDefault="00CD240F" w:rsidP="008A1F2E">
            <w:pPr>
              <w:ind w:firstLine="0"/>
              <w:jc w:val="center"/>
              <w:rPr>
                <w:rFonts w:ascii="Times New Roman" w:hAnsi="Times New Roman" w:cs="Times New Roman"/>
                <w:bCs/>
                <w:sz w:val="16"/>
                <w:szCs w:val="16"/>
              </w:rPr>
            </w:pPr>
            <w:r w:rsidRPr="008A1F2E">
              <w:rPr>
                <w:rFonts w:ascii="Times New Roman" w:hAnsi="Times New Roman" w:cs="Times New Roman"/>
                <w:bCs/>
                <w:sz w:val="16"/>
                <w:szCs w:val="16"/>
              </w:rPr>
              <w:t>0</w:t>
            </w:r>
          </w:p>
        </w:tc>
        <w:tc>
          <w:tcPr>
            <w:tcW w:w="1234" w:type="dxa"/>
          </w:tcPr>
          <w:p w14:paraId="3CA27DB8" w14:textId="77777777" w:rsidR="00CD240F" w:rsidRPr="008A1F2E" w:rsidRDefault="00CD240F" w:rsidP="008A1F2E">
            <w:pPr>
              <w:ind w:firstLine="0"/>
              <w:jc w:val="center"/>
              <w:rPr>
                <w:rFonts w:ascii="Times New Roman" w:hAnsi="Times New Roman" w:cs="Times New Roman"/>
                <w:bCs/>
                <w:sz w:val="16"/>
                <w:szCs w:val="16"/>
              </w:rPr>
            </w:pPr>
            <w:r w:rsidRPr="008A1F2E">
              <w:rPr>
                <w:rFonts w:ascii="Times New Roman" w:hAnsi="Times New Roman" w:cs="Times New Roman"/>
                <w:bCs/>
                <w:sz w:val="16"/>
                <w:szCs w:val="16"/>
              </w:rPr>
              <w:t>2</w:t>
            </w:r>
          </w:p>
        </w:tc>
        <w:tc>
          <w:tcPr>
            <w:tcW w:w="1350" w:type="dxa"/>
          </w:tcPr>
          <w:p w14:paraId="40BDC3DA" w14:textId="77777777" w:rsidR="00CD240F" w:rsidRPr="008A1F2E" w:rsidRDefault="00CD240F" w:rsidP="008A1F2E">
            <w:pPr>
              <w:ind w:firstLine="0"/>
              <w:jc w:val="center"/>
              <w:rPr>
                <w:rFonts w:ascii="Times New Roman" w:hAnsi="Times New Roman" w:cs="Times New Roman"/>
                <w:bCs/>
                <w:sz w:val="16"/>
                <w:szCs w:val="16"/>
              </w:rPr>
            </w:pPr>
            <w:r w:rsidRPr="008A1F2E">
              <w:rPr>
                <w:rFonts w:ascii="Times New Roman" w:hAnsi="Times New Roman" w:cs="Times New Roman"/>
                <w:bCs/>
                <w:sz w:val="16"/>
                <w:szCs w:val="16"/>
              </w:rPr>
              <w:t>4</w:t>
            </w:r>
          </w:p>
        </w:tc>
        <w:tc>
          <w:tcPr>
            <w:tcW w:w="815" w:type="dxa"/>
          </w:tcPr>
          <w:p w14:paraId="4B0F4B06" w14:textId="77777777" w:rsidR="00CD240F" w:rsidRPr="008A1F2E" w:rsidRDefault="00CD240F" w:rsidP="008A1F2E">
            <w:pPr>
              <w:ind w:firstLine="0"/>
              <w:jc w:val="center"/>
              <w:rPr>
                <w:rFonts w:ascii="Times New Roman" w:hAnsi="Times New Roman" w:cs="Times New Roman"/>
                <w:bCs/>
                <w:sz w:val="16"/>
                <w:szCs w:val="16"/>
              </w:rPr>
            </w:pPr>
            <w:r w:rsidRPr="008A1F2E">
              <w:rPr>
                <w:rFonts w:ascii="Times New Roman" w:hAnsi="Times New Roman" w:cs="Times New Roman"/>
                <w:bCs/>
                <w:sz w:val="16"/>
                <w:szCs w:val="16"/>
              </w:rPr>
              <w:t>6</w:t>
            </w:r>
          </w:p>
        </w:tc>
      </w:tr>
      <w:tr w:rsidR="00CD240F" w:rsidRPr="008A1F2E" w14:paraId="141C79FB" w14:textId="77777777" w:rsidTr="005B35A1">
        <w:trPr>
          <w:jc w:val="center"/>
        </w:trPr>
        <w:tc>
          <w:tcPr>
            <w:tcW w:w="2150" w:type="dxa"/>
          </w:tcPr>
          <w:p w14:paraId="2B1D8FC3" w14:textId="77777777" w:rsidR="00CD240F" w:rsidRPr="008A1F2E" w:rsidRDefault="00CD240F" w:rsidP="008A1F2E">
            <w:pPr>
              <w:ind w:firstLine="0"/>
              <w:jc w:val="center"/>
              <w:rPr>
                <w:rFonts w:ascii="Times New Roman" w:hAnsi="Times New Roman" w:cs="Times New Roman"/>
                <w:b/>
                <w:sz w:val="16"/>
                <w:szCs w:val="16"/>
              </w:rPr>
            </w:pPr>
            <w:r w:rsidRPr="008A1F2E">
              <w:rPr>
                <w:rFonts w:ascii="Times New Roman" w:hAnsi="Times New Roman" w:cs="Times New Roman"/>
                <w:b/>
                <w:sz w:val="16"/>
                <w:szCs w:val="16"/>
              </w:rPr>
              <w:t>Likely (P&gt;10%)</w:t>
            </w:r>
          </w:p>
        </w:tc>
        <w:tc>
          <w:tcPr>
            <w:tcW w:w="628" w:type="dxa"/>
          </w:tcPr>
          <w:p w14:paraId="2820F1C0" w14:textId="77777777" w:rsidR="00CD240F" w:rsidRPr="008A1F2E" w:rsidRDefault="00CD240F" w:rsidP="008A1F2E">
            <w:pPr>
              <w:ind w:firstLine="0"/>
              <w:jc w:val="center"/>
              <w:rPr>
                <w:rFonts w:ascii="Times New Roman" w:hAnsi="Times New Roman" w:cs="Times New Roman"/>
                <w:bCs/>
                <w:sz w:val="16"/>
                <w:szCs w:val="16"/>
              </w:rPr>
            </w:pPr>
            <w:r w:rsidRPr="008A1F2E">
              <w:rPr>
                <w:rFonts w:ascii="Times New Roman" w:hAnsi="Times New Roman" w:cs="Times New Roman"/>
                <w:bCs/>
                <w:sz w:val="16"/>
                <w:szCs w:val="16"/>
              </w:rPr>
              <w:t>3</w:t>
            </w:r>
          </w:p>
        </w:tc>
        <w:tc>
          <w:tcPr>
            <w:tcW w:w="1383" w:type="dxa"/>
          </w:tcPr>
          <w:p w14:paraId="12E71849" w14:textId="77777777" w:rsidR="00CD240F" w:rsidRPr="008A1F2E" w:rsidRDefault="00CD240F" w:rsidP="008A1F2E">
            <w:pPr>
              <w:ind w:firstLine="0"/>
              <w:jc w:val="center"/>
              <w:rPr>
                <w:rFonts w:ascii="Times New Roman" w:hAnsi="Times New Roman" w:cs="Times New Roman"/>
                <w:bCs/>
                <w:sz w:val="16"/>
                <w:szCs w:val="16"/>
              </w:rPr>
            </w:pPr>
            <w:r w:rsidRPr="008A1F2E">
              <w:rPr>
                <w:rFonts w:ascii="Times New Roman" w:hAnsi="Times New Roman" w:cs="Times New Roman"/>
                <w:bCs/>
                <w:sz w:val="16"/>
                <w:szCs w:val="16"/>
              </w:rPr>
              <w:t>0</w:t>
            </w:r>
          </w:p>
        </w:tc>
        <w:tc>
          <w:tcPr>
            <w:tcW w:w="1234" w:type="dxa"/>
          </w:tcPr>
          <w:p w14:paraId="469B7193" w14:textId="77777777" w:rsidR="00CD240F" w:rsidRPr="008A1F2E" w:rsidRDefault="00CD240F" w:rsidP="008A1F2E">
            <w:pPr>
              <w:ind w:firstLine="0"/>
              <w:jc w:val="center"/>
              <w:rPr>
                <w:rFonts w:ascii="Times New Roman" w:hAnsi="Times New Roman" w:cs="Times New Roman"/>
                <w:bCs/>
                <w:sz w:val="16"/>
                <w:szCs w:val="16"/>
              </w:rPr>
            </w:pPr>
            <w:r w:rsidRPr="008A1F2E">
              <w:rPr>
                <w:rFonts w:ascii="Times New Roman" w:hAnsi="Times New Roman" w:cs="Times New Roman"/>
                <w:bCs/>
                <w:sz w:val="16"/>
                <w:szCs w:val="16"/>
              </w:rPr>
              <w:t>3</w:t>
            </w:r>
          </w:p>
        </w:tc>
        <w:tc>
          <w:tcPr>
            <w:tcW w:w="1350" w:type="dxa"/>
          </w:tcPr>
          <w:p w14:paraId="5460F210" w14:textId="77777777" w:rsidR="00CD240F" w:rsidRPr="008A1F2E" w:rsidRDefault="00CD240F" w:rsidP="008A1F2E">
            <w:pPr>
              <w:ind w:firstLine="0"/>
              <w:jc w:val="center"/>
              <w:rPr>
                <w:rFonts w:ascii="Times New Roman" w:hAnsi="Times New Roman" w:cs="Times New Roman"/>
                <w:bCs/>
                <w:sz w:val="16"/>
                <w:szCs w:val="16"/>
              </w:rPr>
            </w:pPr>
            <w:r w:rsidRPr="008A1F2E">
              <w:rPr>
                <w:rFonts w:ascii="Times New Roman" w:hAnsi="Times New Roman" w:cs="Times New Roman"/>
                <w:bCs/>
                <w:sz w:val="16"/>
                <w:szCs w:val="16"/>
              </w:rPr>
              <w:t>6</w:t>
            </w:r>
          </w:p>
        </w:tc>
        <w:tc>
          <w:tcPr>
            <w:tcW w:w="815" w:type="dxa"/>
          </w:tcPr>
          <w:p w14:paraId="26332B9A" w14:textId="77777777" w:rsidR="00CD240F" w:rsidRPr="008A1F2E" w:rsidRDefault="00CD240F" w:rsidP="008A1F2E">
            <w:pPr>
              <w:ind w:firstLine="0"/>
              <w:jc w:val="center"/>
              <w:rPr>
                <w:rFonts w:ascii="Times New Roman" w:hAnsi="Times New Roman" w:cs="Times New Roman"/>
                <w:bCs/>
                <w:sz w:val="16"/>
                <w:szCs w:val="16"/>
              </w:rPr>
            </w:pPr>
            <w:r w:rsidRPr="008A1F2E">
              <w:rPr>
                <w:rFonts w:ascii="Times New Roman" w:hAnsi="Times New Roman" w:cs="Times New Roman"/>
                <w:bCs/>
                <w:sz w:val="16"/>
                <w:szCs w:val="16"/>
              </w:rPr>
              <w:t>9</w:t>
            </w:r>
          </w:p>
        </w:tc>
      </w:tr>
    </w:tbl>
    <w:p w14:paraId="6C52952B" w14:textId="3279A70B" w:rsidR="00CD240F" w:rsidRPr="008A1F2E" w:rsidRDefault="008A1F2E" w:rsidP="008A1F2E">
      <w:pPr>
        <w:pStyle w:val="Heading1"/>
        <w:rPr>
          <w:lang w:eastAsia="en-US"/>
        </w:rPr>
      </w:pPr>
      <w:r w:rsidRPr="008A1F2E">
        <w:rPr>
          <w:lang w:eastAsia="en-US"/>
        </w:rPr>
        <w:t>Results Dissemination</w:t>
      </w:r>
    </w:p>
    <w:p w14:paraId="254BB6BC" w14:textId="7B949231" w:rsidR="00CD240F" w:rsidRPr="00F55D0A" w:rsidRDefault="00CD240F" w:rsidP="00585C1C">
      <w:pPr>
        <w:rPr>
          <w:szCs w:val="20"/>
        </w:rPr>
      </w:pPr>
      <w:r w:rsidRPr="008A1F2E">
        <w:t xml:space="preserve">The dissemination of the results of the SAFEPORT system for the port of Sines is done through a website </w:t>
      </w:r>
      <w:r w:rsidR="00364275" w:rsidRPr="008A1F2E">
        <w:t>(</w:t>
      </w:r>
      <w:r w:rsidR="00364275" w:rsidRPr="008A1F2E">
        <w:fldChar w:fldCharType="begin"/>
      </w:r>
      <w:r w:rsidR="00364275" w:rsidRPr="008A1F2E">
        <w:instrText xml:space="preserve"> REF _Ref98490981 \h  \* MERGEFORMAT </w:instrText>
      </w:r>
      <w:r w:rsidR="00364275" w:rsidRPr="008A1F2E">
        <w:fldChar w:fldCharType="separate"/>
      </w:r>
      <w:r w:rsidR="00364275" w:rsidRPr="008A1F2E">
        <w:t>Figure 10</w:t>
      </w:r>
      <w:r w:rsidR="00364275" w:rsidRPr="008A1F2E">
        <w:fldChar w:fldCharType="end"/>
      </w:r>
      <w:r w:rsidR="00364275" w:rsidRPr="008A1F2E">
        <w:t xml:space="preserve">). </w:t>
      </w:r>
      <w:r w:rsidRPr="008A1F2E">
        <w:t xml:space="preserve">and a mobile application </w:t>
      </w:r>
      <w:r w:rsidR="00364275" w:rsidRPr="008A1F2E">
        <w:t>(</w:t>
      </w:r>
      <w:r w:rsidR="00364275" w:rsidRPr="008A1F2E">
        <w:fldChar w:fldCharType="begin"/>
      </w:r>
      <w:r w:rsidR="00364275" w:rsidRPr="008A1F2E">
        <w:instrText xml:space="preserve"> REF _Ref98490987 \h  \* MERGEFORMAT </w:instrText>
      </w:r>
      <w:r w:rsidR="00364275" w:rsidRPr="008A1F2E">
        <w:fldChar w:fldCharType="separate"/>
      </w:r>
      <w:r w:rsidR="00364275" w:rsidRPr="008A1F2E">
        <w:t>Figure 11</w:t>
      </w:r>
      <w:r w:rsidR="00364275" w:rsidRPr="008A1F2E">
        <w:fldChar w:fldCharType="end"/>
      </w:r>
      <w:r w:rsidR="00364275" w:rsidRPr="008A1F2E">
        <w:t>)</w:t>
      </w:r>
      <w:r w:rsidR="00364275">
        <w:t xml:space="preserve"> </w:t>
      </w:r>
      <w:r w:rsidRPr="008A1F2E">
        <w:t xml:space="preserve">developed under the </w:t>
      </w:r>
      <w:proofErr w:type="spellStart"/>
      <w:r w:rsidRPr="008A1F2E">
        <w:t>BlueSafePort</w:t>
      </w:r>
      <w:proofErr w:type="spellEnd"/>
      <w:r w:rsidRPr="008A1F2E">
        <w:t xml:space="preserve"> project. On these platforms it is possible to access and visualize in graphic and numerical form</w:t>
      </w:r>
      <w:r w:rsidR="00585C1C">
        <w:t xml:space="preserve">, </w:t>
      </w:r>
      <w:r w:rsidRPr="00F55D0A">
        <w:rPr>
          <w:szCs w:val="20"/>
        </w:rPr>
        <w:t>forecasts of sea agitation conditions</w:t>
      </w:r>
      <w:r w:rsidR="00585C1C">
        <w:rPr>
          <w:szCs w:val="20"/>
        </w:rPr>
        <w:t xml:space="preserve">, </w:t>
      </w:r>
      <w:r w:rsidRPr="00F55D0A">
        <w:rPr>
          <w:szCs w:val="20"/>
        </w:rPr>
        <w:t>wind fields</w:t>
      </w:r>
      <w:r w:rsidR="00585C1C">
        <w:rPr>
          <w:szCs w:val="20"/>
        </w:rPr>
        <w:t xml:space="preserve">, </w:t>
      </w:r>
      <w:r w:rsidRPr="00F55D0A">
        <w:rPr>
          <w:szCs w:val="20"/>
        </w:rPr>
        <w:t>real-time monitoring of possible emergency situations</w:t>
      </w:r>
      <w:r w:rsidR="00585C1C">
        <w:rPr>
          <w:szCs w:val="20"/>
        </w:rPr>
        <w:t xml:space="preserve">, </w:t>
      </w:r>
      <w:r w:rsidRPr="00F55D0A">
        <w:rPr>
          <w:szCs w:val="20"/>
        </w:rPr>
        <w:t>alerts</w:t>
      </w:r>
      <w:r w:rsidR="00585C1C">
        <w:rPr>
          <w:szCs w:val="20"/>
        </w:rPr>
        <w:t xml:space="preserve">, </w:t>
      </w:r>
      <w:r w:rsidRPr="00F55D0A">
        <w:rPr>
          <w:szCs w:val="20"/>
        </w:rPr>
        <w:t xml:space="preserve">the system </w:t>
      </w:r>
      <w:r w:rsidR="00585C1C">
        <w:rPr>
          <w:szCs w:val="20"/>
        </w:rPr>
        <w:t xml:space="preserve">results </w:t>
      </w:r>
      <w:proofErr w:type="gramStart"/>
      <w:r w:rsidRPr="00F55D0A">
        <w:rPr>
          <w:szCs w:val="20"/>
        </w:rPr>
        <w:t>database</w:t>
      </w:r>
      <w:proofErr w:type="gramEnd"/>
      <w:r w:rsidRPr="00F55D0A">
        <w:rPr>
          <w:szCs w:val="20"/>
        </w:rPr>
        <w:t xml:space="preserve"> and the continuous validations (forecasts vs observations).</w:t>
      </w:r>
    </w:p>
    <w:p w14:paraId="300DBD37" w14:textId="77777777" w:rsidR="008110F2" w:rsidRPr="008A1F2E" w:rsidRDefault="008110F2" w:rsidP="008110F2">
      <w:r w:rsidRPr="008A1F2E">
        <w:t xml:space="preserve">As a result of the system, daily reports are built with the 3-day forecasts </w:t>
      </w:r>
      <w:r>
        <w:t>and</w:t>
      </w:r>
      <w:r w:rsidRPr="008A1F2E">
        <w:t xml:space="preserve"> are automatically sent by email to a list of email addresses of the responsible entities.</w:t>
      </w:r>
    </w:p>
    <w:p w14:paraId="062635FB" w14:textId="2C7C5E99" w:rsidR="00CD240F" w:rsidRPr="008A1F2E" w:rsidRDefault="00CD240F" w:rsidP="0048120F">
      <w:pPr>
        <w:pStyle w:val="NoindentNormal"/>
        <w:spacing w:before="240"/>
        <w:jc w:val="center"/>
        <w:rPr>
          <w:noProof/>
        </w:rPr>
      </w:pPr>
      <w:r w:rsidRPr="008A1F2E">
        <w:rPr>
          <w:noProof/>
        </w:rPr>
        <w:drawing>
          <wp:inline distT="0" distB="0" distL="0" distR="0" wp14:anchorId="26239722" wp14:editId="341980EF">
            <wp:extent cx="1575120" cy="1224000"/>
            <wp:effectExtent l="0" t="0" r="6350" b="0"/>
            <wp:docPr id="197" name="Picture 197" descr="A computer monitor with a 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omputer monitor with a map&#10;&#10;Description automatically generated with low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189" b="-1"/>
                    <a:stretch/>
                  </pic:blipFill>
                  <pic:spPr bwMode="auto">
                    <a:xfrm>
                      <a:off x="0" y="0"/>
                      <a:ext cx="1575120" cy="1224000"/>
                    </a:xfrm>
                    <a:prstGeom prst="rect">
                      <a:avLst/>
                    </a:prstGeom>
                    <a:noFill/>
                    <a:ln>
                      <a:noFill/>
                    </a:ln>
                    <a:extLst>
                      <a:ext uri="{53640926-AAD7-44D8-BBD7-CCE9431645EC}">
                        <a14:shadowObscured xmlns:a14="http://schemas.microsoft.com/office/drawing/2010/main"/>
                      </a:ext>
                    </a:extLst>
                  </pic:spPr>
                </pic:pic>
              </a:graphicData>
            </a:graphic>
          </wp:inline>
        </w:drawing>
      </w:r>
      <w:r w:rsidR="004A0895">
        <w:rPr>
          <w:noProof/>
        </w:rPr>
        <w:t xml:space="preserve">     </w:t>
      </w:r>
      <w:r w:rsidR="00585C1C" w:rsidRPr="008A1F2E">
        <w:rPr>
          <w:noProof/>
        </w:rPr>
        <w:drawing>
          <wp:inline distT="0" distB="0" distL="0" distR="0" wp14:anchorId="7379372E" wp14:editId="250950BC">
            <wp:extent cx="566772" cy="1224000"/>
            <wp:effectExtent l="0" t="0" r="5080"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17"/>
                    <a:stretch>
                      <a:fillRect/>
                    </a:stretch>
                  </pic:blipFill>
                  <pic:spPr>
                    <a:xfrm>
                      <a:off x="0" y="0"/>
                      <a:ext cx="566772" cy="1224000"/>
                    </a:xfrm>
                    <a:prstGeom prst="rect">
                      <a:avLst/>
                    </a:prstGeom>
                  </pic:spPr>
                </pic:pic>
              </a:graphicData>
            </a:graphic>
          </wp:inline>
        </w:drawing>
      </w:r>
      <w:r w:rsidR="00585C1C" w:rsidRPr="008A1F2E">
        <w:rPr>
          <w:noProof/>
        </w:rPr>
        <w:drawing>
          <wp:inline distT="0" distB="0" distL="0" distR="0" wp14:anchorId="56C2FF6D" wp14:editId="0A40D830">
            <wp:extent cx="568648" cy="1224000"/>
            <wp:effectExtent l="0" t="0" r="3175" b="0"/>
            <wp:docPr id="200" name="Picture 20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Graphical user interface, applicati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648" cy="1224000"/>
                    </a:xfrm>
                    <a:prstGeom prst="rect">
                      <a:avLst/>
                    </a:prstGeom>
                    <a:noFill/>
                  </pic:spPr>
                </pic:pic>
              </a:graphicData>
            </a:graphic>
          </wp:inline>
        </w:drawing>
      </w:r>
      <w:r w:rsidR="00585C1C" w:rsidRPr="008A1F2E">
        <w:rPr>
          <w:noProof/>
        </w:rPr>
        <w:drawing>
          <wp:inline distT="0" distB="0" distL="0" distR="0" wp14:anchorId="73F0ABB1" wp14:editId="75AC02B7">
            <wp:extent cx="559952" cy="1224000"/>
            <wp:effectExtent l="0" t="0" r="0" b="0"/>
            <wp:docPr id="28" name="Picture 2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9952" cy="1224000"/>
                    </a:xfrm>
                    <a:prstGeom prst="rect">
                      <a:avLst/>
                    </a:prstGeom>
                    <a:noFill/>
                  </pic:spPr>
                </pic:pic>
              </a:graphicData>
            </a:graphic>
          </wp:inline>
        </w:drawing>
      </w:r>
    </w:p>
    <w:p w14:paraId="3B777A17" w14:textId="0516732F" w:rsidR="00CD240F" w:rsidRDefault="00CD240F" w:rsidP="00585C1C">
      <w:pPr>
        <w:rPr>
          <w:sz w:val="16"/>
          <w:szCs w:val="16"/>
        </w:rPr>
      </w:pPr>
      <w:bookmarkStart w:id="9" w:name="_Ref98490981"/>
      <w:bookmarkStart w:id="10" w:name="_Ref98490970"/>
      <w:r w:rsidRPr="00364275">
        <w:rPr>
          <w:b/>
          <w:bCs/>
          <w:sz w:val="16"/>
          <w:szCs w:val="16"/>
        </w:rPr>
        <w:t xml:space="preserve">Figure </w:t>
      </w:r>
      <w:r w:rsidRPr="00364275">
        <w:rPr>
          <w:b/>
          <w:bCs/>
          <w:sz w:val="16"/>
          <w:szCs w:val="16"/>
        </w:rPr>
        <w:fldChar w:fldCharType="begin"/>
      </w:r>
      <w:r w:rsidRPr="00364275">
        <w:rPr>
          <w:b/>
          <w:bCs/>
          <w:sz w:val="16"/>
          <w:szCs w:val="16"/>
        </w:rPr>
        <w:instrText xml:space="preserve"> SEQ Figure \* ARABIC </w:instrText>
      </w:r>
      <w:r w:rsidRPr="00364275">
        <w:rPr>
          <w:b/>
          <w:bCs/>
          <w:sz w:val="16"/>
          <w:szCs w:val="16"/>
        </w:rPr>
        <w:fldChar w:fldCharType="separate"/>
      </w:r>
      <w:r w:rsidRPr="00364275">
        <w:rPr>
          <w:b/>
          <w:bCs/>
          <w:sz w:val="16"/>
          <w:szCs w:val="16"/>
        </w:rPr>
        <w:t>10</w:t>
      </w:r>
      <w:r w:rsidRPr="00364275">
        <w:rPr>
          <w:b/>
          <w:bCs/>
          <w:sz w:val="16"/>
          <w:szCs w:val="16"/>
        </w:rPr>
        <w:fldChar w:fldCharType="end"/>
      </w:r>
      <w:bookmarkStart w:id="11" w:name="_Ref96351452"/>
      <w:bookmarkStart w:id="12" w:name="_Toc96357691"/>
      <w:bookmarkEnd w:id="9"/>
      <w:r w:rsidRPr="00364275">
        <w:rPr>
          <w:b/>
          <w:bCs/>
          <w:sz w:val="16"/>
          <w:szCs w:val="16"/>
        </w:rPr>
        <w:t>.</w:t>
      </w:r>
      <w:r w:rsidRPr="00364275">
        <w:rPr>
          <w:sz w:val="16"/>
          <w:szCs w:val="16"/>
        </w:rPr>
        <w:t xml:space="preserve"> </w:t>
      </w:r>
      <w:bookmarkEnd w:id="11"/>
      <w:bookmarkEnd w:id="12"/>
      <w:r w:rsidRPr="00364275">
        <w:rPr>
          <w:sz w:val="16"/>
          <w:szCs w:val="16"/>
        </w:rPr>
        <w:t xml:space="preserve">Web page </w:t>
      </w:r>
      <w:r w:rsidR="00585C1C">
        <w:rPr>
          <w:sz w:val="16"/>
          <w:szCs w:val="16"/>
        </w:rPr>
        <w:t>and m</w:t>
      </w:r>
      <w:r w:rsidR="00585C1C" w:rsidRPr="00364275">
        <w:rPr>
          <w:sz w:val="16"/>
          <w:szCs w:val="16"/>
        </w:rPr>
        <w:t>obile application</w:t>
      </w:r>
      <w:bookmarkEnd w:id="10"/>
      <w:r w:rsidR="00585C1C">
        <w:rPr>
          <w:sz w:val="16"/>
          <w:szCs w:val="16"/>
        </w:rPr>
        <w:t>.</w:t>
      </w:r>
    </w:p>
    <w:p w14:paraId="4368AE65" w14:textId="77777777" w:rsidR="00CD240F" w:rsidRPr="008A1F2E" w:rsidRDefault="00CD240F" w:rsidP="008A1F2E">
      <w:pPr>
        <w:pStyle w:val="Heading1"/>
        <w:rPr>
          <w:lang w:eastAsia="en-US"/>
        </w:rPr>
      </w:pPr>
      <w:r w:rsidRPr="008A1F2E">
        <w:rPr>
          <w:lang w:eastAsia="en-US"/>
        </w:rPr>
        <w:t>SYSTEM TEST</w:t>
      </w:r>
    </w:p>
    <w:p w14:paraId="46DCE1AA" w14:textId="4BBCFB38" w:rsidR="00CD240F" w:rsidRPr="008A1F2E" w:rsidRDefault="00CD240F" w:rsidP="00CD240F">
      <w:r w:rsidRPr="008A1F2E">
        <w:t xml:space="preserve">For a safety system such as SAFEPORT, it is essential that it works properly in current and storm situations </w:t>
      </w:r>
      <w:proofErr w:type="gramStart"/>
      <w:r w:rsidRPr="008A1F2E">
        <w:t>in order to</w:t>
      </w:r>
      <w:proofErr w:type="gramEnd"/>
      <w:r w:rsidRPr="008A1F2E">
        <w:t xml:space="preserve"> issue alerts of emergency situations only when justified.</w:t>
      </w:r>
      <w:r w:rsidR="00585C1C">
        <w:t xml:space="preserve"> </w:t>
      </w:r>
      <w:r w:rsidRPr="008A1F2E">
        <w:t xml:space="preserve">An application of the SAFEPORT system </w:t>
      </w:r>
      <w:r w:rsidR="00424B92">
        <w:t>was</w:t>
      </w:r>
      <w:r w:rsidRPr="008A1F2E">
        <w:t xml:space="preserve"> performed, </w:t>
      </w:r>
      <w:r w:rsidR="00424B92">
        <w:t>for the</w:t>
      </w:r>
      <w:r w:rsidRPr="008A1F2E">
        <w:t xml:space="preserve"> sea-wave conditions of storm Dora (Gomes </w:t>
      </w:r>
      <w:r w:rsidR="00AD08ED" w:rsidRPr="00AD08ED">
        <w:rPr>
          <w:i/>
        </w:rPr>
        <w:t>et al.</w:t>
      </w:r>
      <w:r w:rsidRPr="008A1F2E">
        <w:t xml:space="preserve">, 2022). Storm Dora reached its highest intensity during the afternoon of 4th December 2020, and the early morning of 5th December 2020. It was characterized by wind gusts of more than 100 km/h (62 mph) in the areas near the </w:t>
      </w:r>
      <w:r w:rsidRPr="008A1F2E">
        <w:lastRenderedPageBreak/>
        <w:t>coast and rough sea with records of maximum wave height of 10.3 meters at the Sines1D wave buoy.</w:t>
      </w:r>
      <w:r w:rsidR="00357A60">
        <w:t xml:space="preserve"> </w:t>
      </w:r>
      <w:r w:rsidRPr="008A1F2E">
        <w:t xml:space="preserve">The WAM model predicted waves predominant </w:t>
      </w:r>
      <w:proofErr w:type="spellStart"/>
      <w:r w:rsidRPr="008A1F2E">
        <w:t>θm</w:t>
      </w:r>
      <w:proofErr w:type="spellEnd"/>
      <w:r w:rsidRPr="008A1F2E">
        <w:t xml:space="preserve"> of north, with Hs ranging between 3m and 8m and </w:t>
      </w:r>
      <w:proofErr w:type="spellStart"/>
      <w:r w:rsidRPr="008A1F2E">
        <w:t>Tp</w:t>
      </w:r>
      <w:proofErr w:type="spellEnd"/>
      <w:r w:rsidRPr="008A1F2E">
        <w:t xml:space="preserve"> between 15s and 18s. </w:t>
      </w:r>
      <w:proofErr w:type="gramStart"/>
      <w:r w:rsidR="00357A60">
        <w:t>I</w:t>
      </w:r>
      <w:r w:rsidRPr="008A1F2E">
        <w:t>n the vicinity of</w:t>
      </w:r>
      <w:proofErr w:type="gramEnd"/>
      <w:r w:rsidRPr="008A1F2E">
        <w:t xml:space="preserve"> the port of Sines, wave characteristics Hs, </w:t>
      </w:r>
      <w:proofErr w:type="spellStart"/>
      <w:r w:rsidRPr="008A1F2E">
        <w:t>Tp</w:t>
      </w:r>
      <w:proofErr w:type="spellEnd"/>
      <w:r w:rsidRPr="008A1F2E">
        <w:t xml:space="preserve"> and </w:t>
      </w:r>
      <w:bookmarkStart w:id="13" w:name="_Hlk98508786"/>
      <w:proofErr w:type="spellStart"/>
      <w:r w:rsidRPr="008A1F2E">
        <w:t>θ</w:t>
      </w:r>
      <w:bookmarkEnd w:id="13"/>
      <w:r w:rsidRPr="008A1F2E">
        <w:t>m</w:t>
      </w:r>
      <w:proofErr w:type="spellEnd"/>
      <w:r w:rsidRPr="008A1F2E">
        <w:t xml:space="preserve">, </w:t>
      </w:r>
      <w:r w:rsidR="00357A60" w:rsidRPr="008A1F2E">
        <w:t xml:space="preserve">had their </w:t>
      </w:r>
      <w:proofErr w:type="spellStart"/>
      <w:r w:rsidR="00357A60" w:rsidRPr="008A1F2E">
        <w:t>Tp</w:t>
      </w:r>
      <w:proofErr w:type="spellEnd"/>
      <w:r w:rsidR="00357A60" w:rsidRPr="008A1F2E">
        <w:t xml:space="preserve"> between 15 s and 17 s, and Hs between 3 m and 7.55 m</w:t>
      </w:r>
      <w:r w:rsidR="00357A60" w:rsidRPr="008A1F2E">
        <w:t xml:space="preserve"> </w:t>
      </w:r>
      <w:r w:rsidRPr="008A1F2E">
        <w:t>(</w:t>
      </w:r>
      <w:r w:rsidRPr="008A1F2E">
        <w:fldChar w:fldCharType="begin"/>
      </w:r>
      <w:r w:rsidRPr="008A1F2E">
        <w:instrText xml:space="preserve"> REF _Ref98509101 \h  \* MERGEFORMAT </w:instrText>
      </w:r>
      <w:r w:rsidRPr="008A1F2E">
        <w:fldChar w:fldCharType="separate"/>
      </w:r>
      <w:r w:rsidRPr="008A1F2E">
        <w:t>Figure 14</w:t>
      </w:r>
      <w:r w:rsidRPr="008A1F2E">
        <w:fldChar w:fldCharType="end"/>
      </w:r>
      <w:r w:rsidRPr="008A1F2E">
        <w:t>). The peak of storm Dora in front of the port of Sines, according to the SWAN model, occurred at 6 p.m. on 4th December 2020.</w:t>
      </w:r>
      <w:r w:rsidR="00240829">
        <w:t xml:space="preserve"> </w:t>
      </w:r>
      <w:r w:rsidR="00CF56F9">
        <w:t>At</w:t>
      </w:r>
      <w:r w:rsidRPr="008A1F2E">
        <w:t xml:space="preserve"> the TGL Hs = 1.2 m, </w:t>
      </w:r>
      <w:proofErr w:type="spellStart"/>
      <w:r w:rsidRPr="008A1F2E">
        <w:t>Tp</w:t>
      </w:r>
      <w:proofErr w:type="spellEnd"/>
      <w:r w:rsidRPr="008A1F2E">
        <w:t xml:space="preserve"> = 15 s and </w:t>
      </w:r>
      <w:proofErr w:type="spellStart"/>
      <w:r w:rsidRPr="008A1F2E">
        <w:t>θm</w:t>
      </w:r>
      <w:proofErr w:type="spellEnd"/>
      <w:r w:rsidRPr="008A1F2E">
        <w:t xml:space="preserve"> = 210°. The TMS, in turn, is affected by waves </w:t>
      </w:r>
      <w:r w:rsidR="0062612F" w:rsidRPr="008A1F2E">
        <w:t xml:space="preserve">with Hs = 0.7 m, </w:t>
      </w:r>
      <w:proofErr w:type="spellStart"/>
      <w:r w:rsidR="0062612F" w:rsidRPr="008A1F2E">
        <w:t>Tp</w:t>
      </w:r>
      <w:proofErr w:type="spellEnd"/>
      <w:r w:rsidR="0062612F" w:rsidRPr="008A1F2E">
        <w:t xml:space="preserve"> = 15 s and </w:t>
      </w:r>
      <w:proofErr w:type="spellStart"/>
      <w:r w:rsidR="0062612F" w:rsidRPr="008A1F2E">
        <w:t>θm</w:t>
      </w:r>
      <w:proofErr w:type="spellEnd"/>
      <w:r w:rsidR="0062612F" w:rsidRPr="008A1F2E">
        <w:t xml:space="preserve"> = 280°</w:t>
      </w:r>
      <w:r w:rsidRPr="008A1F2E">
        <w:t xml:space="preserve">. At the TCS, Hs = 0.8 m, </w:t>
      </w:r>
      <w:proofErr w:type="spellStart"/>
      <w:r w:rsidRPr="008A1F2E">
        <w:t>Tp</w:t>
      </w:r>
      <w:proofErr w:type="spellEnd"/>
      <w:r w:rsidRPr="008A1F2E">
        <w:t xml:space="preserve"> = 17 s and </w:t>
      </w:r>
      <w:proofErr w:type="spellStart"/>
      <w:r w:rsidRPr="008A1F2E">
        <w:t>θm</w:t>
      </w:r>
      <w:proofErr w:type="spellEnd"/>
      <w:r w:rsidRPr="008A1F2E">
        <w:t xml:space="preserve"> = 174º.</w:t>
      </w:r>
    </w:p>
    <w:p w14:paraId="2D2E245C" w14:textId="77777777" w:rsidR="00357A60" w:rsidRPr="008A1F2E" w:rsidRDefault="00357A60" w:rsidP="0048120F">
      <w:pPr>
        <w:pStyle w:val="NoindentNormal"/>
        <w:spacing w:before="240"/>
        <w:jc w:val="center"/>
        <w:rPr>
          <w:noProof/>
        </w:rPr>
      </w:pPr>
      <w:r w:rsidRPr="008A1F2E">
        <w:rPr>
          <w:noProof/>
        </w:rPr>
        <w:drawing>
          <wp:inline distT="0" distB="0" distL="0" distR="0" wp14:anchorId="1261D4EA" wp14:editId="4E31C02A">
            <wp:extent cx="1196523" cy="1294549"/>
            <wp:effectExtent l="0" t="0" r="3810" b="1270"/>
            <wp:docPr id="12" name="Picture 12"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urface chart&#10;&#10;Description automatically generated"/>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1206311" cy="1305138"/>
                    </a:xfrm>
                    <a:prstGeom prst="rect">
                      <a:avLst/>
                    </a:prstGeom>
                    <a:noFill/>
                  </pic:spPr>
                </pic:pic>
              </a:graphicData>
            </a:graphic>
          </wp:inline>
        </w:drawing>
      </w:r>
      <w:r w:rsidRPr="008A1F2E">
        <w:rPr>
          <w:noProof/>
        </w:rPr>
        <w:drawing>
          <wp:inline distT="0" distB="0" distL="0" distR="0" wp14:anchorId="65A5FD12" wp14:editId="2BEA985F">
            <wp:extent cx="1485604" cy="1299210"/>
            <wp:effectExtent l="0" t="0" r="635" b="0"/>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1491555" cy="1304415"/>
                    </a:xfrm>
                    <a:prstGeom prst="rect">
                      <a:avLst/>
                    </a:prstGeom>
                    <a:noFill/>
                  </pic:spPr>
                </pic:pic>
              </a:graphicData>
            </a:graphic>
          </wp:inline>
        </w:drawing>
      </w:r>
      <w:r>
        <w:rPr>
          <w:noProof/>
        </w:rPr>
        <w:t xml:space="preserve"> </w:t>
      </w:r>
      <w:r w:rsidRPr="008A1F2E">
        <w:rPr>
          <w:noProof/>
        </w:rPr>
        <w:drawing>
          <wp:inline distT="0" distB="0" distL="0" distR="0" wp14:anchorId="61E43F83" wp14:editId="0C657DFA">
            <wp:extent cx="1625600" cy="1288428"/>
            <wp:effectExtent l="0" t="0" r="0" b="6985"/>
            <wp:docPr id="20" name="Picture 2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hart&#10;&#10;Description automatically generated"/>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1629977" cy="1291897"/>
                    </a:xfrm>
                    <a:prstGeom prst="rect">
                      <a:avLst/>
                    </a:prstGeom>
                    <a:noFill/>
                  </pic:spPr>
                </pic:pic>
              </a:graphicData>
            </a:graphic>
          </wp:inline>
        </w:drawing>
      </w:r>
    </w:p>
    <w:p w14:paraId="5E35A893" w14:textId="77777777" w:rsidR="00357A60" w:rsidRDefault="00357A60" w:rsidP="00357A60">
      <w:pPr>
        <w:rPr>
          <w:sz w:val="16"/>
          <w:szCs w:val="16"/>
        </w:rPr>
      </w:pPr>
      <w:bookmarkStart w:id="14" w:name="_Ref98509101"/>
      <w:r w:rsidRPr="00364275">
        <w:rPr>
          <w:b/>
          <w:bCs/>
          <w:sz w:val="16"/>
          <w:szCs w:val="16"/>
        </w:rPr>
        <w:t xml:space="preserve">Figure </w:t>
      </w:r>
      <w:r w:rsidRPr="00364275">
        <w:rPr>
          <w:b/>
          <w:bCs/>
          <w:sz w:val="16"/>
          <w:szCs w:val="16"/>
        </w:rPr>
        <w:fldChar w:fldCharType="begin"/>
      </w:r>
      <w:r w:rsidRPr="00364275">
        <w:rPr>
          <w:b/>
          <w:bCs/>
          <w:sz w:val="16"/>
          <w:szCs w:val="16"/>
        </w:rPr>
        <w:instrText xml:space="preserve"> SEQ Figure \* ARABIC </w:instrText>
      </w:r>
      <w:r w:rsidRPr="00364275">
        <w:rPr>
          <w:b/>
          <w:bCs/>
          <w:sz w:val="16"/>
          <w:szCs w:val="16"/>
        </w:rPr>
        <w:fldChar w:fldCharType="separate"/>
      </w:r>
      <w:r w:rsidRPr="00364275">
        <w:rPr>
          <w:b/>
          <w:bCs/>
          <w:sz w:val="16"/>
          <w:szCs w:val="16"/>
        </w:rPr>
        <w:t>14</w:t>
      </w:r>
      <w:r w:rsidRPr="00364275">
        <w:rPr>
          <w:b/>
          <w:bCs/>
          <w:sz w:val="16"/>
          <w:szCs w:val="16"/>
        </w:rPr>
        <w:fldChar w:fldCharType="end"/>
      </w:r>
      <w:bookmarkEnd w:id="14"/>
      <w:r w:rsidRPr="00364275">
        <w:rPr>
          <w:b/>
          <w:bCs/>
          <w:sz w:val="16"/>
          <w:szCs w:val="16"/>
        </w:rPr>
        <w:t>.</w:t>
      </w:r>
      <w:r w:rsidRPr="00364275">
        <w:rPr>
          <w:sz w:val="16"/>
          <w:szCs w:val="16"/>
        </w:rPr>
        <w:t xml:space="preserve"> </w:t>
      </w:r>
      <w:r>
        <w:rPr>
          <w:sz w:val="16"/>
          <w:szCs w:val="16"/>
        </w:rPr>
        <w:t xml:space="preserve">WAM, </w:t>
      </w:r>
      <w:r w:rsidRPr="00364275">
        <w:rPr>
          <w:sz w:val="16"/>
          <w:szCs w:val="16"/>
        </w:rPr>
        <w:t xml:space="preserve">SWAN </w:t>
      </w:r>
      <w:r>
        <w:rPr>
          <w:sz w:val="16"/>
          <w:szCs w:val="16"/>
        </w:rPr>
        <w:t xml:space="preserve">and DREAMS </w:t>
      </w:r>
      <w:r w:rsidRPr="00364275">
        <w:rPr>
          <w:sz w:val="16"/>
          <w:szCs w:val="16"/>
        </w:rPr>
        <w:t xml:space="preserve">model results (Hs, </w:t>
      </w:r>
      <w:proofErr w:type="spellStart"/>
      <w:r w:rsidRPr="00364275">
        <w:rPr>
          <w:sz w:val="16"/>
          <w:szCs w:val="16"/>
        </w:rPr>
        <w:t>Tp</w:t>
      </w:r>
      <w:proofErr w:type="spellEnd"/>
      <w:r w:rsidRPr="00364275">
        <w:rPr>
          <w:sz w:val="16"/>
          <w:szCs w:val="16"/>
        </w:rPr>
        <w:t xml:space="preserve"> and </w:t>
      </w:r>
      <w:proofErr w:type="spellStart"/>
      <w:r w:rsidRPr="00364275">
        <w:rPr>
          <w:sz w:val="16"/>
          <w:szCs w:val="16"/>
        </w:rPr>
        <w:t>θm</w:t>
      </w:r>
      <w:proofErr w:type="spellEnd"/>
      <w:r w:rsidRPr="00364275">
        <w:rPr>
          <w:sz w:val="16"/>
          <w:szCs w:val="16"/>
        </w:rPr>
        <w:t>) for 4th December 2020, 6 p.m.</w:t>
      </w:r>
    </w:p>
    <w:p w14:paraId="4B90F05C" w14:textId="77777777" w:rsidR="00357A60" w:rsidRPr="00364275" w:rsidRDefault="00357A60" w:rsidP="00357A60">
      <w:pPr>
        <w:rPr>
          <w:sz w:val="16"/>
          <w:szCs w:val="16"/>
        </w:rPr>
      </w:pPr>
    </w:p>
    <w:p w14:paraId="662EE86C" w14:textId="64D40598" w:rsidR="00CD240F" w:rsidRPr="008A1F2E" w:rsidRDefault="00CD240F" w:rsidP="008A1F2E">
      <w:pPr>
        <w:ind w:left="14" w:right="58" w:hanging="14"/>
      </w:pPr>
      <w:r w:rsidRPr="008A1F2E">
        <w:rPr>
          <w:lang w:val="pt-PT"/>
        </w:rPr>
        <w:fldChar w:fldCharType="begin"/>
      </w:r>
      <w:r w:rsidRPr="008A1F2E">
        <w:instrText xml:space="preserve"> REF _Ref98524983 \h </w:instrText>
      </w:r>
      <w:r w:rsidR="008A1F2E" w:rsidRPr="008A1F2E">
        <w:instrText xml:space="preserve"> \* MERGEFORMAT </w:instrText>
      </w:r>
      <w:r w:rsidRPr="008A1F2E">
        <w:rPr>
          <w:lang w:val="pt-PT"/>
        </w:rPr>
      </w:r>
      <w:r w:rsidRPr="008A1F2E">
        <w:rPr>
          <w:lang w:val="pt-PT"/>
        </w:rPr>
        <w:fldChar w:fldCharType="separate"/>
      </w:r>
      <w:r w:rsidRPr="008A1F2E">
        <w:t xml:space="preserve">Figure </w:t>
      </w:r>
      <w:r w:rsidRPr="008A1F2E">
        <w:rPr>
          <w:noProof/>
        </w:rPr>
        <w:t>17</w:t>
      </w:r>
      <w:r w:rsidRPr="008A1F2E">
        <w:rPr>
          <w:lang w:val="pt-PT"/>
        </w:rPr>
        <w:fldChar w:fldCharType="end"/>
      </w:r>
      <w:r w:rsidRPr="008A1F2E">
        <w:t xml:space="preserve"> shows the dashboard of alerts disseminated on the SAFEPORT system platforms. </w:t>
      </w:r>
    </w:p>
    <w:p w14:paraId="3097708B" w14:textId="77777777" w:rsidR="00CD240F" w:rsidRPr="008A1F2E" w:rsidRDefault="00CD240F" w:rsidP="0048120F">
      <w:pPr>
        <w:pStyle w:val="NoindentNormal"/>
        <w:spacing w:before="240"/>
        <w:jc w:val="center"/>
        <w:rPr>
          <w:noProof/>
        </w:rPr>
      </w:pPr>
      <w:r w:rsidRPr="008A1F2E">
        <w:rPr>
          <w:noProof/>
        </w:rPr>
        <w:drawing>
          <wp:inline distT="0" distB="0" distL="0" distR="0" wp14:anchorId="6E79F2A7" wp14:editId="12823634">
            <wp:extent cx="3693598" cy="970893"/>
            <wp:effectExtent l="57150" t="38100" r="59690" b="77470"/>
            <wp:docPr id="207" name="Picture 19" descr="Shape&#10;&#10;Description automatically generated">
              <a:extLst xmlns:a="http://schemas.openxmlformats.org/drawingml/2006/main">
                <a:ext uri="{FF2B5EF4-FFF2-40B4-BE49-F238E27FC236}">
                  <a16:creationId xmlns:a16="http://schemas.microsoft.com/office/drawing/2014/main" id="{AE639A9F-E027-4B4E-A520-265BE7092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19" descr="Shape&#10;&#10;Description automatically generated">
                      <a:extLst>
                        <a:ext uri="{FF2B5EF4-FFF2-40B4-BE49-F238E27FC236}">
                          <a16:creationId xmlns:a16="http://schemas.microsoft.com/office/drawing/2014/main" id="{AE639A9F-E027-4B4E-A520-265BE7092536}"/>
                        </a:ext>
                      </a:extLst>
                    </pic:cNvPr>
                    <pic:cNvPicPr>
                      <a:picLocks noChangeAspect="1"/>
                    </pic:cNvPicPr>
                  </pic:nvPicPr>
                  <pic:blipFill>
                    <a:blip r:embed="rId26"/>
                    <a:stretch>
                      <a:fillRect/>
                    </a:stretch>
                  </pic:blipFill>
                  <pic:spPr>
                    <a:xfrm>
                      <a:off x="0" y="0"/>
                      <a:ext cx="3726111" cy="979439"/>
                    </a:xfrm>
                    <a:prstGeom prst="rect">
                      <a:avLst/>
                    </a:prstGeom>
                    <a:effectLst>
                      <a:outerShdw blurRad="57150" dist="19050" dir="5400000" algn="ctr" rotWithShape="0">
                        <a:srgbClr val="000000">
                          <a:alpha val="63000"/>
                        </a:srgbClr>
                      </a:outerShdw>
                    </a:effectLst>
                  </pic:spPr>
                </pic:pic>
              </a:graphicData>
            </a:graphic>
          </wp:inline>
        </w:drawing>
      </w:r>
    </w:p>
    <w:p w14:paraId="3CC56142" w14:textId="77777777" w:rsidR="00CD240F" w:rsidRPr="008A1F2E" w:rsidRDefault="00CD240F" w:rsidP="00CD240F">
      <w:pPr>
        <w:pStyle w:val="Caption"/>
        <w:spacing w:before="0"/>
      </w:pPr>
      <w:bookmarkStart w:id="15" w:name="_Ref98524983"/>
      <w:r w:rsidRPr="00A56FD8">
        <w:rPr>
          <w:b/>
          <w:bCs/>
        </w:rPr>
        <w:t xml:space="preserve">Figure </w:t>
      </w:r>
      <w:r w:rsidRPr="00A56FD8">
        <w:rPr>
          <w:b/>
          <w:bCs/>
        </w:rPr>
        <w:fldChar w:fldCharType="begin"/>
      </w:r>
      <w:r w:rsidRPr="00A56FD8">
        <w:rPr>
          <w:b/>
          <w:bCs/>
        </w:rPr>
        <w:instrText xml:space="preserve"> SEQ Figure \* ARABIC </w:instrText>
      </w:r>
      <w:r w:rsidRPr="00A56FD8">
        <w:rPr>
          <w:b/>
          <w:bCs/>
        </w:rPr>
        <w:fldChar w:fldCharType="separate"/>
      </w:r>
      <w:r w:rsidRPr="00A56FD8">
        <w:rPr>
          <w:b/>
          <w:bCs/>
          <w:noProof/>
        </w:rPr>
        <w:t>17</w:t>
      </w:r>
      <w:r w:rsidRPr="00A56FD8">
        <w:rPr>
          <w:b/>
          <w:bCs/>
        </w:rPr>
        <w:fldChar w:fldCharType="end"/>
      </w:r>
      <w:bookmarkEnd w:id="15"/>
      <w:r w:rsidRPr="00A56FD8">
        <w:rPr>
          <w:b/>
          <w:bCs/>
        </w:rPr>
        <w:t>.</w:t>
      </w:r>
      <w:r w:rsidRPr="008A1F2E">
        <w:t xml:space="preserve"> Dashboard of the alerts for the forces on the ships’ mooring lines.</w:t>
      </w:r>
    </w:p>
    <w:p w14:paraId="7B30F5DE" w14:textId="2900F16C" w:rsidR="00CD240F" w:rsidRPr="008A1F2E" w:rsidRDefault="008A1F2E" w:rsidP="008A1F2E">
      <w:pPr>
        <w:pStyle w:val="Heading1"/>
        <w:rPr>
          <w:lang w:eastAsia="en-US"/>
        </w:rPr>
      </w:pPr>
      <w:r w:rsidRPr="008A1F2E">
        <w:rPr>
          <w:lang w:eastAsia="en-US"/>
        </w:rPr>
        <w:t>Final considerations</w:t>
      </w:r>
    </w:p>
    <w:p w14:paraId="0D63A3FA" w14:textId="0BAFE51C" w:rsidR="00CD240F" w:rsidRPr="008A1F2E" w:rsidRDefault="00CD240F" w:rsidP="008A1F2E">
      <w:pPr>
        <w:ind w:left="14" w:right="58" w:hanging="14"/>
      </w:pPr>
      <w:r w:rsidRPr="008A1F2E">
        <w:t xml:space="preserve">Anticipating potentially hazardous sea and weather states is not sufficient to predict all potentially hazardous situations. The movements of ships depend on a diversity of factors and a complex interaction of phenomena that make certain situations, where the safety of the ship is affected, seem impossible to predict. The SAFEPORT system herein presented </w:t>
      </w:r>
      <w:r w:rsidR="001408AD" w:rsidRPr="008A1F2E">
        <w:t>can</w:t>
      </w:r>
      <w:r w:rsidRPr="008A1F2E">
        <w:t xml:space="preserve"> anticipate the effects on ships of sea agitation and potentially dangerous atmospheric conditions, allowing to take informed decisions on mooring procedures and to increase the safety of ships moored within ports.</w:t>
      </w:r>
      <w:r w:rsidR="00240829">
        <w:t xml:space="preserve"> </w:t>
      </w:r>
      <w:r w:rsidRPr="008A1F2E">
        <w:t xml:space="preserve">Based on offshore forecasts computed by accurate weather-oceanographic forecasting models, the SAFEPORT system estimates the relevant wave parameters for the assessment of the behavior of ships moored within port basins, using a set of numerical models. The safety system issue alerts associated with danger levels for the ships’ motions and forces on their mooring lines, based on a qualitative analysis of the risk of exceeding recommended values for these variables. The results are disseminated through digital platforms, namely a web page based on the HIDRALERTA web </w:t>
      </w:r>
      <w:r w:rsidR="001408AD" w:rsidRPr="008A1F2E">
        <w:t>platform,</w:t>
      </w:r>
      <w:r w:rsidRPr="008A1F2E">
        <w:t xml:space="preserve"> and a mobile application </w:t>
      </w:r>
      <w:r w:rsidRPr="008A1F2E">
        <w:lastRenderedPageBreak/>
        <w:t xml:space="preserve">developed under the </w:t>
      </w:r>
      <w:proofErr w:type="spellStart"/>
      <w:r w:rsidRPr="008A1F2E">
        <w:t>BlueSafePort</w:t>
      </w:r>
      <w:proofErr w:type="spellEnd"/>
      <w:r w:rsidRPr="008A1F2E">
        <w:t xml:space="preserve"> project.</w:t>
      </w:r>
      <w:r w:rsidR="008110F2">
        <w:t xml:space="preserve"> </w:t>
      </w:r>
      <w:r w:rsidRPr="008A1F2E">
        <w:t xml:space="preserve">The prototype of the system is the port of Sines, more specifically the bulk liquid terminal, the multipurpose </w:t>
      </w:r>
      <w:proofErr w:type="gramStart"/>
      <w:r w:rsidRPr="008A1F2E">
        <w:t>terminal</w:t>
      </w:r>
      <w:proofErr w:type="gramEnd"/>
      <w:r w:rsidRPr="008A1F2E">
        <w:t xml:space="preserve"> and the container terminal. Three ships were moored in these terminals, i.e., an oil tanker, a general cargo ship and a container ship. The SAFEPORT system was tested in a storm situation. The alerts issued by the system were in accordance with the reported occurrences. </w:t>
      </w:r>
    </w:p>
    <w:p w14:paraId="445EA5B0" w14:textId="545104A3" w:rsidR="008A1F2E" w:rsidRPr="008A1F2E" w:rsidRDefault="008A1F2E" w:rsidP="008A1F2E">
      <w:pPr>
        <w:pStyle w:val="HeadingUnn1"/>
        <w:rPr>
          <w:rFonts w:cs="Times New Roman"/>
        </w:rPr>
      </w:pPr>
      <w:r w:rsidRPr="008A1F2E">
        <w:rPr>
          <w:rFonts w:cs="Times New Roman"/>
        </w:rPr>
        <w:t>Acknowledgments</w:t>
      </w:r>
    </w:p>
    <w:p w14:paraId="7E07369D" w14:textId="77777777" w:rsidR="008A1F2E" w:rsidRPr="008A1F2E" w:rsidRDefault="008A1F2E" w:rsidP="008A1F2E">
      <w:pPr>
        <w:ind w:left="14" w:right="58" w:hanging="14"/>
      </w:pPr>
      <w:r w:rsidRPr="008A1F2E">
        <w:t xml:space="preserve">The authors would like to thank the </w:t>
      </w:r>
      <w:proofErr w:type="spellStart"/>
      <w:r w:rsidRPr="008A1F2E">
        <w:t>BlueSafePort</w:t>
      </w:r>
      <w:proofErr w:type="spellEnd"/>
      <w:r w:rsidRPr="008A1F2E">
        <w:t xml:space="preserve"> project (ref: FA_04_2017_016), the National Infrastructure for Distributed Computing (INCD) for granting access to the digital infrastructure to support research and the Sines and Algarve Ports Administration.</w:t>
      </w:r>
    </w:p>
    <w:p w14:paraId="24BD2B9A" w14:textId="77777777" w:rsidR="008A1F2E" w:rsidRPr="008A1F2E" w:rsidRDefault="008A1F2E" w:rsidP="008A1F2E">
      <w:pPr>
        <w:pStyle w:val="HeadingUnn1"/>
        <w:rPr>
          <w:rFonts w:cs="Times New Roman"/>
        </w:rPr>
      </w:pPr>
      <w:r w:rsidRPr="008A1F2E">
        <w:rPr>
          <w:rFonts w:cs="Times New Roman"/>
        </w:rPr>
        <w:t>References</w:t>
      </w:r>
    </w:p>
    <w:p w14:paraId="70F868D8" w14:textId="3CA1D5DE" w:rsidR="008A1F2E" w:rsidRPr="00357A60" w:rsidRDefault="008A1F2E" w:rsidP="008A1F2E">
      <w:pPr>
        <w:pStyle w:val="References"/>
        <w:rPr>
          <w:snapToGrid w:val="0"/>
        </w:rPr>
      </w:pPr>
      <w:r w:rsidRPr="00357A60">
        <w:rPr>
          <w:snapToGrid w:val="0"/>
        </w:rPr>
        <w:tab/>
      </w:r>
      <w:proofErr w:type="spellStart"/>
      <w:r w:rsidRPr="00357A60">
        <w:rPr>
          <w:snapToGrid w:val="0"/>
        </w:rPr>
        <w:t>Berkhoff</w:t>
      </w:r>
      <w:proofErr w:type="spellEnd"/>
      <w:r w:rsidRPr="00357A60">
        <w:rPr>
          <w:snapToGrid w:val="0"/>
        </w:rPr>
        <w:t xml:space="preserve">, J. (1972). </w:t>
      </w:r>
      <w:r w:rsidR="00F109E3" w:rsidRPr="00357A60">
        <w:rPr>
          <w:snapToGrid w:val="0"/>
        </w:rPr>
        <w:t xml:space="preserve">Computation Of Combined Refraction - Diffraction. </w:t>
      </w:r>
      <w:r w:rsidRPr="00F109E3">
        <w:rPr>
          <w:snapToGrid w:val="0"/>
        </w:rPr>
        <w:t>Coastal Engineering Proceedings</w:t>
      </w:r>
      <w:r w:rsidRPr="00357A60">
        <w:rPr>
          <w:snapToGrid w:val="0"/>
        </w:rPr>
        <w:t>, 1(13), 23. https://doi.org/10.9753/icce.v13.23</w:t>
      </w:r>
    </w:p>
    <w:p w14:paraId="04DB099A" w14:textId="77777777" w:rsidR="008A1F2E" w:rsidRPr="008A1F2E" w:rsidRDefault="008A1F2E" w:rsidP="008A1F2E">
      <w:pPr>
        <w:pStyle w:val="References"/>
        <w:rPr>
          <w:snapToGrid w:val="0"/>
        </w:rPr>
      </w:pPr>
      <w:proofErr w:type="spellStart"/>
      <w:r w:rsidRPr="008A1F2E">
        <w:rPr>
          <w:snapToGrid w:val="0"/>
        </w:rPr>
        <w:t>Booij</w:t>
      </w:r>
      <w:proofErr w:type="spellEnd"/>
      <w:r w:rsidRPr="008A1F2E">
        <w:rPr>
          <w:snapToGrid w:val="0"/>
        </w:rPr>
        <w:t xml:space="preserve">, N.R., </w:t>
      </w:r>
      <w:proofErr w:type="spellStart"/>
      <w:r w:rsidRPr="008A1F2E">
        <w:rPr>
          <w:snapToGrid w:val="0"/>
        </w:rPr>
        <w:t>Holthuijsen</w:t>
      </w:r>
      <w:proofErr w:type="spellEnd"/>
      <w:r w:rsidRPr="008A1F2E">
        <w:rPr>
          <w:snapToGrid w:val="0"/>
        </w:rPr>
        <w:t xml:space="preserve">, L.H. e </w:t>
      </w:r>
      <w:proofErr w:type="spellStart"/>
      <w:r w:rsidRPr="008A1F2E">
        <w:rPr>
          <w:snapToGrid w:val="0"/>
        </w:rPr>
        <w:t>Ris</w:t>
      </w:r>
      <w:proofErr w:type="spellEnd"/>
      <w:r w:rsidRPr="008A1F2E">
        <w:rPr>
          <w:snapToGrid w:val="0"/>
        </w:rPr>
        <w:t>, R.C. (1996). The SWAN wave model for shallow water. ICCE´96: 668-676. Orlando.</w:t>
      </w:r>
    </w:p>
    <w:p w14:paraId="05114838" w14:textId="77777777" w:rsidR="008A1F2E" w:rsidRPr="00235A42" w:rsidRDefault="008A1F2E" w:rsidP="008A1F2E">
      <w:pPr>
        <w:pStyle w:val="References"/>
        <w:rPr>
          <w:snapToGrid w:val="0"/>
          <w:lang w:val="pt-PT"/>
        </w:rPr>
      </w:pPr>
      <w:r w:rsidRPr="00235A42">
        <w:rPr>
          <w:snapToGrid w:val="0"/>
          <w:lang w:val="pt-PT"/>
        </w:rPr>
        <w:t>Fortes, C.J.E.M. (2002). Transformações não lineares de ondas em portos. Análise pelo método dos elementos finitos. Tese de doutoramento. Lisboa: IST/DEM.</w:t>
      </w:r>
    </w:p>
    <w:p w14:paraId="18F4AD04" w14:textId="77777777" w:rsidR="008A1F2E" w:rsidRPr="008A1F2E" w:rsidRDefault="008A1F2E" w:rsidP="008A1F2E">
      <w:pPr>
        <w:pStyle w:val="References"/>
        <w:rPr>
          <w:snapToGrid w:val="0"/>
        </w:rPr>
      </w:pPr>
      <w:r w:rsidRPr="00A6540F">
        <w:rPr>
          <w:snapToGrid w:val="0"/>
          <w:lang w:val="pt-PT"/>
        </w:rPr>
        <w:t xml:space="preserve">Korsemeyer, F.T., Lee, C.H., Newman, J.N. e Sclavounos, P.D. (1988). </w:t>
      </w:r>
      <w:r w:rsidRPr="008A1F2E">
        <w:rPr>
          <w:snapToGrid w:val="0"/>
        </w:rPr>
        <w:t>The analysis of wave effects on tension-leg platforms. Proc. 7th International Conference on Offshore Mechanics and Arctic Engineering: 1-14. Texas: Houston.</w:t>
      </w:r>
    </w:p>
    <w:p w14:paraId="7D9E33D1" w14:textId="77777777" w:rsidR="008A1F2E" w:rsidRPr="008A1F2E" w:rsidRDefault="008A1F2E" w:rsidP="008A1F2E">
      <w:pPr>
        <w:pStyle w:val="References"/>
        <w:rPr>
          <w:snapToGrid w:val="0"/>
        </w:rPr>
      </w:pPr>
      <w:proofErr w:type="spellStart"/>
      <w:r w:rsidRPr="008A1F2E">
        <w:rPr>
          <w:snapToGrid w:val="0"/>
        </w:rPr>
        <w:t>Longuet</w:t>
      </w:r>
      <w:proofErr w:type="spellEnd"/>
      <w:r w:rsidRPr="008A1F2E">
        <w:rPr>
          <w:snapToGrid w:val="0"/>
        </w:rPr>
        <w:t>-Higgins M.S. (1952). On the statistical distribution of the heights of sea waves. J. Marine Research. Vol XI, No. 3.</w:t>
      </w:r>
    </w:p>
    <w:p w14:paraId="3936C92B" w14:textId="77777777" w:rsidR="008A1F2E" w:rsidRPr="008A1F2E" w:rsidRDefault="008A1F2E" w:rsidP="008A1F2E">
      <w:pPr>
        <w:pStyle w:val="References"/>
        <w:rPr>
          <w:snapToGrid w:val="0"/>
        </w:rPr>
      </w:pPr>
      <w:proofErr w:type="spellStart"/>
      <w:r w:rsidRPr="008A1F2E">
        <w:rPr>
          <w:snapToGrid w:val="0"/>
        </w:rPr>
        <w:t>Mynett</w:t>
      </w:r>
      <w:proofErr w:type="spellEnd"/>
      <w:r w:rsidRPr="008A1F2E">
        <w:rPr>
          <w:snapToGrid w:val="0"/>
        </w:rPr>
        <w:t xml:space="preserve">, A.E., </w:t>
      </w:r>
      <w:proofErr w:type="spellStart"/>
      <w:r w:rsidRPr="008A1F2E">
        <w:rPr>
          <w:snapToGrid w:val="0"/>
        </w:rPr>
        <w:t>Keunig</w:t>
      </w:r>
      <w:proofErr w:type="spellEnd"/>
      <w:r w:rsidRPr="008A1F2E">
        <w:rPr>
          <w:snapToGrid w:val="0"/>
        </w:rPr>
        <w:t xml:space="preserve">, P.J. e Vis, F.C. (1985). The dynamic </w:t>
      </w:r>
      <w:proofErr w:type="spellStart"/>
      <w:r w:rsidRPr="008A1F2E">
        <w:rPr>
          <w:snapToGrid w:val="0"/>
        </w:rPr>
        <w:t>behaviour</w:t>
      </w:r>
      <w:proofErr w:type="spellEnd"/>
      <w:r w:rsidRPr="008A1F2E">
        <w:rPr>
          <w:snapToGrid w:val="0"/>
        </w:rPr>
        <w:t xml:space="preserve"> of moored vessels inside a </w:t>
      </w:r>
      <w:proofErr w:type="spellStart"/>
      <w:r w:rsidRPr="008A1F2E">
        <w:rPr>
          <w:snapToGrid w:val="0"/>
        </w:rPr>
        <w:t>harbour</w:t>
      </w:r>
      <w:proofErr w:type="spellEnd"/>
      <w:r w:rsidRPr="008A1F2E">
        <w:rPr>
          <w:snapToGrid w:val="0"/>
        </w:rPr>
        <w:t xml:space="preserve"> configuration. Int. Conf. on Numerical Modelling of Ports and </w:t>
      </w:r>
      <w:proofErr w:type="spellStart"/>
      <w:r w:rsidRPr="008A1F2E">
        <w:rPr>
          <w:snapToGrid w:val="0"/>
        </w:rPr>
        <w:t>Harbour</w:t>
      </w:r>
      <w:proofErr w:type="spellEnd"/>
      <w:r w:rsidRPr="008A1F2E">
        <w:rPr>
          <w:snapToGrid w:val="0"/>
        </w:rPr>
        <w:t xml:space="preserve"> 23-25: Cranfield: BHRA. The Fluid Engineering Centre, April 1985. England: Birmingham.</w:t>
      </w:r>
    </w:p>
    <w:p w14:paraId="05D0545C" w14:textId="77777777" w:rsidR="008A1F2E" w:rsidRPr="008A1F2E" w:rsidRDefault="008A1F2E" w:rsidP="008A1F2E">
      <w:pPr>
        <w:pStyle w:val="References"/>
        <w:rPr>
          <w:snapToGrid w:val="0"/>
        </w:rPr>
      </w:pPr>
      <w:r w:rsidRPr="008A1F2E">
        <w:rPr>
          <w:snapToGrid w:val="0"/>
        </w:rPr>
        <w:t xml:space="preserve">Newman, J. N. and </w:t>
      </w:r>
      <w:proofErr w:type="spellStart"/>
      <w:r w:rsidRPr="008A1F2E">
        <w:rPr>
          <w:snapToGrid w:val="0"/>
        </w:rPr>
        <w:t>Sclavounos</w:t>
      </w:r>
      <w:proofErr w:type="spellEnd"/>
      <w:r w:rsidRPr="008A1F2E">
        <w:rPr>
          <w:snapToGrid w:val="0"/>
        </w:rPr>
        <w:t>, P. D. (1988). The Computation of Wave Loads on Large Offshore Structures. BOSS ’88 Conference. Trondheim, Norway.</w:t>
      </w:r>
    </w:p>
    <w:p w14:paraId="6E2259D6" w14:textId="77777777" w:rsidR="008A1F2E" w:rsidRPr="008A1F2E" w:rsidRDefault="008A1F2E" w:rsidP="008A1F2E">
      <w:pPr>
        <w:pStyle w:val="References"/>
        <w:rPr>
          <w:snapToGrid w:val="0"/>
        </w:rPr>
      </w:pPr>
      <w:r w:rsidRPr="008A1F2E">
        <w:rPr>
          <w:snapToGrid w:val="0"/>
        </w:rPr>
        <w:t>Persson, A. (2001). User Guide to ECMWF Forecast Products. Meteorological Bulletin M3.2. ECMWF: 115.</w:t>
      </w:r>
    </w:p>
    <w:p w14:paraId="7D0A5115" w14:textId="77777777" w:rsidR="008A1F2E" w:rsidRPr="008A1F2E" w:rsidRDefault="008A1F2E" w:rsidP="008A1F2E">
      <w:pPr>
        <w:pStyle w:val="References"/>
        <w:rPr>
          <w:snapToGrid w:val="0"/>
        </w:rPr>
      </w:pPr>
      <w:r w:rsidRPr="00235A42">
        <w:rPr>
          <w:snapToGrid w:val="0"/>
          <w:lang w:val="pt-PT"/>
        </w:rPr>
        <w:t xml:space="preserve">Pinheiro, L. V., CJEM, F., Santos, J. A. &amp; Fernandes, J. L. M. (2013). </w:t>
      </w:r>
      <w:r w:rsidRPr="008A1F2E">
        <w:rPr>
          <w:snapToGrid w:val="0"/>
        </w:rPr>
        <w:t xml:space="preserve">Numerical software package SWAMS – Simulation of Wave Action on Moored Ships. Proc. PIANC 3rd Mediterranean Days of Coastal and Port Engineering, 22 a 24 de </w:t>
      </w:r>
      <w:proofErr w:type="spellStart"/>
      <w:r w:rsidRPr="008A1F2E">
        <w:rPr>
          <w:snapToGrid w:val="0"/>
        </w:rPr>
        <w:t>maio</w:t>
      </w:r>
      <w:proofErr w:type="spellEnd"/>
      <w:r w:rsidRPr="008A1F2E">
        <w:rPr>
          <w:snapToGrid w:val="0"/>
        </w:rPr>
        <w:t xml:space="preserve">, Marseille, </w:t>
      </w:r>
      <w:proofErr w:type="spellStart"/>
      <w:r w:rsidRPr="008A1F2E">
        <w:rPr>
          <w:snapToGrid w:val="0"/>
        </w:rPr>
        <w:t>França</w:t>
      </w:r>
      <w:proofErr w:type="spellEnd"/>
      <w:r w:rsidRPr="008A1F2E">
        <w:rPr>
          <w:snapToGrid w:val="0"/>
        </w:rPr>
        <w:t>.</w:t>
      </w:r>
    </w:p>
    <w:p w14:paraId="0FD59C20" w14:textId="77777777" w:rsidR="008A1F2E" w:rsidRPr="008A1F2E" w:rsidRDefault="008A1F2E" w:rsidP="008A1F2E">
      <w:pPr>
        <w:pStyle w:val="References"/>
        <w:rPr>
          <w:snapToGrid w:val="0"/>
        </w:rPr>
      </w:pPr>
      <w:r w:rsidRPr="00235A42">
        <w:rPr>
          <w:snapToGrid w:val="0"/>
          <w:lang w:val="pt-PT"/>
        </w:rPr>
        <w:t xml:space="preserve">Pinheiro, L., Fortes, C. &amp; Santos, J. (2018). </w:t>
      </w:r>
      <w:r w:rsidRPr="008A1F2E">
        <w:rPr>
          <w:snapToGrid w:val="0"/>
        </w:rPr>
        <w:t xml:space="preserve">Risk analysis and management of moored ships in ports. the 37th International Conference on Ocean, Offshore and Arctic </w:t>
      </w:r>
      <w:proofErr w:type="spellStart"/>
      <w:r w:rsidRPr="008A1F2E">
        <w:rPr>
          <w:snapToGrid w:val="0"/>
        </w:rPr>
        <w:t>Engi-neering</w:t>
      </w:r>
      <w:proofErr w:type="spellEnd"/>
      <w:r w:rsidRPr="008A1F2E">
        <w:rPr>
          <w:snapToGrid w:val="0"/>
        </w:rPr>
        <w:t xml:space="preserve"> (OMAE2018). June 17-22, Madrid, Spain.</w:t>
      </w:r>
    </w:p>
    <w:p w14:paraId="10D33718" w14:textId="77777777" w:rsidR="008A1F2E" w:rsidRPr="008A1F2E" w:rsidRDefault="008A1F2E" w:rsidP="008A1F2E">
      <w:pPr>
        <w:pStyle w:val="References"/>
        <w:rPr>
          <w:snapToGrid w:val="0"/>
        </w:rPr>
      </w:pPr>
      <w:r w:rsidRPr="00235A42">
        <w:rPr>
          <w:snapToGrid w:val="0"/>
          <w:lang w:val="pt-PT"/>
        </w:rPr>
        <w:t xml:space="preserve">Pinheiro, L., Fortes, C., Reis, M. T., Santos, J. &amp; Soares, C. G. (2020). </w:t>
      </w:r>
      <w:r w:rsidRPr="008A1F2E">
        <w:rPr>
          <w:snapToGrid w:val="0"/>
        </w:rPr>
        <w:t xml:space="preserve">Risk forecast system for moored ships. In proceedings of </w:t>
      </w:r>
      <w:proofErr w:type="spellStart"/>
      <w:r w:rsidRPr="008A1F2E">
        <w:rPr>
          <w:snapToGrid w:val="0"/>
        </w:rPr>
        <w:t>vICCE</w:t>
      </w:r>
      <w:proofErr w:type="spellEnd"/>
      <w:r w:rsidRPr="008A1F2E">
        <w:rPr>
          <w:snapToGrid w:val="0"/>
        </w:rPr>
        <w:t xml:space="preserve"> (virtual International Conference on Coastal Engineering). 6-9 October.</w:t>
      </w:r>
    </w:p>
    <w:p w14:paraId="7219838C" w14:textId="77777777" w:rsidR="008A1F2E" w:rsidRPr="008A1F2E" w:rsidRDefault="008A1F2E" w:rsidP="008A1F2E">
      <w:pPr>
        <w:pStyle w:val="References"/>
        <w:rPr>
          <w:snapToGrid w:val="0"/>
        </w:rPr>
      </w:pPr>
      <w:r w:rsidRPr="008A1F2E">
        <w:rPr>
          <w:snapToGrid w:val="0"/>
        </w:rPr>
        <w:t xml:space="preserve">Santos, J.A. (1994). MOORNAV – Numerical model for the </w:t>
      </w:r>
      <w:proofErr w:type="spellStart"/>
      <w:r w:rsidRPr="008A1F2E">
        <w:rPr>
          <w:snapToGrid w:val="0"/>
        </w:rPr>
        <w:t>behaviour</w:t>
      </w:r>
      <w:proofErr w:type="spellEnd"/>
      <w:r w:rsidRPr="008A1F2E">
        <w:rPr>
          <w:snapToGrid w:val="0"/>
        </w:rPr>
        <w:t xml:space="preserve"> of moored ships. Final report, </w:t>
      </w:r>
      <w:proofErr w:type="spellStart"/>
      <w:r w:rsidRPr="008A1F2E">
        <w:rPr>
          <w:snapToGrid w:val="0"/>
        </w:rPr>
        <w:t>Projecto</w:t>
      </w:r>
      <w:proofErr w:type="spellEnd"/>
      <w:r w:rsidRPr="008A1F2E">
        <w:rPr>
          <w:snapToGrid w:val="0"/>
        </w:rPr>
        <w:t xml:space="preserve"> NATO PO-Waves (3/94-B). Lisbon.</w:t>
      </w:r>
    </w:p>
    <w:p w14:paraId="2A17C52F" w14:textId="77777777" w:rsidR="008A1F2E" w:rsidRPr="008A1F2E" w:rsidRDefault="008A1F2E" w:rsidP="008A1F2E">
      <w:pPr>
        <w:pStyle w:val="References"/>
        <w:rPr>
          <w:snapToGrid w:val="0"/>
        </w:rPr>
      </w:pPr>
      <w:r w:rsidRPr="008A1F2E">
        <w:rPr>
          <w:snapToGrid w:val="0"/>
        </w:rPr>
        <w:t>WAMDI Group (1988). The WAM Model - A third generation ocean wave prediction model. J. Physical Oceanography (18): 1775-1810.</w:t>
      </w:r>
    </w:p>
    <w:sectPr w:rsidR="008A1F2E" w:rsidRPr="008A1F2E">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329C7" w14:textId="77777777" w:rsidR="007843EE" w:rsidRDefault="007843EE">
      <w:r>
        <w:separator/>
      </w:r>
    </w:p>
  </w:endnote>
  <w:endnote w:type="continuationSeparator" w:id="0">
    <w:p w14:paraId="7FF16A7A" w14:textId="77777777" w:rsidR="007843EE" w:rsidRDefault="00784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4168C" w14:textId="77777777" w:rsidR="007843EE" w:rsidRDefault="007843EE">
      <w:r>
        <w:separator/>
      </w:r>
    </w:p>
  </w:footnote>
  <w:footnote w:type="continuationSeparator" w:id="0">
    <w:p w14:paraId="5C225D92" w14:textId="77777777" w:rsidR="007843EE" w:rsidRDefault="007843EE">
      <w:r>
        <w:continuationSeparator/>
      </w:r>
    </w:p>
  </w:footnote>
  <w:footnote w:id="1">
    <w:p w14:paraId="49806EFE" w14:textId="7FECCAA0" w:rsidR="00B05D6E" w:rsidRPr="00E37481" w:rsidRDefault="00B05D6E">
      <w:pPr>
        <w:pStyle w:val="FootnoteText"/>
        <w:rPr>
          <w:rStyle w:val="FootnoteChar"/>
          <w:szCs w:val="16"/>
        </w:rPr>
      </w:pPr>
      <w:r>
        <w:rPr>
          <w:rStyle w:val="FootnoteReference"/>
        </w:rPr>
        <w:footnoteRef/>
      </w:r>
      <w:r w:rsidRPr="00E37481">
        <w:rPr>
          <w:rStyle w:val="FootnoteChar"/>
        </w:rPr>
        <w:t xml:space="preserve"> </w:t>
      </w:r>
      <w:r w:rsidR="00E37481" w:rsidRPr="00E37481">
        <w:rPr>
          <w:rStyle w:val="FootnoteChar"/>
        </w:rPr>
        <w:t>Liliana Pinheiro</w:t>
      </w:r>
      <w:r w:rsidR="006161C2" w:rsidRPr="00E37481">
        <w:rPr>
          <w:sz w:val="16"/>
          <w:szCs w:val="16"/>
        </w:rPr>
        <w:t>,</w:t>
      </w:r>
      <w:r w:rsidR="00E37481" w:rsidRPr="00E37481">
        <w:rPr>
          <w:sz w:val="16"/>
          <w:szCs w:val="16"/>
        </w:rPr>
        <w:t xml:space="preserve"> Ports and Maritime Structures Unit;</w:t>
      </w:r>
      <w:r w:rsidR="00A11E70">
        <w:rPr>
          <w:sz w:val="16"/>
          <w:szCs w:val="16"/>
        </w:rPr>
        <w:t xml:space="preserve"> </w:t>
      </w:r>
      <w:r w:rsidR="00E37481" w:rsidRPr="00E37481">
        <w:rPr>
          <w:sz w:val="16"/>
          <w:szCs w:val="16"/>
        </w:rPr>
        <w:t xml:space="preserve">Hydraulics and Environment Department, National Laboratory of Civil Engineering, Avenida do </w:t>
      </w:r>
      <w:proofErr w:type="spellStart"/>
      <w:r w:rsidR="00E37481" w:rsidRPr="00E37481">
        <w:rPr>
          <w:sz w:val="16"/>
          <w:szCs w:val="16"/>
        </w:rPr>
        <w:t>Brasil</w:t>
      </w:r>
      <w:proofErr w:type="spellEnd"/>
      <w:r w:rsidR="00E37481" w:rsidRPr="00E37481">
        <w:rPr>
          <w:sz w:val="16"/>
          <w:szCs w:val="16"/>
        </w:rPr>
        <w:t xml:space="preserve"> 101, 1700-066 </w:t>
      </w:r>
      <w:proofErr w:type="spellStart"/>
      <w:r w:rsidR="00E37481" w:rsidRPr="00E37481">
        <w:rPr>
          <w:sz w:val="16"/>
          <w:szCs w:val="16"/>
        </w:rPr>
        <w:t>Lisboa</w:t>
      </w:r>
      <w:proofErr w:type="spellEnd"/>
      <w:r w:rsidR="00E37481" w:rsidRPr="00E37481">
        <w:rPr>
          <w:sz w:val="16"/>
          <w:szCs w:val="16"/>
        </w:rPr>
        <w:t>, Portugal</w:t>
      </w:r>
      <w:r w:rsidR="006161C2" w:rsidRPr="00E37481">
        <w:rPr>
          <w:sz w:val="16"/>
          <w:szCs w:val="16"/>
        </w:rPr>
        <w:t xml:space="preserve">; E-mail: </w:t>
      </w:r>
      <w:r w:rsidR="00E37481" w:rsidRPr="00E37481">
        <w:rPr>
          <w:sz w:val="16"/>
          <w:szCs w:val="16"/>
        </w:rPr>
        <w:t>lpinheiro</w:t>
      </w:r>
      <w:r w:rsidR="006161C2" w:rsidRPr="00E37481">
        <w:rPr>
          <w:sz w:val="16"/>
          <w:szCs w:val="16"/>
        </w:rPr>
        <w:t>@</w:t>
      </w:r>
      <w:r w:rsidR="00E37481" w:rsidRPr="00E37481">
        <w:rPr>
          <w:sz w:val="16"/>
          <w:szCs w:val="16"/>
        </w:rPr>
        <w:t>lnec.pt</w:t>
      </w:r>
      <w:r w:rsidR="006161C2" w:rsidRPr="00E37481">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15:restartNumberingAfterBreak="0">
    <w:nsid w:val="0FBD7200"/>
    <w:multiLevelType w:val="hybridMultilevel"/>
    <w:tmpl w:val="85AA49F6"/>
    <w:lvl w:ilvl="0" w:tplc="08160001">
      <w:start w:val="1"/>
      <w:numFmt w:val="bullet"/>
      <w:lvlText w:val=""/>
      <w:lvlJc w:val="left"/>
      <w:pPr>
        <w:ind w:left="1077" w:hanging="360"/>
      </w:pPr>
      <w:rPr>
        <w:rFonts w:ascii="Symbol" w:hAnsi="Symbol" w:hint="default"/>
      </w:rPr>
    </w:lvl>
    <w:lvl w:ilvl="1" w:tplc="08160003" w:tentative="1">
      <w:start w:val="1"/>
      <w:numFmt w:val="bullet"/>
      <w:lvlText w:val="o"/>
      <w:lvlJc w:val="left"/>
      <w:pPr>
        <w:ind w:left="1797" w:hanging="360"/>
      </w:pPr>
      <w:rPr>
        <w:rFonts w:ascii="Courier New" w:hAnsi="Courier New" w:cs="Courier New" w:hint="default"/>
      </w:rPr>
    </w:lvl>
    <w:lvl w:ilvl="2" w:tplc="08160005" w:tentative="1">
      <w:start w:val="1"/>
      <w:numFmt w:val="bullet"/>
      <w:lvlText w:val=""/>
      <w:lvlJc w:val="left"/>
      <w:pPr>
        <w:ind w:left="2517" w:hanging="360"/>
      </w:pPr>
      <w:rPr>
        <w:rFonts w:ascii="Wingdings" w:hAnsi="Wingdings" w:hint="default"/>
      </w:rPr>
    </w:lvl>
    <w:lvl w:ilvl="3" w:tplc="08160001" w:tentative="1">
      <w:start w:val="1"/>
      <w:numFmt w:val="bullet"/>
      <w:lvlText w:val=""/>
      <w:lvlJc w:val="left"/>
      <w:pPr>
        <w:ind w:left="3237" w:hanging="360"/>
      </w:pPr>
      <w:rPr>
        <w:rFonts w:ascii="Symbol" w:hAnsi="Symbol" w:hint="default"/>
      </w:rPr>
    </w:lvl>
    <w:lvl w:ilvl="4" w:tplc="08160003" w:tentative="1">
      <w:start w:val="1"/>
      <w:numFmt w:val="bullet"/>
      <w:lvlText w:val="o"/>
      <w:lvlJc w:val="left"/>
      <w:pPr>
        <w:ind w:left="3957" w:hanging="360"/>
      </w:pPr>
      <w:rPr>
        <w:rFonts w:ascii="Courier New" w:hAnsi="Courier New" w:cs="Courier New" w:hint="default"/>
      </w:rPr>
    </w:lvl>
    <w:lvl w:ilvl="5" w:tplc="08160005" w:tentative="1">
      <w:start w:val="1"/>
      <w:numFmt w:val="bullet"/>
      <w:lvlText w:val=""/>
      <w:lvlJc w:val="left"/>
      <w:pPr>
        <w:ind w:left="4677" w:hanging="360"/>
      </w:pPr>
      <w:rPr>
        <w:rFonts w:ascii="Wingdings" w:hAnsi="Wingdings" w:hint="default"/>
      </w:rPr>
    </w:lvl>
    <w:lvl w:ilvl="6" w:tplc="08160001" w:tentative="1">
      <w:start w:val="1"/>
      <w:numFmt w:val="bullet"/>
      <w:lvlText w:val=""/>
      <w:lvlJc w:val="left"/>
      <w:pPr>
        <w:ind w:left="5397" w:hanging="360"/>
      </w:pPr>
      <w:rPr>
        <w:rFonts w:ascii="Symbol" w:hAnsi="Symbol" w:hint="default"/>
      </w:rPr>
    </w:lvl>
    <w:lvl w:ilvl="7" w:tplc="08160003" w:tentative="1">
      <w:start w:val="1"/>
      <w:numFmt w:val="bullet"/>
      <w:lvlText w:val="o"/>
      <w:lvlJc w:val="left"/>
      <w:pPr>
        <w:ind w:left="6117" w:hanging="360"/>
      </w:pPr>
      <w:rPr>
        <w:rFonts w:ascii="Courier New" w:hAnsi="Courier New" w:cs="Courier New" w:hint="default"/>
      </w:rPr>
    </w:lvl>
    <w:lvl w:ilvl="8" w:tplc="08160005" w:tentative="1">
      <w:start w:val="1"/>
      <w:numFmt w:val="bullet"/>
      <w:lvlText w:val=""/>
      <w:lvlJc w:val="left"/>
      <w:pPr>
        <w:ind w:left="6837" w:hanging="360"/>
      </w:pPr>
      <w:rPr>
        <w:rFonts w:ascii="Wingdings" w:hAnsi="Wingdings" w:hint="default"/>
      </w:rPr>
    </w:lvl>
  </w:abstractNum>
  <w:abstractNum w:abstractNumId="2" w15:restartNumberingAfterBreak="0">
    <w:nsid w:val="1A810191"/>
    <w:multiLevelType w:val="hybridMultilevel"/>
    <w:tmpl w:val="6F94DEC0"/>
    <w:lvl w:ilvl="0" w:tplc="2DE89A6A">
      <w:start w:val="1"/>
      <w:numFmt w:val="decimal"/>
      <w:lvlText w:val="%1"/>
      <w:lvlJc w:val="left"/>
      <w:pPr>
        <w:ind w:left="97"/>
      </w:pPr>
      <w:rPr>
        <w:rFonts w:ascii="Times New Roman" w:eastAsia="Times New Roman" w:hAnsi="Times New Roman" w:cs="Times New Roman"/>
        <w:b w:val="0"/>
        <w:i/>
        <w:iCs/>
        <w:strike w:val="0"/>
        <w:dstrike w:val="0"/>
        <w:color w:val="181717"/>
        <w:sz w:val="16"/>
        <w:szCs w:val="16"/>
        <w:u w:val="none" w:color="000000"/>
        <w:bdr w:val="none" w:sz="0" w:space="0" w:color="auto"/>
        <w:shd w:val="clear" w:color="auto" w:fill="auto"/>
        <w:vertAlign w:val="superscript"/>
      </w:rPr>
    </w:lvl>
    <w:lvl w:ilvl="1" w:tplc="4208B8AA">
      <w:start w:val="1"/>
      <w:numFmt w:val="lowerLetter"/>
      <w:lvlText w:val="%2"/>
      <w:lvlJc w:val="left"/>
      <w:pPr>
        <w:ind w:left="2026"/>
      </w:pPr>
      <w:rPr>
        <w:rFonts w:ascii="Times New Roman" w:eastAsia="Times New Roman" w:hAnsi="Times New Roman" w:cs="Times New Roman"/>
        <w:b w:val="0"/>
        <w:i/>
        <w:iCs/>
        <w:strike w:val="0"/>
        <w:dstrike w:val="0"/>
        <w:color w:val="181717"/>
        <w:sz w:val="16"/>
        <w:szCs w:val="16"/>
        <w:u w:val="none" w:color="000000"/>
        <w:bdr w:val="none" w:sz="0" w:space="0" w:color="auto"/>
        <w:shd w:val="clear" w:color="auto" w:fill="auto"/>
        <w:vertAlign w:val="superscript"/>
      </w:rPr>
    </w:lvl>
    <w:lvl w:ilvl="2" w:tplc="029EB3A4">
      <w:start w:val="1"/>
      <w:numFmt w:val="lowerRoman"/>
      <w:lvlText w:val="%3"/>
      <w:lvlJc w:val="left"/>
      <w:pPr>
        <w:ind w:left="2746"/>
      </w:pPr>
      <w:rPr>
        <w:rFonts w:ascii="Times New Roman" w:eastAsia="Times New Roman" w:hAnsi="Times New Roman" w:cs="Times New Roman"/>
        <w:b w:val="0"/>
        <w:i/>
        <w:iCs/>
        <w:strike w:val="0"/>
        <w:dstrike w:val="0"/>
        <w:color w:val="181717"/>
        <w:sz w:val="16"/>
        <w:szCs w:val="16"/>
        <w:u w:val="none" w:color="000000"/>
        <w:bdr w:val="none" w:sz="0" w:space="0" w:color="auto"/>
        <w:shd w:val="clear" w:color="auto" w:fill="auto"/>
        <w:vertAlign w:val="superscript"/>
      </w:rPr>
    </w:lvl>
    <w:lvl w:ilvl="3" w:tplc="3E06D6A0">
      <w:start w:val="1"/>
      <w:numFmt w:val="decimal"/>
      <w:lvlText w:val="%4"/>
      <w:lvlJc w:val="left"/>
      <w:pPr>
        <w:ind w:left="3466"/>
      </w:pPr>
      <w:rPr>
        <w:rFonts w:ascii="Times New Roman" w:eastAsia="Times New Roman" w:hAnsi="Times New Roman" w:cs="Times New Roman"/>
        <w:b w:val="0"/>
        <w:i/>
        <w:iCs/>
        <w:strike w:val="0"/>
        <w:dstrike w:val="0"/>
        <w:color w:val="181717"/>
        <w:sz w:val="16"/>
        <w:szCs w:val="16"/>
        <w:u w:val="none" w:color="000000"/>
        <w:bdr w:val="none" w:sz="0" w:space="0" w:color="auto"/>
        <w:shd w:val="clear" w:color="auto" w:fill="auto"/>
        <w:vertAlign w:val="superscript"/>
      </w:rPr>
    </w:lvl>
    <w:lvl w:ilvl="4" w:tplc="40AA4D0C">
      <w:start w:val="1"/>
      <w:numFmt w:val="lowerLetter"/>
      <w:lvlText w:val="%5"/>
      <w:lvlJc w:val="left"/>
      <w:pPr>
        <w:ind w:left="4186"/>
      </w:pPr>
      <w:rPr>
        <w:rFonts w:ascii="Times New Roman" w:eastAsia="Times New Roman" w:hAnsi="Times New Roman" w:cs="Times New Roman"/>
        <w:b w:val="0"/>
        <w:i/>
        <w:iCs/>
        <w:strike w:val="0"/>
        <w:dstrike w:val="0"/>
        <w:color w:val="181717"/>
        <w:sz w:val="16"/>
        <w:szCs w:val="16"/>
        <w:u w:val="none" w:color="000000"/>
        <w:bdr w:val="none" w:sz="0" w:space="0" w:color="auto"/>
        <w:shd w:val="clear" w:color="auto" w:fill="auto"/>
        <w:vertAlign w:val="superscript"/>
      </w:rPr>
    </w:lvl>
    <w:lvl w:ilvl="5" w:tplc="26C0DA7C">
      <w:start w:val="1"/>
      <w:numFmt w:val="lowerRoman"/>
      <w:lvlText w:val="%6"/>
      <w:lvlJc w:val="left"/>
      <w:pPr>
        <w:ind w:left="4906"/>
      </w:pPr>
      <w:rPr>
        <w:rFonts w:ascii="Times New Roman" w:eastAsia="Times New Roman" w:hAnsi="Times New Roman" w:cs="Times New Roman"/>
        <w:b w:val="0"/>
        <w:i/>
        <w:iCs/>
        <w:strike w:val="0"/>
        <w:dstrike w:val="0"/>
        <w:color w:val="181717"/>
        <w:sz w:val="16"/>
        <w:szCs w:val="16"/>
        <w:u w:val="none" w:color="000000"/>
        <w:bdr w:val="none" w:sz="0" w:space="0" w:color="auto"/>
        <w:shd w:val="clear" w:color="auto" w:fill="auto"/>
        <w:vertAlign w:val="superscript"/>
      </w:rPr>
    </w:lvl>
    <w:lvl w:ilvl="6" w:tplc="668686AE">
      <w:start w:val="1"/>
      <w:numFmt w:val="decimal"/>
      <w:lvlText w:val="%7"/>
      <w:lvlJc w:val="left"/>
      <w:pPr>
        <w:ind w:left="5626"/>
      </w:pPr>
      <w:rPr>
        <w:rFonts w:ascii="Times New Roman" w:eastAsia="Times New Roman" w:hAnsi="Times New Roman" w:cs="Times New Roman"/>
        <w:b w:val="0"/>
        <w:i/>
        <w:iCs/>
        <w:strike w:val="0"/>
        <w:dstrike w:val="0"/>
        <w:color w:val="181717"/>
        <w:sz w:val="16"/>
        <w:szCs w:val="16"/>
        <w:u w:val="none" w:color="000000"/>
        <w:bdr w:val="none" w:sz="0" w:space="0" w:color="auto"/>
        <w:shd w:val="clear" w:color="auto" w:fill="auto"/>
        <w:vertAlign w:val="superscript"/>
      </w:rPr>
    </w:lvl>
    <w:lvl w:ilvl="7" w:tplc="42926CFE">
      <w:start w:val="1"/>
      <w:numFmt w:val="lowerLetter"/>
      <w:lvlText w:val="%8"/>
      <w:lvlJc w:val="left"/>
      <w:pPr>
        <w:ind w:left="6346"/>
      </w:pPr>
      <w:rPr>
        <w:rFonts w:ascii="Times New Roman" w:eastAsia="Times New Roman" w:hAnsi="Times New Roman" w:cs="Times New Roman"/>
        <w:b w:val="0"/>
        <w:i/>
        <w:iCs/>
        <w:strike w:val="0"/>
        <w:dstrike w:val="0"/>
        <w:color w:val="181717"/>
        <w:sz w:val="16"/>
        <w:szCs w:val="16"/>
        <w:u w:val="none" w:color="000000"/>
        <w:bdr w:val="none" w:sz="0" w:space="0" w:color="auto"/>
        <w:shd w:val="clear" w:color="auto" w:fill="auto"/>
        <w:vertAlign w:val="superscript"/>
      </w:rPr>
    </w:lvl>
    <w:lvl w:ilvl="8" w:tplc="DB420F9A">
      <w:start w:val="1"/>
      <w:numFmt w:val="lowerRoman"/>
      <w:lvlText w:val="%9"/>
      <w:lvlJc w:val="left"/>
      <w:pPr>
        <w:ind w:left="7066"/>
      </w:pPr>
      <w:rPr>
        <w:rFonts w:ascii="Times New Roman" w:eastAsia="Times New Roman" w:hAnsi="Times New Roman" w:cs="Times New Roman"/>
        <w:b w:val="0"/>
        <w:i/>
        <w:iCs/>
        <w:strike w:val="0"/>
        <w:dstrike w:val="0"/>
        <w:color w:val="181717"/>
        <w:sz w:val="16"/>
        <w:szCs w:val="16"/>
        <w:u w:val="none" w:color="000000"/>
        <w:bdr w:val="none" w:sz="0" w:space="0" w:color="auto"/>
        <w:shd w:val="clear" w:color="auto" w:fill="auto"/>
        <w:vertAlign w:val="superscript"/>
      </w:rPr>
    </w:lvl>
  </w:abstractNum>
  <w:abstractNum w:abstractNumId="3"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292D4FE0"/>
    <w:multiLevelType w:val="hybridMultilevel"/>
    <w:tmpl w:val="FE2A243A"/>
    <w:lvl w:ilvl="0" w:tplc="0698752A">
      <w:start w:val="1"/>
      <w:numFmt w:val="decimal"/>
      <w:pStyle w:val="Heading3"/>
      <w:lvlText w:val="3.%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5" w15:restartNumberingAfterBreak="0">
    <w:nsid w:val="2AB809B6"/>
    <w:multiLevelType w:val="hybridMultilevel"/>
    <w:tmpl w:val="CB96C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B73FB2"/>
    <w:multiLevelType w:val="hybridMultilevel"/>
    <w:tmpl w:val="E8768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8"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9"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5A3571E5"/>
    <w:multiLevelType w:val="hybridMultilevel"/>
    <w:tmpl w:val="700284D4"/>
    <w:lvl w:ilvl="0" w:tplc="6582B984">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152728"/>
    <w:multiLevelType w:val="hybridMultilevel"/>
    <w:tmpl w:val="EB46A2C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2"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3"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4" w15:restartNumberingAfterBreak="0">
    <w:nsid w:val="72F573F3"/>
    <w:multiLevelType w:val="hybridMultilevel"/>
    <w:tmpl w:val="DEF84A72"/>
    <w:lvl w:ilvl="0" w:tplc="836E8CFA">
      <w:start w:val="1"/>
      <w:numFmt w:val="decimal"/>
      <w:lvlText w:val="%1."/>
      <w:lvlJc w:val="left"/>
      <w:pPr>
        <w:ind w:left="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1" w:tplc="EDC2F2BA">
      <w:start w:val="1"/>
      <w:numFmt w:val="lowerLetter"/>
      <w:lvlText w:val="%2"/>
      <w:lvlJc w:val="left"/>
      <w:pPr>
        <w:ind w:left="108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2" w:tplc="80408CE6">
      <w:start w:val="1"/>
      <w:numFmt w:val="lowerRoman"/>
      <w:lvlText w:val="%3"/>
      <w:lvlJc w:val="left"/>
      <w:pPr>
        <w:ind w:left="180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3" w:tplc="E9C0FD4E">
      <w:start w:val="1"/>
      <w:numFmt w:val="decimal"/>
      <w:lvlText w:val="%4"/>
      <w:lvlJc w:val="left"/>
      <w:pPr>
        <w:ind w:left="252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4" w:tplc="3C0AA770">
      <w:start w:val="1"/>
      <w:numFmt w:val="lowerLetter"/>
      <w:lvlText w:val="%5"/>
      <w:lvlJc w:val="left"/>
      <w:pPr>
        <w:ind w:left="324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5" w:tplc="F2FAE878">
      <w:start w:val="1"/>
      <w:numFmt w:val="lowerRoman"/>
      <w:lvlText w:val="%6"/>
      <w:lvlJc w:val="left"/>
      <w:pPr>
        <w:ind w:left="396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6" w:tplc="C8A629A6">
      <w:start w:val="1"/>
      <w:numFmt w:val="decimal"/>
      <w:lvlText w:val="%7"/>
      <w:lvlJc w:val="left"/>
      <w:pPr>
        <w:ind w:left="468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7" w:tplc="11CE84C6">
      <w:start w:val="1"/>
      <w:numFmt w:val="lowerLetter"/>
      <w:lvlText w:val="%8"/>
      <w:lvlJc w:val="left"/>
      <w:pPr>
        <w:ind w:left="540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8" w:tplc="13D8A83E">
      <w:start w:val="1"/>
      <w:numFmt w:val="lowerRoman"/>
      <w:lvlText w:val="%9"/>
      <w:lvlJc w:val="left"/>
      <w:pPr>
        <w:ind w:left="612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abstractNum>
  <w:abstractNum w:abstractNumId="15" w15:restartNumberingAfterBreak="0">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0"/>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6"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47292850">
    <w:abstractNumId w:val="12"/>
  </w:num>
  <w:num w:numId="2" w16cid:durableId="585268149">
    <w:abstractNumId w:val="8"/>
  </w:num>
  <w:num w:numId="3" w16cid:durableId="813525385">
    <w:abstractNumId w:val="0"/>
  </w:num>
  <w:num w:numId="4" w16cid:durableId="1750738022">
    <w:abstractNumId w:val="15"/>
  </w:num>
  <w:num w:numId="5" w16cid:durableId="535042777">
    <w:abstractNumId w:val="7"/>
  </w:num>
  <w:num w:numId="6" w16cid:durableId="1355419574">
    <w:abstractNumId w:val="13"/>
  </w:num>
  <w:num w:numId="7" w16cid:durableId="1180314859">
    <w:abstractNumId w:val="16"/>
  </w:num>
  <w:num w:numId="8" w16cid:durableId="1588803460">
    <w:abstractNumId w:val="9"/>
  </w:num>
  <w:num w:numId="9" w16cid:durableId="445662707">
    <w:abstractNumId w:val="16"/>
  </w:num>
  <w:num w:numId="10" w16cid:durableId="136802329">
    <w:abstractNumId w:val="3"/>
  </w:num>
  <w:num w:numId="11" w16cid:durableId="836923315">
    <w:abstractNumId w:val="16"/>
    <w:lvlOverride w:ilvl="0">
      <w:startOverride w:val="1"/>
    </w:lvlOverride>
  </w:num>
  <w:num w:numId="12" w16cid:durableId="963972562">
    <w:abstractNumId w:val="2"/>
  </w:num>
  <w:num w:numId="13" w16cid:durableId="1409692500">
    <w:abstractNumId w:val="14"/>
  </w:num>
  <w:num w:numId="14" w16cid:durableId="3243846">
    <w:abstractNumId w:val="10"/>
  </w:num>
  <w:num w:numId="15" w16cid:durableId="1283073114">
    <w:abstractNumId w:val="4"/>
  </w:num>
  <w:num w:numId="16" w16cid:durableId="432869307">
    <w:abstractNumId w:val="11"/>
  </w:num>
  <w:num w:numId="17" w16cid:durableId="1536774833">
    <w:abstractNumId w:val="5"/>
  </w:num>
  <w:num w:numId="18" w16cid:durableId="334186350">
    <w:abstractNumId w:val="6"/>
  </w:num>
  <w:num w:numId="19" w16cid:durableId="977148794">
    <w:abstractNumId w:val="16"/>
  </w:num>
  <w:num w:numId="20" w16cid:durableId="1437361179">
    <w:abstractNumId w:val="15"/>
  </w:num>
  <w:num w:numId="21" w16cid:durableId="227427499">
    <w:abstractNumId w:val="15"/>
  </w:num>
  <w:num w:numId="22" w16cid:durableId="1367557828">
    <w:abstractNumId w:val="15"/>
  </w:num>
  <w:num w:numId="23" w16cid:durableId="2085181531">
    <w:abstractNumId w:val="15"/>
  </w:num>
  <w:num w:numId="24" w16cid:durableId="1083602801">
    <w:abstractNumId w:val="15"/>
  </w:num>
  <w:num w:numId="25" w16cid:durableId="1939605290">
    <w:abstractNumId w:val="15"/>
  </w:num>
  <w:num w:numId="26" w16cid:durableId="194276642">
    <w:abstractNumId w:val="15"/>
  </w:num>
  <w:num w:numId="27" w16cid:durableId="337714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attachedTemplate r:id="rId1"/>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225"/>
    <w:rsid w:val="00076881"/>
    <w:rsid w:val="00135282"/>
    <w:rsid w:val="001408AD"/>
    <w:rsid w:val="001560C6"/>
    <w:rsid w:val="001822A6"/>
    <w:rsid w:val="00190CC7"/>
    <w:rsid w:val="00235A42"/>
    <w:rsid w:val="00240829"/>
    <w:rsid w:val="00357A60"/>
    <w:rsid w:val="00364275"/>
    <w:rsid w:val="00424B92"/>
    <w:rsid w:val="004433F2"/>
    <w:rsid w:val="0048120F"/>
    <w:rsid w:val="004A0895"/>
    <w:rsid w:val="004C4EF1"/>
    <w:rsid w:val="004E0F1F"/>
    <w:rsid w:val="00585C1C"/>
    <w:rsid w:val="006161C2"/>
    <w:rsid w:val="0062612F"/>
    <w:rsid w:val="00631672"/>
    <w:rsid w:val="006A072B"/>
    <w:rsid w:val="006E352C"/>
    <w:rsid w:val="00721009"/>
    <w:rsid w:val="007732DD"/>
    <w:rsid w:val="007843EE"/>
    <w:rsid w:val="00791773"/>
    <w:rsid w:val="008110F2"/>
    <w:rsid w:val="00890553"/>
    <w:rsid w:val="008A1F2E"/>
    <w:rsid w:val="00973D28"/>
    <w:rsid w:val="009E383B"/>
    <w:rsid w:val="00A11E70"/>
    <w:rsid w:val="00A31225"/>
    <w:rsid w:val="00A4308B"/>
    <w:rsid w:val="00A56FD8"/>
    <w:rsid w:val="00A6540F"/>
    <w:rsid w:val="00A9609B"/>
    <w:rsid w:val="00AD08ED"/>
    <w:rsid w:val="00AE0F9E"/>
    <w:rsid w:val="00AE1751"/>
    <w:rsid w:val="00B05D6E"/>
    <w:rsid w:val="00B16C4E"/>
    <w:rsid w:val="00B62F86"/>
    <w:rsid w:val="00B901CD"/>
    <w:rsid w:val="00B92EF7"/>
    <w:rsid w:val="00BA052E"/>
    <w:rsid w:val="00C17807"/>
    <w:rsid w:val="00C2112E"/>
    <w:rsid w:val="00C40065"/>
    <w:rsid w:val="00C97D11"/>
    <w:rsid w:val="00CA19FD"/>
    <w:rsid w:val="00CB2D78"/>
    <w:rsid w:val="00CD240F"/>
    <w:rsid w:val="00CF56F9"/>
    <w:rsid w:val="00CF5C91"/>
    <w:rsid w:val="00D660FE"/>
    <w:rsid w:val="00D82BC9"/>
    <w:rsid w:val="00E37481"/>
    <w:rsid w:val="00E86B67"/>
    <w:rsid w:val="00F07FC3"/>
    <w:rsid w:val="00F109E3"/>
    <w:rsid w:val="00F55D0A"/>
    <w:rsid w:val="00F916A5"/>
    <w:rsid w:val="00FA55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736B81"/>
  <w15:chartTrackingRefBased/>
  <w15:docId w15:val="{6FE13036-1F13-4D75-AE40-B739E810A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firstLine="357"/>
      <w:jc w:val="both"/>
    </w:pPr>
    <w:rPr>
      <w:szCs w:val="24"/>
      <w:lang w:val="en-US" w:eastAsia="ja-JP"/>
    </w:rPr>
  </w:style>
  <w:style w:type="paragraph" w:styleId="Heading1">
    <w:name w:val="heading 1"/>
    <w:basedOn w:val="Normal"/>
    <w:next w:val="NoindentNormal"/>
    <w:link w:val="Heading1Char"/>
    <w:uiPriority w:val="9"/>
    <w:qFormat/>
    <w:pPr>
      <w:keepNext/>
      <w:keepLines/>
      <w:numPr>
        <w:numId w:val="4"/>
      </w:numPr>
      <w:suppressAutoHyphens/>
      <w:spacing w:before="480" w:after="240"/>
      <w:jc w:val="left"/>
      <w:outlineLvl w:val="0"/>
    </w:pPr>
    <w:rPr>
      <w:rFonts w:cs="Arial"/>
      <w:b/>
      <w:bCs/>
      <w:kern w:val="32"/>
      <w:szCs w:val="32"/>
    </w:rPr>
  </w:style>
  <w:style w:type="paragraph" w:styleId="Heading2">
    <w:name w:val="heading 2"/>
    <w:basedOn w:val="Normal"/>
    <w:next w:val="NoindentNormal"/>
    <w:link w:val="Heading2Char"/>
    <w:uiPriority w:val="9"/>
    <w:qFormat/>
    <w:pPr>
      <w:keepNext/>
      <w:keepLines/>
      <w:numPr>
        <w:ilvl w:val="1"/>
        <w:numId w:val="4"/>
      </w:numPr>
      <w:suppressAutoHyphens/>
      <w:spacing w:before="240" w:after="240"/>
      <w:jc w:val="left"/>
      <w:outlineLvl w:val="1"/>
    </w:pPr>
    <w:rPr>
      <w:rFonts w:cs="Arial"/>
      <w:bCs/>
      <w:i/>
      <w:iCs/>
      <w:szCs w:val="28"/>
    </w:rPr>
  </w:style>
  <w:style w:type="paragraph" w:styleId="Heading30">
    <w:name w:val="heading 3"/>
    <w:basedOn w:val="Normal"/>
    <w:next w:val="NoindentNormal"/>
    <w:qFormat/>
    <w:pPr>
      <w:keepNext/>
      <w:keepLines/>
      <w:numPr>
        <w:ilvl w:val="2"/>
        <w:numId w:val="4"/>
      </w:numPr>
      <w:suppressAutoHyphens/>
      <w:spacing w:before="240" w:after="120"/>
      <w:jc w:val="left"/>
      <w:outlineLvl w:val="2"/>
    </w:pPr>
    <w:rPr>
      <w:rFonts w:cs="Arial"/>
      <w:bCs/>
      <w:i/>
      <w:szCs w:val="26"/>
    </w:rPr>
  </w:style>
  <w:style w:type="paragraph" w:styleId="Heading4">
    <w:name w:val="heading 4"/>
    <w:basedOn w:val="Normal"/>
    <w:next w:val="NoindentNormal"/>
    <w:qFormat/>
    <w:pPr>
      <w:keepNext/>
      <w:numPr>
        <w:ilvl w:val="3"/>
        <w:numId w:val="4"/>
      </w:numPr>
      <w:suppressAutoHyphens/>
      <w:spacing w:before="120"/>
      <w:jc w:val="left"/>
      <w:outlineLvl w:val="3"/>
    </w:pPr>
    <w:rPr>
      <w:bCs/>
      <w:i/>
      <w:szCs w:val="28"/>
    </w:rPr>
  </w:style>
  <w:style w:type="paragraph" w:styleId="Heading5">
    <w:name w:val="heading 5"/>
    <w:basedOn w:val="Normal"/>
    <w:next w:val="NoindentNormal"/>
    <w:qFormat/>
    <w:pPr>
      <w:numPr>
        <w:ilvl w:val="4"/>
        <w:numId w:val="4"/>
      </w:numPr>
      <w:jc w:val="left"/>
      <w:outlineLvl w:val="4"/>
    </w:pPr>
    <w:rPr>
      <w:bCs/>
      <w:i/>
      <w:iCs/>
      <w:szCs w:val="26"/>
    </w:rPr>
  </w:style>
  <w:style w:type="paragraph" w:styleId="Heading6">
    <w:name w:val="heading 6"/>
    <w:basedOn w:val="Normal"/>
    <w:next w:val="Normal"/>
    <w:qFormat/>
    <w:pPr>
      <w:numPr>
        <w:ilvl w:val="5"/>
        <w:numId w:val="4"/>
      </w:numPr>
      <w:spacing w:before="240"/>
      <w:outlineLvl w:val="5"/>
    </w:pPr>
    <w:rPr>
      <w:bCs/>
      <w:szCs w:val="22"/>
    </w:rPr>
  </w:style>
  <w:style w:type="paragraph" w:styleId="Heading7">
    <w:name w:val="heading 7"/>
    <w:basedOn w:val="Normal"/>
    <w:next w:val="Normal"/>
    <w:qFormat/>
    <w:pPr>
      <w:spacing w:before="240" w:after="60"/>
      <w:outlineLvl w:val="6"/>
    </w:pPr>
    <w:rPr>
      <w:sz w:val="24"/>
    </w:rPr>
  </w:style>
  <w:style w:type="paragraph" w:styleId="Heading8">
    <w:name w:val="heading 8"/>
    <w:basedOn w:val="Normal"/>
    <w:next w:val="Normal"/>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pPr>
      <w:ind w:firstLine="0"/>
    </w:pPr>
  </w:style>
  <w:style w:type="paragraph" w:customStyle="1" w:styleId="Citaat1">
    <w:name w:val="Citaat1"/>
    <w:basedOn w:val="Normal"/>
    <w:pPr>
      <w:ind w:left="204"/>
    </w:pPr>
    <w:rPr>
      <w:sz w:val="18"/>
    </w:rPr>
  </w:style>
  <w:style w:type="paragraph" w:customStyle="1" w:styleId="Abstract">
    <w:name w:val="Abstract"/>
    <w:basedOn w:val="Normal"/>
    <w:pPr>
      <w:adjustRightInd w:val="0"/>
      <w:snapToGrid w:val="0"/>
      <w:spacing w:before="480"/>
      <w:ind w:left="851" w:right="851" w:firstLine="0"/>
    </w:pPr>
    <w:rPr>
      <w:sz w:val="16"/>
    </w:rPr>
  </w:style>
  <w:style w:type="paragraph" w:customStyle="1" w:styleId="Affiliation">
    <w:name w:val="Affiliation"/>
    <w:basedOn w:val="Normal"/>
    <w:pPr>
      <w:ind w:firstLine="0"/>
      <w:jc w:val="center"/>
    </w:pPr>
    <w:rPr>
      <w:i/>
    </w:rPr>
  </w:style>
  <w:style w:type="paragraph" w:customStyle="1" w:styleId="Equation">
    <w:name w:val="Equation"/>
    <w:basedOn w:val="Normal"/>
    <w:pPr>
      <w:tabs>
        <w:tab w:val="left" w:pos="6781"/>
      </w:tabs>
      <w:spacing w:before="240" w:after="240"/>
      <w:ind w:left="454" w:firstLine="0"/>
      <w:jc w:val="left"/>
    </w:pPr>
  </w:style>
  <w:style w:type="paragraph" w:customStyle="1" w:styleId="Footnote">
    <w:name w:val="Footnote"/>
    <w:basedOn w:val="Normal"/>
    <w:pPr>
      <w:ind w:firstLine="136"/>
    </w:pPr>
    <w:rPr>
      <w:sz w:val="16"/>
    </w:rPr>
  </w:style>
  <w:style w:type="paragraph" w:customStyle="1" w:styleId="LISTalph">
    <w:name w:val="LISTalph"/>
    <w:basedOn w:val="Normal"/>
    <w:pPr>
      <w:numPr>
        <w:numId w:val="1"/>
      </w:numPr>
      <w:tabs>
        <w:tab w:val="left" w:pos="499"/>
      </w:tabs>
    </w:pPr>
  </w:style>
  <w:style w:type="paragraph" w:customStyle="1" w:styleId="LISTdash">
    <w:name w:val="LISTdash"/>
    <w:basedOn w:val="Normal"/>
    <w:pPr>
      <w:numPr>
        <w:numId w:val="2"/>
      </w:numPr>
      <w:tabs>
        <w:tab w:val="left" w:pos="454"/>
      </w:tabs>
      <w:adjustRightInd w:val="0"/>
      <w:snapToGrid w:val="0"/>
    </w:pPr>
  </w:style>
  <w:style w:type="paragraph" w:customStyle="1" w:styleId="LISTnum">
    <w:name w:val="LISTnum"/>
    <w:basedOn w:val="Normal"/>
    <w:pPr>
      <w:numPr>
        <w:numId w:val="6"/>
      </w:numPr>
      <w:adjustRightInd w:val="0"/>
      <w:snapToGrid w:val="0"/>
      <w:ind w:left="714" w:hanging="357"/>
    </w:pPr>
  </w:style>
  <w:style w:type="paragraph" w:customStyle="1" w:styleId="References">
    <w:name w:val="References"/>
    <w:basedOn w:val="Normal"/>
    <w:pPr>
      <w:numPr>
        <w:numId w:val="9"/>
      </w:numPr>
      <w:tabs>
        <w:tab w:val="left" w:pos="85"/>
      </w:tabs>
    </w:pPr>
    <w:rPr>
      <w:sz w:val="16"/>
    </w:rPr>
  </w:style>
  <w:style w:type="paragraph" w:customStyle="1" w:styleId="Table">
    <w:name w:val="Table"/>
    <w:basedOn w:val="Normal"/>
    <w:pPr>
      <w:spacing w:before="60" w:after="60"/>
      <w:ind w:firstLine="0"/>
      <w:jc w:val="left"/>
    </w:pPr>
    <w:rPr>
      <w:sz w:val="16"/>
    </w:rPr>
  </w:style>
  <w:style w:type="paragraph" w:styleId="Title">
    <w:name w:val="Title"/>
    <w:basedOn w:val="Normal"/>
    <w:next w:val="Normal"/>
    <w:qFormat/>
    <w:pPr>
      <w:spacing w:before="480" w:after="320"/>
      <w:ind w:firstLine="0"/>
      <w:jc w:val="center"/>
    </w:pPr>
    <w:rPr>
      <w:noProof/>
      <w:kern w:val="28"/>
      <w:sz w:val="40"/>
    </w:rPr>
  </w:style>
  <w:style w:type="paragraph" w:customStyle="1" w:styleId="Author">
    <w:name w:val="Author"/>
    <w:basedOn w:val="Normal"/>
    <w:pPr>
      <w:ind w:firstLine="0"/>
      <w:jc w:val="center"/>
    </w:pPr>
  </w:style>
  <w:style w:type="paragraph" w:styleId="Caption">
    <w:name w:val="caption"/>
    <w:aliases w:val="Caption Char2 Carácter,Caption Char2,Carácter,Carácter Carácter,Carácter1,Caption Char Char Char Char Char, Carácter Carácter, Carácter, Carácter Char Carácter,Cará...,Caption Char,Legenda figura"/>
    <w:basedOn w:val="Normal"/>
    <w:next w:val="Normal"/>
    <w:link w:val="CaptionChar1"/>
    <w:uiPriority w:val="35"/>
    <w:qFormat/>
    <w:pPr>
      <w:spacing w:before="80" w:after="80"/>
      <w:ind w:firstLine="0"/>
    </w:pPr>
    <w:rPr>
      <w:sz w:val="16"/>
    </w:rPr>
  </w:style>
  <w:style w:type="paragraph" w:customStyle="1" w:styleId="LISTDescription">
    <w:name w:val="LISTDescription"/>
    <w:basedOn w:val="Normal"/>
    <w:pPr>
      <w:ind w:left="454" w:hanging="454"/>
    </w:pPr>
  </w:style>
  <w:style w:type="paragraph" w:customStyle="1" w:styleId="Notes">
    <w:name w:val="Notes"/>
    <w:basedOn w:val="Normal"/>
    <w:rPr>
      <w:sz w:val="16"/>
    </w:rPr>
  </w:style>
  <w:style w:type="paragraph" w:styleId="BodyText">
    <w:name w:val="Body Text"/>
    <w:basedOn w:val="Normal"/>
    <w:semiHidden/>
    <w:pPr>
      <w:spacing w:after="120"/>
    </w:pPr>
  </w:style>
  <w:style w:type="paragraph" w:customStyle="1" w:styleId="CaptionLong">
    <w:name w:val="CaptionLong"/>
    <w:basedOn w:val="Normal"/>
    <w:pPr>
      <w:spacing w:before="80" w:after="80"/>
      <w:ind w:firstLine="0"/>
    </w:pPr>
    <w:rPr>
      <w:sz w:val="16"/>
    </w:rPr>
  </w:style>
  <w:style w:type="paragraph" w:customStyle="1" w:styleId="HeadingUnn1">
    <w:name w:val="HeadingUnn1"/>
    <w:basedOn w:val="Heading1"/>
    <w:next w:val="NoindentNormal"/>
    <w:pPr>
      <w:numPr>
        <w:numId w:val="0"/>
      </w:numPr>
    </w:pPr>
    <w:rPr>
      <w:bCs w:val="0"/>
    </w:rPr>
  </w:style>
  <w:style w:type="paragraph" w:customStyle="1" w:styleId="HeadingUnn2">
    <w:name w:val="HeadingUnn2"/>
    <w:basedOn w:val="Heading2"/>
    <w:next w:val="NoindentNormal"/>
    <w:pPr>
      <w:numPr>
        <w:ilvl w:val="0"/>
        <w:numId w:val="0"/>
      </w:numPr>
    </w:pPr>
  </w:style>
  <w:style w:type="paragraph" w:customStyle="1" w:styleId="HeadingUnn3">
    <w:name w:val="HeadingUnn3"/>
    <w:basedOn w:val="Heading30"/>
    <w:next w:val="NoindentNormal"/>
    <w:pPr>
      <w:numPr>
        <w:ilvl w:val="0"/>
        <w:numId w:val="0"/>
      </w:numPr>
    </w:pPr>
  </w:style>
  <w:style w:type="paragraph" w:customStyle="1" w:styleId="HeadingUnn4">
    <w:name w:val="HeadingUnn4"/>
    <w:basedOn w:val="Heading4"/>
    <w:next w:val="NoindentNormal"/>
    <w:pPr>
      <w:numPr>
        <w:ilvl w:val="0"/>
        <w:numId w:val="0"/>
      </w:numPr>
    </w:pPr>
  </w:style>
  <w:style w:type="paragraph" w:customStyle="1" w:styleId="HeadingUnn5">
    <w:name w:val="HeadingUnn5"/>
    <w:basedOn w:val="Heading5"/>
    <w:next w:val="Normal"/>
    <w:pPr>
      <w:numPr>
        <w:ilvl w:val="0"/>
        <w:numId w:val="0"/>
      </w:numPr>
      <w:spacing w:before="120"/>
    </w:pPr>
  </w:style>
  <w:style w:type="paragraph" w:styleId="ListNumber">
    <w:name w:val="List Number"/>
    <w:basedOn w:val="Normal"/>
    <w:semiHidden/>
    <w:pPr>
      <w:numPr>
        <w:numId w:val="3"/>
      </w:numPr>
    </w:pPr>
  </w:style>
  <w:style w:type="paragraph" w:customStyle="1" w:styleId="CaptionShort">
    <w:name w:val="CaptionShort"/>
    <w:basedOn w:val="Normal"/>
    <w:pPr>
      <w:spacing w:before="80" w:after="80"/>
      <w:ind w:firstLine="0"/>
      <w:jc w:val="center"/>
    </w:pPr>
    <w:rPr>
      <w:sz w:val="16"/>
    </w:rPr>
  </w:style>
  <w:style w:type="paragraph" w:customStyle="1" w:styleId="Listbul">
    <w:name w:val="Listbul"/>
    <w:basedOn w:val="Normal"/>
    <w:pPr>
      <w:numPr>
        <w:numId w:val="5"/>
      </w:numPr>
    </w:pPr>
  </w:style>
  <w:style w:type="paragraph" w:customStyle="1" w:styleId="Keywords">
    <w:name w:val="Keywords"/>
    <w:basedOn w:val="Abstract"/>
    <w:next w:val="Heading1"/>
    <w:pPr>
      <w:spacing w:before="240" w:after="240"/>
    </w:p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character" w:customStyle="1" w:styleId="Heading1Char">
    <w:name w:val="Heading 1 Char"/>
    <w:link w:val="Heading1"/>
    <w:uiPriority w:val="9"/>
    <w:rsid w:val="00CD240F"/>
    <w:rPr>
      <w:rFonts w:cs="Arial"/>
      <w:b/>
      <w:bCs/>
      <w:kern w:val="32"/>
      <w:szCs w:val="32"/>
      <w:lang w:val="en-US" w:eastAsia="ja-JP"/>
    </w:rPr>
  </w:style>
  <w:style w:type="table" w:customStyle="1" w:styleId="TableGrid">
    <w:name w:val="TableGrid"/>
    <w:rsid w:val="00CD240F"/>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paragraph" w:styleId="Header">
    <w:name w:val="header"/>
    <w:basedOn w:val="Normal"/>
    <w:link w:val="HeaderChar"/>
    <w:uiPriority w:val="99"/>
    <w:unhideWhenUsed/>
    <w:rsid w:val="00CD240F"/>
    <w:pPr>
      <w:tabs>
        <w:tab w:val="center" w:pos="4680"/>
        <w:tab w:val="right" w:pos="9360"/>
      </w:tabs>
      <w:ind w:left="10" w:right="55" w:hanging="10"/>
    </w:pPr>
    <w:rPr>
      <w:rFonts w:eastAsia="Times New Roman"/>
      <w:color w:val="181717"/>
      <w:sz w:val="22"/>
      <w:szCs w:val="22"/>
      <w:lang w:eastAsia="en-US"/>
    </w:rPr>
  </w:style>
  <w:style w:type="character" w:customStyle="1" w:styleId="HeaderChar">
    <w:name w:val="Header Char"/>
    <w:basedOn w:val="DefaultParagraphFont"/>
    <w:link w:val="Header"/>
    <w:uiPriority w:val="99"/>
    <w:rsid w:val="00CD240F"/>
    <w:rPr>
      <w:rFonts w:eastAsia="Times New Roman"/>
      <w:color w:val="181717"/>
      <w:sz w:val="22"/>
      <w:szCs w:val="22"/>
      <w:lang w:val="en-US" w:eastAsia="en-US"/>
    </w:rPr>
  </w:style>
  <w:style w:type="character" w:customStyle="1" w:styleId="Heading2Char">
    <w:name w:val="Heading 2 Char"/>
    <w:basedOn w:val="DefaultParagraphFont"/>
    <w:link w:val="Heading2"/>
    <w:uiPriority w:val="9"/>
    <w:rsid w:val="00CD240F"/>
    <w:rPr>
      <w:rFonts w:cs="Arial"/>
      <w:bCs/>
      <w:i/>
      <w:iCs/>
      <w:szCs w:val="28"/>
      <w:lang w:val="en-US" w:eastAsia="ja-JP"/>
    </w:rPr>
  </w:style>
  <w:style w:type="paragraph" w:styleId="Footer">
    <w:name w:val="footer"/>
    <w:basedOn w:val="Normal"/>
    <w:link w:val="FooterChar"/>
    <w:uiPriority w:val="99"/>
    <w:unhideWhenUsed/>
    <w:rsid w:val="00CD240F"/>
    <w:pPr>
      <w:tabs>
        <w:tab w:val="center" w:pos="4680"/>
        <w:tab w:val="right" w:pos="9360"/>
      </w:tabs>
      <w:ind w:left="10" w:right="55" w:hanging="10"/>
    </w:pPr>
    <w:rPr>
      <w:rFonts w:eastAsia="Times New Roman"/>
      <w:color w:val="181717"/>
      <w:sz w:val="22"/>
      <w:szCs w:val="22"/>
      <w:lang w:eastAsia="en-US"/>
    </w:rPr>
  </w:style>
  <w:style w:type="character" w:customStyle="1" w:styleId="FooterChar">
    <w:name w:val="Footer Char"/>
    <w:basedOn w:val="DefaultParagraphFont"/>
    <w:link w:val="Footer"/>
    <w:uiPriority w:val="99"/>
    <w:rsid w:val="00CD240F"/>
    <w:rPr>
      <w:rFonts w:eastAsia="Times New Roman"/>
      <w:color w:val="181717"/>
      <w:sz w:val="22"/>
      <w:szCs w:val="22"/>
      <w:lang w:val="en-US" w:eastAsia="en-US"/>
    </w:rPr>
  </w:style>
  <w:style w:type="paragraph" w:customStyle="1" w:styleId="Heading3">
    <w:name w:val="Heading 3."/>
    <w:basedOn w:val="Normal"/>
    <w:next w:val="Normal"/>
    <w:qFormat/>
    <w:rsid w:val="00CD240F"/>
    <w:pPr>
      <w:numPr>
        <w:numId w:val="15"/>
      </w:numPr>
      <w:spacing w:after="43" w:line="260" w:lineRule="auto"/>
      <w:ind w:left="360" w:right="41"/>
    </w:pPr>
    <w:rPr>
      <w:rFonts w:eastAsia="Times New Roman"/>
      <w:b/>
      <w:color w:val="181717"/>
      <w:sz w:val="24"/>
      <w:szCs w:val="22"/>
      <w:lang w:eastAsia="en-US"/>
    </w:rPr>
  </w:style>
  <w:style w:type="paragraph" w:styleId="ListParagraph">
    <w:name w:val="List Paragraph"/>
    <w:basedOn w:val="Normal"/>
    <w:uiPriority w:val="34"/>
    <w:qFormat/>
    <w:rsid w:val="00CD240F"/>
    <w:pPr>
      <w:spacing w:after="43" w:line="260" w:lineRule="auto"/>
      <w:ind w:left="720" w:right="55" w:hanging="10"/>
      <w:contextualSpacing/>
    </w:pPr>
    <w:rPr>
      <w:rFonts w:eastAsia="Times New Roman"/>
      <w:color w:val="181717"/>
      <w:sz w:val="22"/>
      <w:szCs w:val="22"/>
      <w:lang w:eastAsia="en-US"/>
    </w:rPr>
  </w:style>
  <w:style w:type="character" w:styleId="CommentReference">
    <w:name w:val="annotation reference"/>
    <w:basedOn w:val="DefaultParagraphFont"/>
    <w:uiPriority w:val="99"/>
    <w:semiHidden/>
    <w:unhideWhenUsed/>
    <w:rsid w:val="00CD240F"/>
    <w:rPr>
      <w:sz w:val="16"/>
      <w:szCs w:val="16"/>
    </w:rPr>
  </w:style>
  <w:style w:type="paragraph" w:styleId="CommentText">
    <w:name w:val="annotation text"/>
    <w:basedOn w:val="Normal"/>
    <w:link w:val="CommentTextChar"/>
    <w:uiPriority w:val="99"/>
    <w:semiHidden/>
    <w:unhideWhenUsed/>
    <w:rsid w:val="00CD240F"/>
    <w:pPr>
      <w:spacing w:after="43"/>
      <w:ind w:left="10" w:right="55" w:hanging="10"/>
    </w:pPr>
    <w:rPr>
      <w:rFonts w:eastAsia="Times New Roman"/>
      <w:color w:val="181717"/>
      <w:szCs w:val="20"/>
      <w:lang w:eastAsia="en-US"/>
    </w:rPr>
  </w:style>
  <w:style w:type="character" w:customStyle="1" w:styleId="CommentTextChar">
    <w:name w:val="Comment Text Char"/>
    <w:basedOn w:val="DefaultParagraphFont"/>
    <w:link w:val="CommentText"/>
    <w:uiPriority w:val="99"/>
    <w:semiHidden/>
    <w:rsid w:val="00CD240F"/>
    <w:rPr>
      <w:rFonts w:eastAsia="Times New Roman"/>
      <w:color w:val="181717"/>
      <w:lang w:val="en-US" w:eastAsia="en-US"/>
    </w:rPr>
  </w:style>
  <w:style w:type="paragraph" w:styleId="CommentSubject">
    <w:name w:val="annotation subject"/>
    <w:basedOn w:val="CommentText"/>
    <w:next w:val="CommentText"/>
    <w:link w:val="CommentSubjectChar"/>
    <w:uiPriority w:val="99"/>
    <w:semiHidden/>
    <w:unhideWhenUsed/>
    <w:rsid w:val="00CD240F"/>
    <w:rPr>
      <w:b/>
      <w:bCs/>
    </w:rPr>
  </w:style>
  <w:style w:type="character" w:customStyle="1" w:styleId="CommentSubjectChar">
    <w:name w:val="Comment Subject Char"/>
    <w:basedOn w:val="CommentTextChar"/>
    <w:link w:val="CommentSubject"/>
    <w:uiPriority w:val="99"/>
    <w:semiHidden/>
    <w:rsid w:val="00CD240F"/>
    <w:rPr>
      <w:rFonts w:eastAsia="Times New Roman"/>
      <w:b/>
      <w:bCs/>
      <w:color w:val="181717"/>
      <w:lang w:val="en-US" w:eastAsia="en-US"/>
    </w:rPr>
  </w:style>
  <w:style w:type="character" w:styleId="Hyperlink">
    <w:name w:val="Hyperlink"/>
    <w:basedOn w:val="DefaultParagraphFont"/>
    <w:uiPriority w:val="99"/>
    <w:semiHidden/>
    <w:unhideWhenUsed/>
    <w:rsid w:val="00CD240F"/>
    <w:rPr>
      <w:color w:val="0000FF"/>
      <w:u w:val="single"/>
    </w:rPr>
  </w:style>
  <w:style w:type="paragraph" w:customStyle="1" w:styleId="Firstparagraph">
    <w:name w:val="First paragraph"/>
    <w:basedOn w:val="Normal"/>
    <w:next w:val="Normal"/>
    <w:rsid w:val="00CD240F"/>
    <w:pPr>
      <w:overflowPunct w:val="0"/>
      <w:autoSpaceDE w:val="0"/>
      <w:autoSpaceDN w:val="0"/>
      <w:adjustRightInd w:val="0"/>
      <w:spacing w:line="260" w:lineRule="exact"/>
      <w:ind w:firstLine="0"/>
      <w:textAlignment w:val="baseline"/>
    </w:pPr>
    <w:rPr>
      <w:rFonts w:eastAsia="Times New Roman"/>
      <w:sz w:val="24"/>
      <w:szCs w:val="20"/>
      <w:lang w:eastAsia="en-US"/>
    </w:rPr>
  </w:style>
  <w:style w:type="paragraph" w:customStyle="1" w:styleId="Tablecaption">
    <w:name w:val="Table caption"/>
    <w:basedOn w:val="Normal"/>
    <w:next w:val="Tablerule"/>
    <w:rsid w:val="00CD240F"/>
    <w:pPr>
      <w:overflowPunct w:val="0"/>
      <w:autoSpaceDE w:val="0"/>
      <w:autoSpaceDN w:val="0"/>
      <w:adjustRightInd w:val="0"/>
      <w:spacing w:line="220" w:lineRule="exact"/>
      <w:ind w:firstLine="0"/>
      <w:textAlignment w:val="baseline"/>
    </w:pPr>
    <w:rPr>
      <w:rFonts w:eastAsia="Times New Roman"/>
      <w:szCs w:val="20"/>
      <w:lang w:eastAsia="en-US"/>
    </w:rPr>
  </w:style>
  <w:style w:type="paragraph" w:customStyle="1" w:styleId="Tablerule">
    <w:name w:val="Table rule"/>
    <w:basedOn w:val="Normal"/>
    <w:next w:val="Tabletext"/>
    <w:rsid w:val="00CD240F"/>
    <w:pPr>
      <w:overflowPunct w:val="0"/>
      <w:autoSpaceDE w:val="0"/>
      <w:autoSpaceDN w:val="0"/>
      <w:adjustRightInd w:val="0"/>
      <w:spacing w:after="40" w:line="40" w:lineRule="exact"/>
      <w:ind w:firstLine="0"/>
      <w:jc w:val="left"/>
      <w:textAlignment w:val="baseline"/>
    </w:pPr>
    <w:rPr>
      <w:rFonts w:eastAsia="Times New Roman"/>
      <w:szCs w:val="20"/>
      <w:lang w:eastAsia="en-US"/>
    </w:rPr>
  </w:style>
  <w:style w:type="paragraph" w:customStyle="1" w:styleId="Tabletext">
    <w:name w:val="Table text"/>
    <w:basedOn w:val="Normal"/>
    <w:rsid w:val="00CD240F"/>
    <w:pPr>
      <w:overflowPunct w:val="0"/>
      <w:autoSpaceDE w:val="0"/>
      <w:autoSpaceDN w:val="0"/>
      <w:adjustRightInd w:val="0"/>
      <w:spacing w:line="220" w:lineRule="exact"/>
      <w:ind w:firstLine="0"/>
      <w:jc w:val="left"/>
      <w:textAlignment w:val="baseline"/>
    </w:pPr>
    <w:rPr>
      <w:rFonts w:eastAsia="Times New Roman"/>
      <w:szCs w:val="20"/>
      <w:lang w:eastAsia="en-US"/>
    </w:rPr>
  </w:style>
  <w:style w:type="table" w:styleId="TableGrid0">
    <w:name w:val="Table Grid"/>
    <w:basedOn w:val="TableNormal"/>
    <w:uiPriority w:val="59"/>
    <w:rsid w:val="00CD240F"/>
    <w:rPr>
      <w:rFonts w:asciiTheme="minorHAnsi" w:eastAsiaTheme="minorHAnsi" w:hAnsiTheme="minorHAnsi" w:cstheme="minorBidi"/>
      <w:sz w:val="22"/>
      <w:szCs w:val="22"/>
      <w:lang w:val="pt-P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aliases w:val="Caption Char2 Carácter Char,Caption Char2 Char,Carácter Char,Carácter Carácter Char,Carácter1 Char,Caption Char Char Char Char Char Char, Carácter Carácter Char, Carácter Char, Carácter Char Carácter Char,Cará... Char,Caption Char Char"/>
    <w:link w:val="Caption"/>
    <w:uiPriority w:val="35"/>
    <w:qFormat/>
    <w:locked/>
    <w:rsid w:val="00CD240F"/>
    <w:rPr>
      <w:sz w:val="16"/>
      <w:szCs w:val="24"/>
      <w:lang w:val="en-US" w:eastAsia="ja-JP"/>
    </w:rPr>
  </w:style>
  <w:style w:type="character" w:styleId="LineNumber">
    <w:name w:val="line number"/>
    <w:basedOn w:val="DefaultParagraphFont"/>
    <w:uiPriority w:val="99"/>
    <w:semiHidden/>
    <w:unhideWhenUsed/>
    <w:rsid w:val="00CD240F"/>
  </w:style>
  <w:style w:type="character" w:customStyle="1" w:styleId="Tipodeletrapredefinidodopargrafo1">
    <w:name w:val="Tipo de letra predefinido do parágrafo1"/>
    <w:rsid w:val="00CD240F"/>
  </w:style>
  <w:style w:type="paragraph" w:customStyle="1" w:styleId="Figurecaption">
    <w:name w:val="Figure caption"/>
    <w:basedOn w:val="Normal"/>
    <w:next w:val="Normal"/>
    <w:rsid w:val="00CD240F"/>
    <w:pPr>
      <w:overflowPunct w:val="0"/>
      <w:autoSpaceDE w:val="0"/>
      <w:autoSpaceDN w:val="0"/>
      <w:adjustRightInd w:val="0"/>
      <w:spacing w:line="220" w:lineRule="exact"/>
      <w:ind w:firstLine="0"/>
      <w:textAlignment w:val="baseline"/>
    </w:pPr>
    <w:rPr>
      <w:rFonts w:eastAsia="Times New Roman"/>
      <w:szCs w:val="20"/>
      <w:lang w:eastAsia="en-US"/>
    </w:rPr>
  </w:style>
  <w:style w:type="paragraph" w:styleId="NormalWeb">
    <w:name w:val="Normal (Web)"/>
    <w:basedOn w:val="Normal"/>
    <w:uiPriority w:val="99"/>
    <w:semiHidden/>
    <w:unhideWhenUsed/>
    <w:rsid w:val="00CD240F"/>
    <w:pPr>
      <w:spacing w:before="100" w:beforeAutospacing="1" w:after="100" w:afterAutospacing="1"/>
      <w:ind w:firstLine="0"/>
      <w:jc w:val="left"/>
    </w:pPr>
    <w:rPr>
      <w:rFonts w:eastAsia="Times New Roman"/>
      <w:sz w:val="24"/>
      <w:lang w:eastAsia="en-US"/>
    </w:rPr>
  </w:style>
  <w:style w:type="paragraph" w:styleId="Subtitle">
    <w:name w:val="Subtitle"/>
    <w:basedOn w:val="Normal"/>
    <w:next w:val="Normal"/>
    <w:link w:val="SubtitleChar"/>
    <w:uiPriority w:val="11"/>
    <w:qFormat/>
    <w:rsid w:val="008110F2"/>
    <w:pPr>
      <w:numPr>
        <w:ilvl w:val="1"/>
      </w:numPr>
      <w:spacing w:after="160"/>
      <w:ind w:firstLine="357"/>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8110F2"/>
    <w:rPr>
      <w:rFonts w:asciiTheme="minorHAnsi" w:eastAsiaTheme="minorEastAsia" w:hAnsiTheme="minorHAnsi" w:cstheme="minorBidi"/>
      <w:color w:val="5A5A5A" w:themeColor="text1" w:themeTint="A5"/>
      <w:spacing w:val="15"/>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2.wdp"/><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pinheiro\Documents\Artigos_2021\NAV2022\ECRC_Author_Instructions_and_tools_Word_2020\IOSPressBookArticleWordTemplate%20with%20Text.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E4545-98BD-41ED-91AA-982292904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Template>
  <TotalTime>24</TotalTime>
  <Pages>8</Pages>
  <Words>3515</Words>
  <Characters>18987</Characters>
  <Application>Microsoft Office Word</Application>
  <DocSecurity>0</DocSecurity>
  <Lines>158</Lines>
  <Paragraphs>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vt:lpstr>
      <vt:lpstr>1</vt:lpstr>
    </vt:vector>
  </TitlesOfParts>
  <Company>VTEX</Company>
  <LinksUpToDate>false</LinksUpToDate>
  <CharactersWithSpaces>22458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Liliana Pinheiro</dc:creator>
  <cp:keywords/>
  <cp:lastModifiedBy>Liliana Pinheiro</cp:lastModifiedBy>
  <cp:revision>10</cp:revision>
  <cp:lastPrinted>2008-10-24T08:15:00Z</cp:lastPrinted>
  <dcterms:created xsi:type="dcterms:W3CDTF">2022-04-08T21:30:00Z</dcterms:created>
  <dcterms:modified xsi:type="dcterms:W3CDTF">2022-04-08T21:54:00Z</dcterms:modified>
</cp:coreProperties>
</file>