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D4FE" w14:textId="63F76DBC" w:rsidR="00B05D6E" w:rsidRPr="003F7850" w:rsidRDefault="00AA3893">
      <w:pPr>
        <w:pStyle w:val="Titolo"/>
        <w:rPr>
          <w:lang w:val="en-GB"/>
        </w:rPr>
      </w:pPr>
      <w:r w:rsidRPr="003F7850">
        <w:rPr>
          <w:lang w:val="en-GB"/>
        </w:rPr>
        <w:t>Intact stability assessment of RO-RO pax vessel in the framework of Second Generation Intact Stability criteria with a specific focus on the operational profile</w:t>
      </w:r>
    </w:p>
    <w:p w14:paraId="2141DD2E" w14:textId="020903E3" w:rsidR="00B05D6E" w:rsidRPr="003F7850" w:rsidRDefault="00D85983">
      <w:pPr>
        <w:pStyle w:val="Author"/>
      </w:pPr>
      <w:r w:rsidRPr="003F7850">
        <w:t xml:space="preserve">Nicola </w:t>
      </w:r>
      <w:proofErr w:type="spellStart"/>
      <w:r w:rsidRPr="003F7850">
        <w:t>PETACCO</w:t>
      </w:r>
      <w:r w:rsidR="00B05D6E" w:rsidRPr="003F7850">
        <w:rPr>
          <w:vertAlign w:val="superscript"/>
        </w:rPr>
        <w:t>a</w:t>
      </w:r>
      <w:proofErr w:type="spellEnd"/>
      <w:r w:rsidR="00B05D6E" w:rsidRPr="003F7850">
        <w:rPr>
          <w:vertAlign w:val="superscript"/>
        </w:rPr>
        <w:t>,</w:t>
      </w:r>
      <w:r w:rsidR="00B05D6E" w:rsidRPr="003F7850">
        <w:rPr>
          <w:rStyle w:val="Rimandonotaapidipagina"/>
          <w:lang w:val="en-GB"/>
        </w:rPr>
        <w:footnoteReference w:id="1"/>
      </w:r>
      <w:r w:rsidRPr="003F7850">
        <w:t>, Valerio RUGGIERO</w:t>
      </w:r>
      <w:r w:rsidRPr="003F7850">
        <w:rPr>
          <w:vertAlign w:val="superscript"/>
        </w:rPr>
        <w:t xml:space="preserve"> b</w:t>
      </w:r>
      <w:r w:rsidRPr="003F7850">
        <w:t xml:space="preserve"> </w:t>
      </w:r>
      <w:r w:rsidR="00B05D6E" w:rsidRPr="003F7850">
        <w:t xml:space="preserve">and </w:t>
      </w:r>
      <w:r w:rsidRPr="003F7850">
        <w:t>Paola</w:t>
      </w:r>
      <w:r w:rsidR="00B05D6E" w:rsidRPr="003F7850">
        <w:t xml:space="preserve"> </w:t>
      </w:r>
      <w:r w:rsidRPr="003F7850">
        <w:t>GUALENI</w:t>
      </w:r>
      <w:r w:rsidR="00B05D6E" w:rsidRPr="003F7850">
        <w:rPr>
          <w:sz w:val="8"/>
          <w:szCs w:val="8"/>
        </w:rPr>
        <w:t xml:space="preserve"> </w:t>
      </w:r>
      <w:r w:rsidRPr="003F7850">
        <w:rPr>
          <w:vertAlign w:val="superscript"/>
        </w:rPr>
        <w:t>a</w:t>
      </w:r>
    </w:p>
    <w:p w14:paraId="76CEFD6E" w14:textId="33B4EF2E" w:rsidR="00B05D6E" w:rsidRPr="003F7850" w:rsidRDefault="00B05D6E">
      <w:pPr>
        <w:pStyle w:val="Affiliation"/>
        <w:rPr>
          <w:lang w:val="en-GB"/>
        </w:rPr>
      </w:pPr>
      <w:r w:rsidRPr="003F7850">
        <w:rPr>
          <w:i w:val="0"/>
          <w:vertAlign w:val="superscript"/>
          <w:lang w:val="en-GB"/>
        </w:rPr>
        <w:t>a</w:t>
      </w:r>
      <w:r w:rsidRPr="003F7850">
        <w:rPr>
          <w:sz w:val="8"/>
          <w:szCs w:val="8"/>
          <w:lang w:val="en-GB"/>
        </w:rPr>
        <w:t xml:space="preserve"> </w:t>
      </w:r>
      <w:r w:rsidR="00D85983" w:rsidRPr="003F7850">
        <w:rPr>
          <w:lang w:val="en-GB"/>
        </w:rPr>
        <w:t>U</w:t>
      </w:r>
      <w:r w:rsidR="00304BC2" w:rsidRPr="003F7850">
        <w:rPr>
          <w:lang w:val="en-GB"/>
        </w:rPr>
        <w:t>niversity of Genoa, Italy</w:t>
      </w:r>
    </w:p>
    <w:p w14:paraId="7DDD6F5A" w14:textId="2ECC76AE" w:rsidR="00B05D6E" w:rsidRPr="003F7850" w:rsidRDefault="00B05D6E">
      <w:pPr>
        <w:pStyle w:val="Affiliation"/>
        <w:rPr>
          <w:lang w:val="en-GB"/>
        </w:rPr>
      </w:pPr>
      <w:r w:rsidRPr="003F7850">
        <w:rPr>
          <w:i w:val="0"/>
          <w:vertAlign w:val="superscript"/>
          <w:lang w:val="en-GB"/>
        </w:rPr>
        <w:t>b</w:t>
      </w:r>
      <w:r w:rsidRPr="003F7850">
        <w:rPr>
          <w:sz w:val="8"/>
          <w:szCs w:val="8"/>
          <w:lang w:val="en-GB"/>
        </w:rPr>
        <w:t xml:space="preserve"> </w:t>
      </w:r>
      <w:r w:rsidR="00304BC2" w:rsidRPr="003F7850">
        <w:rPr>
          <w:lang w:val="en-GB"/>
        </w:rPr>
        <w:t>University of Messina, Italy</w:t>
      </w:r>
    </w:p>
    <w:p w14:paraId="3305BC6B" w14:textId="48AABBE0" w:rsidR="00B05D6E" w:rsidRPr="003F7850" w:rsidRDefault="00B05D6E" w:rsidP="00DE3291">
      <w:pPr>
        <w:pStyle w:val="Abstract"/>
        <w:rPr>
          <w:lang w:val="en-GB"/>
        </w:rPr>
      </w:pPr>
      <w:r w:rsidRPr="003F7850">
        <w:rPr>
          <w:b/>
          <w:lang w:val="en-GB"/>
        </w:rPr>
        <w:t>Abstract.</w:t>
      </w:r>
      <w:r w:rsidRPr="003F7850">
        <w:rPr>
          <w:lang w:val="en-GB"/>
        </w:rPr>
        <w:t xml:space="preserve"> </w:t>
      </w:r>
      <w:r w:rsidR="00DE3291" w:rsidRPr="003F7850">
        <w:rPr>
          <w:lang w:val="en-GB"/>
        </w:rPr>
        <w:t xml:space="preserve">One year later the finalization of </w:t>
      </w:r>
      <w:proofErr w:type="gramStart"/>
      <w:r w:rsidR="00DE3291" w:rsidRPr="003F7850">
        <w:rPr>
          <w:lang w:val="en-GB"/>
        </w:rPr>
        <w:t>Second Generation</w:t>
      </w:r>
      <w:proofErr w:type="gramEnd"/>
      <w:r w:rsidR="00DE3291" w:rsidRPr="003F7850">
        <w:rPr>
          <w:lang w:val="en-GB"/>
        </w:rPr>
        <w:t xml:space="preserve"> Intact Stability criteria (</w:t>
      </w:r>
      <w:proofErr w:type="spellStart"/>
      <w:r w:rsidR="00DE3291" w:rsidRPr="003F7850">
        <w:rPr>
          <w:lang w:val="en-GB"/>
        </w:rPr>
        <w:t>SGISc</w:t>
      </w:r>
      <w:proofErr w:type="spellEnd"/>
      <w:r w:rsidR="00DE3291" w:rsidRPr="003F7850">
        <w:rPr>
          <w:lang w:val="en-GB"/>
        </w:rPr>
        <w:t xml:space="preserve">), there is still the need to validate the robustness and consistency of these criteria as indicated by IMO. </w:t>
      </w:r>
      <w:r w:rsidR="00B27025" w:rsidRPr="003F7850">
        <w:rPr>
          <w:lang w:val="en-GB"/>
        </w:rPr>
        <w:t>Not compliance with a stability criterion</w:t>
      </w:r>
      <w:r w:rsidR="00DE3291" w:rsidRPr="003F7850">
        <w:rPr>
          <w:lang w:val="en-GB"/>
        </w:rPr>
        <w:t xml:space="preserve"> cannot be always fixed acting only on the vessel design; </w:t>
      </w:r>
      <w:proofErr w:type="gramStart"/>
      <w:r w:rsidR="00DE3291" w:rsidRPr="003F7850">
        <w:rPr>
          <w:lang w:val="en-GB"/>
        </w:rPr>
        <w:t>also</w:t>
      </w:r>
      <w:proofErr w:type="gramEnd"/>
      <w:r w:rsidR="00DE3291" w:rsidRPr="003F7850">
        <w:rPr>
          <w:lang w:val="en-GB"/>
        </w:rPr>
        <w:t xml:space="preserve"> operative considerations are needed in order to reduce the risk level during the navigation. After an introduction to </w:t>
      </w:r>
      <w:proofErr w:type="spellStart"/>
      <w:r w:rsidR="00B27025" w:rsidRPr="003F7850">
        <w:rPr>
          <w:lang w:val="en-GB"/>
        </w:rPr>
        <w:t>SGISc</w:t>
      </w:r>
      <w:proofErr w:type="spellEnd"/>
      <w:r w:rsidR="00B27025" w:rsidRPr="003F7850">
        <w:rPr>
          <w:lang w:val="en-GB"/>
        </w:rPr>
        <w:t xml:space="preserve"> and rule framework for passenger ships</w:t>
      </w:r>
      <w:r w:rsidR="00DE3291" w:rsidRPr="003F7850">
        <w:rPr>
          <w:lang w:val="en-GB"/>
        </w:rPr>
        <w:t xml:space="preserve">, an application will be carried out. A Ro-Ro pax ferry has been selected as subject of this investigation. Vulnerability levels (i.e. Level 1 and Level 2) are applied in order to assess the compliance of a modern representative Ro-Ro ferry. Moreover, a study about how the environmental conditions may affect the results is undertaken considering different scenario, such as the geographical area or the </w:t>
      </w:r>
      <w:r w:rsidR="00B27025" w:rsidRPr="003F7850">
        <w:rPr>
          <w:lang w:val="en-GB"/>
        </w:rPr>
        <w:t>maximum encountered wave height</w:t>
      </w:r>
      <w:r w:rsidRPr="003F7850">
        <w:rPr>
          <w:lang w:val="en-GB"/>
        </w:rPr>
        <w:t>.</w:t>
      </w:r>
    </w:p>
    <w:p w14:paraId="7E1A1DEC" w14:textId="2BB5EE71" w:rsidR="00B05D6E" w:rsidRPr="003F7850" w:rsidRDefault="00B05D6E">
      <w:pPr>
        <w:pStyle w:val="Keywords"/>
        <w:rPr>
          <w:lang w:val="en-GB"/>
        </w:rPr>
      </w:pPr>
      <w:r w:rsidRPr="003F7850">
        <w:rPr>
          <w:b/>
          <w:lang w:val="en-GB"/>
        </w:rPr>
        <w:t>Keywords.</w:t>
      </w:r>
      <w:r w:rsidRPr="003F7850">
        <w:rPr>
          <w:lang w:val="en-GB"/>
        </w:rPr>
        <w:t xml:space="preserve"> </w:t>
      </w:r>
      <w:r w:rsidR="008322CE" w:rsidRPr="003F7850">
        <w:rPr>
          <w:lang w:val="en-GB"/>
        </w:rPr>
        <w:t>Stability in waves, Design for safety, Operational Measures, Ro-Ro ferry.</w:t>
      </w:r>
    </w:p>
    <w:p w14:paraId="21583135" w14:textId="47111FC0" w:rsidR="0019650D" w:rsidRPr="003F7850" w:rsidRDefault="00B05D6E" w:rsidP="0019650D">
      <w:pPr>
        <w:pStyle w:val="Titolo1"/>
        <w:rPr>
          <w:lang w:val="en-GB"/>
        </w:rPr>
      </w:pPr>
      <w:r w:rsidRPr="003F7850">
        <w:rPr>
          <w:lang w:val="en-GB"/>
        </w:rPr>
        <w:t>Introduction</w:t>
      </w:r>
    </w:p>
    <w:p w14:paraId="76FBEF19" w14:textId="272B2C58" w:rsidR="00E23C3F" w:rsidRPr="003F7850" w:rsidRDefault="00E23C3F" w:rsidP="006B2423">
      <w:pPr>
        <w:rPr>
          <w:lang w:val="en-GB"/>
        </w:rPr>
      </w:pPr>
      <w:r w:rsidRPr="003F7850">
        <w:rPr>
          <w:lang w:val="en-GB"/>
        </w:rPr>
        <w:t>In the general context of</w:t>
      </w:r>
      <w:r w:rsidR="0069192E" w:rsidRPr="003F7850">
        <w:rPr>
          <w:lang w:val="en-GB"/>
        </w:rPr>
        <w:t xml:space="preserve"> the</w:t>
      </w:r>
      <w:r w:rsidR="00667E41" w:rsidRPr="003F7850">
        <w:rPr>
          <w:lang w:val="en-GB"/>
        </w:rPr>
        <w:t xml:space="preserve"> worldwide merchant fleet,</w:t>
      </w:r>
      <w:r w:rsidRPr="003F7850">
        <w:rPr>
          <w:lang w:val="en-GB"/>
        </w:rPr>
        <w:t xml:space="preserve"> passenger ships </w:t>
      </w:r>
      <w:r w:rsidR="00667E41" w:rsidRPr="003F7850">
        <w:rPr>
          <w:lang w:val="en-GB"/>
        </w:rPr>
        <w:t>represent nearly the 6.5</w:t>
      </w:r>
      <w:r w:rsidR="00D41D95" w:rsidRPr="003F7850">
        <w:rPr>
          <w:lang w:val="en-GB"/>
        </w:rPr>
        <w:t> </w:t>
      </w:r>
      <w:r w:rsidR="00667E41" w:rsidRPr="003F7850">
        <w:rPr>
          <w:lang w:val="en-GB"/>
        </w:rPr>
        <w:t>% [</w:t>
      </w:r>
      <w:r w:rsidR="006B2423" w:rsidRPr="003F7850">
        <w:rPr>
          <w:lang w:val="en-GB"/>
        </w:rPr>
        <w:t>1</w:t>
      </w:r>
      <w:r w:rsidR="00667E41" w:rsidRPr="003F7850">
        <w:rPr>
          <w:lang w:val="en-GB"/>
        </w:rPr>
        <w:t>] and they are</w:t>
      </w:r>
      <w:r w:rsidRPr="003F7850">
        <w:rPr>
          <w:lang w:val="en-GB"/>
        </w:rPr>
        <w:t xml:space="preserve"> among the most demanding </w:t>
      </w:r>
      <w:r w:rsidR="00667E41" w:rsidRPr="003F7850">
        <w:rPr>
          <w:lang w:val="en-GB"/>
        </w:rPr>
        <w:t xml:space="preserve">ship typologies </w:t>
      </w:r>
      <w:r w:rsidRPr="003F7850">
        <w:rPr>
          <w:lang w:val="en-GB"/>
        </w:rPr>
        <w:t xml:space="preserve">also because of the safety rules </w:t>
      </w:r>
      <w:r w:rsidR="0069192E" w:rsidRPr="003F7850">
        <w:rPr>
          <w:lang w:val="en-GB"/>
        </w:rPr>
        <w:t xml:space="preserve">that need </w:t>
      </w:r>
      <w:r w:rsidRPr="003F7850">
        <w:rPr>
          <w:lang w:val="en-GB"/>
        </w:rPr>
        <w:t>to be complied with</w:t>
      </w:r>
      <w:r w:rsidR="0069192E" w:rsidRPr="003F7850">
        <w:rPr>
          <w:lang w:val="en-GB"/>
        </w:rPr>
        <w:t xml:space="preserve"> during both the design phase and the operational life</w:t>
      </w:r>
      <w:r w:rsidRPr="003F7850">
        <w:rPr>
          <w:lang w:val="en-GB"/>
        </w:rPr>
        <w:t>.</w:t>
      </w:r>
      <w:r w:rsidR="00667E41" w:rsidRPr="003F7850">
        <w:rPr>
          <w:lang w:val="en-GB"/>
        </w:rPr>
        <w:t xml:space="preserve"> </w:t>
      </w:r>
    </w:p>
    <w:p w14:paraId="5E006506" w14:textId="77777777" w:rsidR="0060242C" w:rsidRPr="003F7850" w:rsidRDefault="0069192E" w:rsidP="006B2423">
      <w:pPr>
        <w:ind w:firstLine="720"/>
        <w:rPr>
          <w:lang w:val="en-GB"/>
        </w:rPr>
      </w:pPr>
      <w:r w:rsidRPr="003F7850">
        <w:rPr>
          <w:lang w:val="en-GB"/>
        </w:rPr>
        <w:t xml:space="preserve">Within this category ro-ro passenger ships play an important role and guarantee the safe and efficient transportation of people and vehicles where peninsular and archipelagos territories are significantly inhabited. </w:t>
      </w:r>
    </w:p>
    <w:p w14:paraId="6398F368" w14:textId="420A4C0C" w:rsidR="0069192E" w:rsidRPr="003F7850" w:rsidRDefault="0060242C" w:rsidP="006B2423">
      <w:pPr>
        <w:rPr>
          <w:lang w:val="en-GB"/>
        </w:rPr>
      </w:pPr>
      <w:r w:rsidRPr="003F7850">
        <w:rPr>
          <w:lang w:val="en-GB"/>
        </w:rPr>
        <w:t>For this ship typology a great attention is paid to the stability issue, both in the intact and damaged conditions [</w:t>
      </w:r>
      <w:r w:rsidR="006B2423" w:rsidRPr="003F7850">
        <w:rPr>
          <w:lang w:val="en-GB"/>
        </w:rPr>
        <w:t>2</w:t>
      </w:r>
      <w:r w:rsidRPr="003F7850">
        <w:rPr>
          <w:lang w:val="en-GB"/>
        </w:rPr>
        <w:t xml:space="preserve">] also in relation to the actual operational profile in terms of specified environmental conditions the ship </w:t>
      </w:r>
      <w:r w:rsidRPr="003F7850">
        <w:rPr>
          <w:lang w:val="en-GB"/>
        </w:rPr>
        <w:lastRenderedPageBreak/>
        <w:t>is supposed to face during the scheduled sail routing</w:t>
      </w:r>
      <w:r w:rsidR="00501051" w:rsidRPr="003F7850">
        <w:rPr>
          <w:lang w:val="en-GB"/>
        </w:rPr>
        <w:t>, as it will be better detailed in the following.</w:t>
      </w:r>
    </w:p>
    <w:p w14:paraId="5E7457CD" w14:textId="49764A62" w:rsidR="0060242C" w:rsidRPr="003F7850" w:rsidRDefault="0060242C" w:rsidP="006B2423">
      <w:pPr>
        <w:ind w:firstLine="720"/>
        <w:rPr>
          <w:lang w:val="en-GB"/>
        </w:rPr>
      </w:pPr>
      <w:r w:rsidRPr="003F7850">
        <w:rPr>
          <w:lang w:val="en-GB"/>
        </w:rPr>
        <w:t xml:space="preserve">The concept to assess ship behaviour in waves is also at the base of the recent </w:t>
      </w:r>
      <w:r w:rsidR="00501051" w:rsidRPr="003F7850">
        <w:rPr>
          <w:lang w:val="en-GB"/>
        </w:rPr>
        <w:t xml:space="preserve">IMO </w:t>
      </w:r>
      <w:r w:rsidRPr="003F7850">
        <w:rPr>
          <w:lang w:val="en-GB"/>
        </w:rPr>
        <w:t>Second Generation Intact Stability Criteria</w:t>
      </w:r>
      <w:r w:rsidR="00501051" w:rsidRPr="003F7850">
        <w:rPr>
          <w:lang w:val="en-GB"/>
        </w:rPr>
        <w:t xml:space="preserve"> where a strong link between the design phase and the ship operational life can be recognized as well.</w:t>
      </w:r>
    </w:p>
    <w:p w14:paraId="45FDE220" w14:textId="329A9948" w:rsidR="00501051" w:rsidRPr="003F7850" w:rsidRDefault="00501051" w:rsidP="006B2423">
      <w:pPr>
        <w:ind w:firstLine="454"/>
        <w:rPr>
          <w:lang w:val="en-GB"/>
        </w:rPr>
      </w:pPr>
      <w:r w:rsidRPr="003F7850">
        <w:rPr>
          <w:lang w:val="en-GB"/>
        </w:rPr>
        <w:t>In order to better frame the safety of roro passenger ships in terms of stability in waves, in the following an application case will be developed for a Ro-Ro ferry representative of the Mediterranean fleet</w:t>
      </w:r>
    </w:p>
    <w:p w14:paraId="1ABC4CD8" w14:textId="43033E3D" w:rsidR="00283A15" w:rsidRPr="003F7850" w:rsidRDefault="00AA1129" w:rsidP="00283A15">
      <w:pPr>
        <w:pStyle w:val="Titolo1"/>
        <w:rPr>
          <w:lang w:val="en-GB"/>
        </w:rPr>
      </w:pPr>
      <w:r w:rsidRPr="003F7850">
        <w:rPr>
          <w:lang w:val="en-GB"/>
        </w:rPr>
        <w:t>Rule Context</w:t>
      </w:r>
    </w:p>
    <w:p w14:paraId="694E9D5D" w14:textId="7FF38C63" w:rsidR="00AA1129" w:rsidRPr="003F7850" w:rsidRDefault="00AA1129" w:rsidP="00AA1129">
      <w:pPr>
        <w:pStyle w:val="Titolo2"/>
        <w:rPr>
          <w:lang w:val="en-GB"/>
        </w:rPr>
      </w:pPr>
      <w:r w:rsidRPr="003F7850">
        <w:rPr>
          <w:lang w:val="en-GB"/>
        </w:rPr>
        <w:t xml:space="preserve">The Regulatory Framework of </w:t>
      </w:r>
      <w:proofErr w:type="spellStart"/>
      <w:r w:rsidRPr="003F7850">
        <w:rPr>
          <w:lang w:val="en-GB"/>
        </w:rPr>
        <w:t>SGISc</w:t>
      </w:r>
      <w:proofErr w:type="spellEnd"/>
    </w:p>
    <w:p w14:paraId="3D5DA907" w14:textId="58F65AD0" w:rsidR="00E3718D" w:rsidRPr="003F7850" w:rsidRDefault="00E3718D" w:rsidP="00E3718D">
      <w:pPr>
        <w:pStyle w:val="NoindentNormal"/>
        <w:rPr>
          <w:lang w:val="en-GB"/>
        </w:rPr>
      </w:pPr>
      <w:r w:rsidRPr="003F7850">
        <w:rPr>
          <w:lang w:val="en-GB"/>
        </w:rPr>
        <w:t>During the 8th meeting of the IMO sub-committ</w:t>
      </w:r>
      <w:r w:rsidR="00B27025" w:rsidRPr="003F7850">
        <w:rPr>
          <w:lang w:val="en-GB"/>
        </w:rPr>
        <w:t>e</w:t>
      </w:r>
      <w:r w:rsidRPr="003F7850">
        <w:rPr>
          <w:lang w:val="en-GB"/>
        </w:rPr>
        <w:t xml:space="preserve">e on Ship Design and Construction (SDC) the final draft of the </w:t>
      </w:r>
      <w:r w:rsidRPr="003F7850">
        <w:rPr>
          <w:i/>
          <w:iCs/>
          <w:lang w:val="en-GB"/>
        </w:rPr>
        <w:t xml:space="preserve">Explanatory notes to the interim guidelines on the </w:t>
      </w:r>
      <w:proofErr w:type="gramStart"/>
      <w:r w:rsidRPr="003F7850">
        <w:rPr>
          <w:i/>
          <w:iCs/>
          <w:lang w:val="en-GB"/>
        </w:rPr>
        <w:t>Second Generation</w:t>
      </w:r>
      <w:proofErr w:type="gramEnd"/>
      <w:r w:rsidRPr="003F7850">
        <w:rPr>
          <w:i/>
          <w:iCs/>
          <w:lang w:val="en-GB"/>
        </w:rPr>
        <w:t xml:space="preserve"> Intact Stability criteria</w:t>
      </w:r>
      <w:r w:rsidRPr="003F7850">
        <w:rPr>
          <w:lang w:val="en-GB"/>
        </w:rPr>
        <w:t> (</w:t>
      </w:r>
      <w:proofErr w:type="spellStart"/>
      <w:r w:rsidRPr="003F7850">
        <w:rPr>
          <w:lang w:val="en-GB"/>
        </w:rPr>
        <w:t>SGISc</w:t>
      </w:r>
      <w:proofErr w:type="spellEnd"/>
      <w:r w:rsidRPr="003F7850">
        <w:rPr>
          <w:lang w:val="en-GB"/>
        </w:rPr>
        <w:t>) has been approved</w:t>
      </w:r>
      <w:r w:rsidR="00AB4687" w:rsidRPr="003F7850">
        <w:rPr>
          <w:lang w:val="en-GB"/>
        </w:rPr>
        <w:t> [</w:t>
      </w:r>
      <w:r w:rsidR="006B2423" w:rsidRPr="003F7850">
        <w:rPr>
          <w:lang w:val="en-GB"/>
        </w:rPr>
        <w:t>3</w:t>
      </w:r>
      <w:r w:rsidR="00AB4687" w:rsidRPr="003F7850">
        <w:rPr>
          <w:lang w:val="en-GB"/>
        </w:rPr>
        <w:t>]</w:t>
      </w:r>
      <w:r w:rsidRPr="003F7850">
        <w:rPr>
          <w:lang w:val="en-GB"/>
        </w:rPr>
        <w:t>. The final version is going to be approved by the Maritime Safety Committee (MSC) during the subsequent meeting in 2022 by means of a MSC Circular. This event represents the conclusion of their long period of development begun nearly 20 years ago. In the MSC.1/Circular</w:t>
      </w:r>
      <w:r w:rsidR="00510545" w:rsidRPr="003F7850">
        <w:rPr>
          <w:lang w:val="en-GB"/>
        </w:rPr>
        <w:t> </w:t>
      </w:r>
      <w:r w:rsidRPr="003F7850">
        <w:rPr>
          <w:lang w:val="en-GB"/>
        </w:rPr>
        <w:t>1627</w:t>
      </w:r>
      <w:r w:rsidR="00510545" w:rsidRPr="003F7850">
        <w:rPr>
          <w:lang w:val="en-GB"/>
        </w:rPr>
        <w:t> </w:t>
      </w:r>
      <w:r w:rsidRPr="003F7850">
        <w:rPr>
          <w:lang w:val="en-GB"/>
        </w:rPr>
        <w:t>[</w:t>
      </w:r>
      <w:r w:rsidR="006B2423" w:rsidRPr="003F7850">
        <w:rPr>
          <w:lang w:val="en-GB"/>
        </w:rPr>
        <w:t>4</w:t>
      </w:r>
      <w:r w:rsidRPr="003F7850">
        <w:rPr>
          <w:lang w:val="en-GB"/>
        </w:rPr>
        <w:t xml:space="preserve">] the official text of the </w:t>
      </w:r>
      <w:proofErr w:type="spellStart"/>
      <w:r w:rsidRPr="003F7850">
        <w:rPr>
          <w:lang w:val="en-GB"/>
        </w:rPr>
        <w:t>SGISc</w:t>
      </w:r>
      <w:proofErr w:type="spellEnd"/>
      <w:r w:rsidRPr="003F7850">
        <w:rPr>
          <w:lang w:val="en-GB"/>
        </w:rPr>
        <w:t xml:space="preserve"> can be found. Currently, their application will not be mandatory by the International Maritime Organization (IMO) strongly endorse it in order to gather feedbacks and experience for further improvements. The </w:t>
      </w:r>
      <w:proofErr w:type="spellStart"/>
      <w:r w:rsidRPr="003F7850">
        <w:rPr>
          <w:lang w:val="en-GB"/>
        </w:rPr>
        <w:t>SGISc</w:t>
      </w:r>
      <w:proofErr w:type="spellEnd"/>
      <w:r w:rsidRPr="003F7850">
        <w:rPr>
          <w:lang w:val="en-GB"/>
        </w:rPr>
        <w:t xml:space="preserve"> represent an important step toward the probabilistic and performance-based approach in the ship safety field. These criteria tackle the ship stability performance considering the dynamical effects due to wind and waves. Therefore, a wide knowledge is required to assess the physical phenomena, comprising seakeeping and </w:t>
      </w:r>
      <w:proofErr w:type="spellStart"/>
      <w:r w:rsidRPr="003F7850">
        <w:rPr>
          <w:lang w:val="en-GB"/>
        </w:rPr>
        <w:t>maneuvering</w:t>
      </w:r>
      <w:proofErr w:type="spellEnd"/>
      <w:r w:rsidRPr="003F7850">
        <w:rPr>
          <w:lang w:val="en-GB"/>
        </w:rPr>
        <w:t xml:space="preserve"> features. The </w:t>
      </w:r>
      <w:proofErr w:type="spellStart"/>
      <w:r w:rsidRPr="003F7850">
        <w:rPr>
          <w:lang w:val="en-GB"/>
        </w:rPr>
        <w:t>SGISc</w:t>
      </w:r>
      <w:proofErr w:type="spellEnd"/>
      <w:r w:rsidRPr="003F7850">
        <w:rPr>
          <w:lang w:val="en-GB"/>
        </w:rPr>
        <w:t xml:space="preserve"> address five stability failures modes: parametric rolling, pure loss of stability excessive acceleration, dead ship condition and surf-riding/broaching-to.</w:t>
      </w:r>
    </w:p>
    <w:p w14:paraId="1B3930A6" w14:textId="1E6942D8" w:rsidR="005A1555" w:rsidRPr="003F7850" w:rsidRDefault="005A1555" w:rsidP="004E3AF0">
      <w:pPr>
        <w:rPr>
          <w:lang w:val="en-GB"/>
        </w:rPr>
      </w:pPr>
      <w:r w:rsidRPr="003F7850">
        <w:rPr>
          <w:lang w:val="en-GB"/>
        </w:rPr>
        <w:t xml:space="preserve">Each stability failures modes </w:t>
      </w:r>
      <w:proofErr w:type="gramStart"/>
      <w:r w:rsidRPr="003F7850">
        <w:rPr>
          <w:lang w:val="en-GB"/>
        </w:rPr>
        <w:t>is</w:t>
      </w:r>
      <w:proofErr w:type="gramEnd"/>
      <w:r w:rsidRPr="003F7850">
        <w:rPr>
          <w:lang w:val="en-GB"/>
        </w:rPr>
        <w:t xml:space="preserve"> evaluated according to the multi-layered approach where each level has an increased accuracy and complexity (Figure</w:t>
      </w:r>
      <w:r w:rsidR="00E91EA2" w:rsidRPr="003F7850">
        <w:rPr>
          <w:lang w:val="en-GB"/>
        </w:rPr>
        <w:t> </w:t>
      </w:r>
      <w:r w:rsidRPr="003F7850">
        <w:rPr>
          <w:lang w:val="en-GB"/>
        </w:rPr>
        <w:t xml:space="preserve">1). The </w:t>
      </w:r>
      <w:r w:rsidRPr="003F7850">
        <w:rPr>
          <w:i/>
          <w:iCs/>
          <w:lang w:val="en-GB"/>
        </w:rPr>
        <w:t>vulnerability levels</w:t>
      </w:r>
      <w:r w:rsidRPr="003F7850">
        <w:rPr>
          <w:lang w:val="en-GB"/>
        </w:rPr>
        <w:t xml:space="preserve"> represent the most simple and basic tool to evaluate the vulnerabilities of a ship; in </w:t>
      </w:r>
      <w:proofErr w:type="gramStart"/>
      <w:r w:rsidRPr="003F7850">
        <w:rPr>
          <w:lang w:val="en-GB"/>
        </w:rPr>
        <w:t>addition</w:t>
      </w:r>
      <w:proofErr w:type="gramEnd"/>
      <w:r w:rsidRPr="003F7850">
        <w:rPr>
          <w:lang w:val="en-GB"/>
        </w:rPr>
        <w:t xml:space="preserve"> a third level named design stability assessment (DSA) requires a more sophisticated numerical tool able to process a time-domain dynamic model having at least 4 degrees of freedom. In literature, </w:t>
      </w:r>
      <w:r w:rsidR="00952FC0" w:rsidRPr="003F7850">
        <w:rPr>
          <w:lang w:val="en-GB"/>
        </w:rPr>
        <w:t xml:space="preserve">applications and </w:t>
      </w:r>
      <w:r w:rsidRPr="003F7850">
        <w:rPr>
          <w:lang w:val="en-GB"/>
        </w:rPr>
        <w:t xml:space="preserve">detailed </w:t>
      </w:r>
      <w:r w:rsidRPr="003F7850">
        <w:rPr>
          <w:lang w:val="en-GB"/>
        </w:rPr>
        <w:lastRenderedPageBreak/>
        <w:t xml:space="preserve">description of the </w:t>
      </w:r>
      <w:proofErr w:type="spellStart"/>
      <w:r w:rsidRPr="003F7850">
        <w:rPr>
          <w:lang w:val="en-GB"/>
        </w:rPr>
        <w:t>multilayered</w:t>
      </w:r>
      <w:proofErr w:type="spellEnd"/>
      <w:r w:rsidRPr="003F7850">
        <w:rPr>
          <w:lang w:val="en-GB"/>
        </w:rPr>
        <w:t xml:space="preserve"> approach as well as the vulnerability levels [</w:t>
      </w:r>
      <w:r w:rsidR="006B2423" w:rsidRPr="003F7850">
        <w:rPr>
          <w:lang w:val="en-GB"/>
        </w:rPr>
        <w:t>5, 6, 7</w:t>
      </w:r>
      <w:r w:rsidRPr="003F7850">
        <w:rPr>
          <w:lang w:val="en-GB"/>
        </w:rPr>
        <w:t>] and DSA [</w:t>
      </w:r>
      <w:r w:rsidR="006B2423" w:rsidRPr="003F7850">
        <w:rPr>
          <w:lang w:val="en-GB"/>
        </w:rPr>
        <w:t>8, 9, 10</w:t>
      </w:r>
      <w:r w:rsidRPr="003F7850">
        <w:rPr>
          <w:lang w:val="en-GB"/>
        </w:rPr>
        <w:t>] can be easily found.</w:t>
      </w:r>
    </w:p>
    <w:p w14:paraId="7CBBF3E6" w14:textId="6673ECFC" w:rsidR="002314F6" w:rsidRPr="003F7850" w:rsidRDefault="005A1555" w:rsidP="002314F6">
      <w:pPr>
        <w:rPr>
          <w:lang w:val="en-GB"/>
        </w:rPr>
      </w:pPr>
      <w:r w:rsidRPr="003F7850">
        <w:rPr>
          <w:lang w:val="en-GB"/>
        </w:rPr>
        <w:t xml:space="preserve">The ship operational aspects have been </w:t>
      </w:r>
      <w:proofErr w:type="gramStart"/>
      <w:r w:rsidRPr="003F7850">
        <w:rPr>
          <w:lang w:val="en-GB"/>
        </w:rPr>
        <w:t>taken into account</w:t>
      </w:r>
      <w:proofErr w:type="gramEnd"/>
      <w:r w:rsidRPr="003F7850">
        <w:rPr>
          <w:lang w:val="en-GB"/>
        </w:rPr>
        <w:t xml:space="preserve"> in the definition of </w:t>
      </w:r>
      <w:proofErr w:type="spellStart"/>
      <w:r w:rsidRPr="003F7850">
        <w:rPr>
          <w:lang w:val="en-GB"/>
        </w:rPr>
        <w:t>SGISc</w:t>
      </w:r>
      <w:proofErr w:type="spellEnd"/>
      <w:r w:rsidRPr="003F7850">
        <w:rPr>
          <w:lang w:val="en-GB"/>
        </w:rPr>
        <w:t>. This represent another innovation compared to the first-generation criteria, i.e., the Intact Stability code (IS code) [</w:t>
      </w:r>
      <w:r w:rsidR="006B2423" w:rsidRPr="003F7850">
        <w:rPr>
          <w:lang w:val="en-GB"/>
        </w:rPr>
        <w:t>11</w:t>
      </w:r>
      <w:r w:rsidRPr="003F7850">
        <w:rPr>
          <w:lang w:val="en-GB"/>
        </w:rPr>
        <w:t xml:space="preserve">]. The new criteria introduce the so-called Operational Measures (OM), made up of Operational Limitation (OL) and Operational Guidance (OG). This has been necessary because it was recognized that to ensure safer ship performance it is necessary </w:t>
      </w:r>
      <w:proofErr w:type="gramStart"/>
      <w:r w:rsidRPr="003F7850">
        <w:rPr>
          <w:lang w:val="en-GB"/>
        </w:rPr>
        <w:t>take into account</w:t>
      </w:r>
      <w:proofErr w:type="gramEnd"/>
      <w:r w:rsidRPr="003F7850">
        <w:rPr>
          <w:lang w:val="en-GB"/>
        </w:rPr>
        <w:t xml:space="preserve"> also operational aspect</w:t>
      </w:r>
      <w:r w:rsidR="004F0DF1" w:rsidRPr="003F7850">
        <w:rPr>
          <w:lang w:val="en-GB"/>
        </w:rPr>
        <w:t> </w:t>
      </w:r>
      <w:r w:rsidRPr="003F7850">
        <w:rPr>
          <w:lang w:val="en-GB"/>
        </w:rPr>
        <w:t>[</w:t>
      </w:r>
      <w:r w:rsidR="00AC7FCC" w:rsidRPr="003F7850">
        <w:rPr>
          <w:lang w:val="en-GB"/>
        </w:rPr>
        <w:t>1</w:t>
      </w:r>
      <w:r w:rsidR="006B2423" w:rsidRPr="003F7850">
        <w:rPr>
          <w:lang w:val="en-GB"/>
        </w:rPr>
        <w:t>2</w:t>
      </w:r>
      <w:r w:rsidR="00AC7FCC" w:rsidRPr="003F7850">
        <w:rPr>
          <w:lang w:val="en-GB"/>
        </w:rPr>
        <w:t>, 1</w:t>
      </w:r>
      <w:r w:rsidR="006B2423" w:rsidRPr="003F7850">
        <w:rPr>
          <w:lang w:val="en-GB"/>
        </w:rPr>
        <w:t>3</w:t>
      </w:r>
      <w:r w:rsidRPr="003F7850">
        <w:rPr>
          <w:lang w:val="en-GB"/>
        </w:rPr>
        <w:t>]. The operational measure can be considered as a complementary tool to fully ally address the safety performance of a vessel. It is worth to highlight that it cannot be considered sufficiently safe a loading condition requiring an intensive application of OMs.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tblGrid>
      <w:tr w:rsidR="002314F6" w:rsidRPr="003F7850" w14:paraId="3EABCB8C" w14:textId="77777777" w:rsidTr="00E31131">
        <w:tc>
          <w:tcPr>
            <w:tcW w:w="7021" w:type="dxa"/>
          </w:tcPr>
          <w:p w14:paraId="3334BD65" w14:textId="77777777" w:rsidR="002314F6" w:rsidRPr="003F7850" w:rsidRDefault="002314F6" w:rsidP="002314F6">
            <w:pPr>
              <w:pStyle w:val="NoindentNormal"/>
              <w:spacing w:before="240"/>
              <w:jc w:val="center"/>
              <w:rPr>
                <w:lang w:val="en-GB"/>
              </w:rPr>
            </w:pPr>
            <w:r w:rsidRPr="003F7850">
              <w:rPr>
                <w:noProof/>
                <w:lang w:val="en-GB"/>
              </w:rPr>
              <w:drawing>
                <wp:inline distT="0" distB="0" distL="0" distR="0" wp14:anchorId="3FF622FD" wp14:editId="484BA94D">
                  <wp:extent cx="3600000" cy="221850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3" r="717"/>
                          <a:stretch/>
                        </pic:blipFill>
                        <pic:spPr bwMode="auto">
                          <a:xfrm>
                            <a:off x="0" y="0"/>
                            <a:ext cx="3600000" cy="2218507"/>
                          </a:xfrm>
                          <a:prstGeom prst="rect">
                            <a:avLst/>
                          </a:prstGeom>
                          <a:noFill/>
                          <a:ln>
                            <a:noFill/>
                          </a:ln>
                          <a:extLst>
                            <a:ext uri="{53640926-AAD7-44D8-BBD7-CCE9431645EC}">
                              <a14:shadowObscured xmlns:a14="http://schemas.microsoft.com/office/drawing/2010/main"/>
                            </a:ext>
                          </a:extLst>
                        </pic:spPr>
                      </pic:pic>
                    </a:graphicData>
                  </a:graphic>
                </wp:inline>
              </w:drawing>
            </w:r>
          </w:p>
          <w:p w14:paraId="095293A0" w14:textId="5A2F7955" w:rsidR="002314F6" w:rsidRPr="003F7850" w:rsidRDefault="002314F6" w:rsidP="002314F6">
            <w:pPr>
              <w:pStyle w:val="CaptionShort"/>
              <w:rPr>
                <w:lang w:val="en-GB"/>
              </w:rPr>
            </w:pPr>
            <w:r w:rsidRPr="003F7850">
              <w:rPr>
                <w:b/>
                <w:lang w:val="en-GB"/>
              </w:rPr>
              <w:t>Figure 1.</w:t>
            </w:r>
            <w:r w:rsidRPr="003F7850">
              <w:rPr>
                <w:lang w:val="en-GB"/>
              </w:rPr>
              <w:t xml:space="preserve"> </w:t>
            </w:r>
            <w:r w:rsidR="00E31131" w:rsidRPr="003F7850">
              <w:rPr>
                <w:lang w:val="en-GB"/>
              </w:rPr>
              <w:t xml:space="preserve">Graphical representation </w:t>
            </w:r>
            <w:r w:rsidR="00E91EA2" w:rsidRPr="003F7850">
              <w:rPr>
                <w:lang w:val="en-GB"/>
              </w:rPr>
              <w:t>of the Multi-Layered approach</w:t>
            </w:r>
            <w:r w:rsidRPr="003F7850">
              <w:rPr>
                <w:lang w:val="en-GB"/>
              </w:rPr>
              <w:t>.</w:t>
            </w:r>
          </w:p>
          <w:p w14:paraId="2BDC54BE" w14:textId="77777777" w:rsidR="002314F6" w:rsidRPr="003F7850" w:rsidRDefault="002314F6" w:rsidP="005A1555">
            <w:pPr>
              <w:rPr>
                <w:lang w:val="en-GB"/>
              </w:rPr>
            </w:pPr>
          </w:p>
        </w:tc>
      </w:tr>
    </w:tbl>
    <w:p w14:paraId="31269589" w14:textId="1133410B" w:rsidR="00AD163B" w:rsidRPr="003F7850" w:rsidRDefault="00AD163B" w:rsidP="00AD163B">
      <w:pPr>
        <w:pStyle w:val="Titolo3"/>
        <w:rPr>
          <w:lang w:val="en-GB"/>
        </w:rPr>
      </w:pPr>
      <w:r w:rsidRPr="003F7850">
        <w:rPr>
          <w:lang w:val="en-GB"/>
        </w:rPr>
        <w:t>Operational Limitations</w:t>
      </w:r>
    </w:p>
    <w:p w14:paraId="32DE9BEC" w14:textId="77777777" w:rsidR="00FE4E85" w:rsidRPr="003F7850" w:rsidRDefault="00FE4E85" w:rsidP="00F90100">
      <w:pPr>
        <w:rPr>
          <w:lang w:val="en-GB"/>
        </w:rPr>
      </w:pPr>
      <w:r w:rsidRPr="003F7850">
        <w:rPr>
          <w:lang w:val="en-GB"/>
        </w:rPr>
        <w:t>The OL can be described as restrictions to the navigation in terms of geographical area or allowed sea state. In fact, OL are subdivided in two different categories:</w:t>
      </w:r>
    </w:p>
    <w:p w14:paraId="131E5A88" w14:textId="2075B65D" w:rsidR="00FE4E85" w:rsidRPr="003F7850" w:rsidRDefault="00FE4E85" w:rsidP="00FE4E85">
      <w:pPr>
        <w:pStyle w:val="Paragrafoelenco"/>
        <w:numPr>
          <w:ilvl w:val="0"/>
          <w:numId w:val="13"/>
        </w:numPr>
        <w:rPr>
          <w:lang w:val="en-GB"/>
        </w:rPr>
      </w:pPr>
      <w:r w:rsidRPr="003F7850">
        <w:rPr>
          <w:lang w:val="en-GB"/>
        </w:rPr>
        <w:t>OL related to geographical area or routes and season;</w:t>
      </w:r>
    </w:p>
    <w:p w14:paraId="5DB5DE44" w14:textId="560F1602" w:rsidR="00FE4E85" w:rsidRPr="003F7850" w:rsidRDefault="00FE4E85" w:rsidP="00FE4E85">
      <w:pPr>
        <w:pStyle w:val="Paragrafoelenco"/>
        <w:numPr>
          <w:ilvl w:val="0"/>
          <w:numId w:val="13"/>
        </w:numPr>
        <w:rPr>
          <w:lang w:val="en-GB"/>
        </w:rPr>
      </w:pPr>
      <w:r w:rsidRPr="003F7850">
        <w:rPr>
          <w:lang w:val="en-GB"/>
        </w:rPr>
        <w:t>OL related to maximum significant wave height.</w:t>
      </w:r>
    </w:p>
    <w:p w14:paraId="5625D905" w14:textId="7188F5D7" w:rsidR="00FE4E85" w:rsidRPr="003F7850" w:rsidRDefault="00FE4E85" w:rsidP="00FE4E85">
      <w:pPr>
        <w:rPr>
          <w:lang w:val="en-GB"/>
        </w:rPr>
      </w:pPr>
      <w:r w:rsidRPr="003F7850">
        <w:rPr>
          <w:lang w:val="en-GB"/>
        </w:rPr>
        <w:t>The first restriction identif</w:t>
      </w:r>
      <w:r w:rsidR="004F0DF1" w:rsidRPr="003F7850">
        <w:rPr>
          <w:lang w:val="en-GB"/>
        </w:rPr>
        <w:t>ies</w:t>
      </w:r>
      <w:r w:rsidRPr="003F7850">
        <w:rPr>
          <w:lang w:val="en-GB"/>
        </w:rPr>
        <w:t xml:space="preserve"> a specific operational profile limited in terms of geographical area or route and seasons which is deemed safe. Outside this boundary the vessel safety cannot be ensured. The second </w:t>
      </w:r>
      <w:r w:rsidRPr="003F7850">
        <w:rPr>
          <w:lang w:val="en-GB"/>
        </w:rPr>
        <w:lastRenderedPageBreak/>
        <w:t xml:space="preserve">restriction set an upper limit to the sea state in which the vessel may sail in terms of significant wave height. </w:t>
      </w:r>
    </w:p>
    <w:p w14:paraId="05036B96" w14:textId="3518A466" w:rsidR="00FE4E85" w:rsidRPr="003F7850" w:rsidRDefault="00FE4E85" w:rsidP="00FE4E85">
      <w:pPr>
        <w:rPr>
          <w:lang w:val="en-GB"/>
        </w:rPr>
      </w:pPr>
      <w:r w:rsidRPr="003F7850">
        <w:rPr>
          <w:lang w:val="en-GB"/>
        </w:rPr>
        <w:t xml:space="preserve">An unrestricted assessment considers the wave scatter diagram of the North Atlantic Ocean. Thanks to the modularity of the </w:t>
      </w:r>
      <w:proofErr w:type="spellStart"/>
      <w:r w:rsidRPr="003F7850">
        <w:rPr>
          <w:lang w:val="en-GB"/>
        </w:rPr>
        <w:t>SGISc</w:t>
      </w:r>
      <w:proofErr w:type="spellEnd"/>
      <w:r w:rsidRPr="003F7850">
        <w:rPr>
          <w:lang w:val="en-GB"/>
        </w:rPr>
        <w:t xml:space="preserve"> structure, the limitations above can be evaluated by a modification of the wave scatter diagram, which becomes a </w:t>
      </w:r>
      <w:r w:rsidRPr="003F7850">
        <w:rPr>
          <w:i/>
          <w:iCs/>
          <w:lang w:val="en-GB"/>
        </w:rPr>
        <w:t>limited wave scatter diagram</w:t>
      </w:r>
      <w:r w:rsidRPr="003F7850">
        <w:rPr>
          <w:lang w:val="en-GB"/>
        </w:rPr>
        <w:t>. Many applications and studies on the OL can be found in literature</w:t>
      </w:r>
      <w:r w:rsidR="004F0DF1" w:rsidRPr="003F7850">
        <w:rPr>
          <w:lang w:val="en-GB"/>
        </w:rPr>
        <w:t> </w:t>
      </w:r>
      <w:r w:rsidRPr="003F7850">
        <w:rPr>
          <w:lang w:val="en-GB"/>
        </w:rPr>
        <w:t>[</w:t>
      </w:r>
      <w:r w:rsidR="00B17D77" w:rsidRPr="003F7850">
        <w:rPr>
          <w:lang w:val="en-GB"/>
        </w:rPr>
        <w:t>1</w:t>
      </w:r>
      <w:r w:rsidR="006B2423" w:rsidRPr="003F7850">
        <w:rPr>
          <w:lang w:val="en-GB"/>
        </w:rPr>
        <w:t>4</w:t>
      </w:r>
      <w:r w:rsidR="00C002F2" w:rsidRPr="003F7850">
        <w:rPr>
          <w:lang w:val="en-GB"/>
        </w:rPr>
        <w:t xml:space="preserve">, </w:t>
      </w:r>
      <w:r w:rsidR="00AC7FCC" w:rsidRPr="003F7850">
        <w:rPr>
          <w:lang w:val="en-GB"/>
        </w:rPr>
        <w:t>1</w:t>
      </w:r>
      <w:r w:rsidR="006B2423" w:rsidRPr="003F7850">
        <w:rPr>
          <w:lang w:val="en-GB"/>
        </w:rPr>
        <w:t>5</w:t>
      </w:r>
      <w:r w:rsidRPr="003F7850">
        <w:rPr>
          <w:lang w:val="en-GB"/>
        </w:rPr>
        <w:t>].</w:t>
      </w:r>
    </w:p>
    <w:p w14:paraId="159D7A57" w14:textId="34613922" w:rsidR="00FE4E85" w:rsidRPr="003F7850" w:rsidRDefault="00FE4E85" w:rsidP="00FE4E85">
      <w:pPr>
        <w:rPr>
          <w:lang w:val="en-GB"/>
        </w:rPr>
      </w:pPr>
      <w:proofErr w:type="gramStart"/>
      <w:r w:rsidRPr="003F7850">
        <w:rPr>
          <w:lang w:val="en-GB"/>
        </w:rPr>
        <w:t>As a consequence of</w:t>
      </w:r>
      <w:proofErr w:type="gramEnd"/>
      <w:r w:rsidRPr="003F7850">
        <w:rPr>
          <w:lang w:val="en-GB"/>
        </w:rPr>
        <w:t xml:space="preserve"> their structure, OL can be considered as an external tool acting on the environmental input data of the </w:t>
      </w:r>
      <w:proofErr w:type="spellStart"/>
      <w:r w:rsidRPr="003F7850">
        <w:rPr>
          <w:lang w:val="en-GB"/>
        </w:rPr>
        <w:t>SGISc</w:t>
      </w:r>
      <w:proofErr w:type="spellEnd"/>
      <w:r w:rsidRPr="003F7850">
        <w:rPr>
          <w:lang w:val="en-GB"/>
        </w:rPr>
        <w:t xml:space="preserve"> analysis. OL do not depend on the ship geometrical characteristics or the considered loading condition.</w:t>
      </w:r>
    </w:p>
    <w:p w14:paraId="10D9AF83" w14:textId="4613588A" w:rsidR="006F5DF8" w:rsidRPr="003F7850" w:rsidRDefault="006F5DF8" w:rsidP="006F5DF8">
      <w:pPr>
        <w:pStyle w:val="Titolo3"/>
        <w:rPr>
          <w:lang w:val="en-GB"/>
        </w:rPr>
      </w:pPr>
      <w:r w:rsidRPr="003F7850">
        <w:rPr>
          <w:lang w:val="en-GB"/>
        </w:rPr>
        <w:t>Operational Guidance</w:t>
      </w:r>
    </w:p>
    <w:p w14:paraId="1BEB60D5" w14:textId="104857BD" w:rsidR="006F5DF8" w:rsidRPr="003F7850" w:rsidRDefault="006F5DF8" w:rsidP="00F90100">
      <w:pPr>
        <w:rPr>
          <w:lang w:val="en-GB"/>
        </w:rPr>
      </w:pPr>
      <w:r w:rsidRPr="003F7850">
        <w:rPr>
          <w:lang w:val="en-GB"/>
        </w:rPr>
        <w:t xml:space="preserve">OG are the second category of operational measures. OG directly tackle the operative ship profile and they provide a set of information to the master about a safe handling of the vessel in the most likely environmental conditions. Their scope is to reduce the probability that a failure occurs by operative action such as reduction of speed or changing in the wave encounter heading for certain sea states. The OG </w:t>
      </w:r>
      <w:proofErr w:type="gramStart"/>
      <w:r w:rsidRPr="003F7850">
        <w:rPr>
          <w:lang w:val="en-GB"/>
        </w:rPr>
        <w:t>have to</w:t>
      </w:r>
      <w:proofErr w:type="gramEnd"/>
      <w:r w:rsidRPr="003F7850">
        <w:rPr>
          <w:lang w:val="en-GB"/>
        </w:rPr>
        <w:t xml:space="preserve"> consider all most probable situations (i.e., the combination of ship speed, heading, wave period and significant height) that might be encountered in the vessel voyages. Therefore, the </w:t>
      </w:r>
      <w:r w:rsidR="00892099" w:rsidRPr="003F7850">
        <w:rPr>
          <w:lang w:val="en-GB"/>
        </w:rPr>
        <w:t>guidance</w:t>
      </w:r>
      <w:r w:rsidRPr="003F7850">
        <w:rPr>
          <w:lang w:val="en-GB"/>
        </w:rPr>
        <w:t xml:space="preserve"> </w:t>
      </w:r>
      <w:r w:rsidR="00892099" w:rsidRPr="003F7850">
        <w:rPr>
          <w:lang w:val="en-GB"/>
        </w:rPr>
        <w:t>is</w:t>
      </w:r>
      <w:r w:rsidRPr="003F7850">
        <w:rPr>
          <w:lang w:val="en-GB"/>
        </w:rPr>
        <w:t xml:space="preserve"> effective if detailed weather forecast</w:t>
      </w:r>
      <w:r w:rsidR="00CD1FA1" w:rsidRPr="003F7850">
        <w:rPr>
          <w:lang w:val="en-GB"/>
        </w:rPr>
        <w:t>s</w:t>
      </w:r>
      <w:r w:rsidRPr="003F7850">
        <w:rPr>
          <w:lang w:val="en-GB"/>
        </w:rPr>
        <w:t xml:space="preserve"> are available to the master.</w:t>
      </w:r>
    </w:p>
    <w:p w14:paraId="6F388092" w14:textId="533BC91C" w:rsidR="006F5DF8" w:rsidRPr="003F7850" w:rsidRDefault="006F5DF8" w:rsidP="006F5DF8">
      <w:pPr>
        <w:rPr>
          <w:lang w:val="en-GB"/>
        </w:rPr>
      </w:pPr>
      <w:r w:rsidRPr="003F7850">
        <w:rPr>
          <w:lang w:val="en-GB"/>
        </w:rPr>
        <w:t>OG can be deemed as an independent tool able to point out which situations should be avoided to ensure a sufficient safety level in terms of stability in a seaway condition. Three typologies of guidance have been defined:</w:t>
      </w:r>
    </w:p>
    <w:p w14:paraId="379F265E" w14:textId="409963F1" w:rsidR="006F5DF8" w:rsidRPr="003F7850" w:rsidRDefault="006F5DF8" w:rsidP="006F5DF8">
      <w:pPr>
        <w:pStyle w:val="Paragrafoelenco"/>
        <w:numPr>
          <w:ilvl w:val="0"/>
          <w:numId w:val="14"/>
        </w:numPr>
        <w:rPr>
          <w:lang w:val="en-GB"/>
        </w:rPr>
      </w:pPr>
      <w:r w:rsidRPr="003F7850">
        <w:rPr>
          <w:lang w:val="en-GB"/>
        </w:rPr>
        <w:t>Probabilistic operational guidance;</w:t>
      </w:r>
    </w:p>
    <w:p w14:paraId="579BEC7A" w14:textId="237580DE" w:rsidR="006F5DF8" w:rsidRPr="003F7850" w:rsidRDefault="006F5DF8" w:rsidP="006F5DF8">
      <w:pPr>
        <w:pStyle w:val="Paragrafoelenco"/>
        <w:numPr>
          <w:ilvl w:val="0"/>
          <w:numId w:val="14"/>
        </w:numPr>
        <w:rPr>
          <w:lang w:val="en-GB"/>
        </w:rPr>
      </w:pPr>
      <w:r w:rsidRPr="003F7850">
        <w:rPr>
          <w:lang w:val="en-GB"/>
        </w:rPr>
        <w:t>Deterministic operational guidance;</w:t>
      </w:r>
    </w:p>
    <w:p w14:paraId="6DDD7F2A" w14:textId="438553E1" w:rsidR="006F5DF8" w:rsidRPr="003F7850" w:rsidRDefault="002314F6" w:rsidP="006F5DF8">
      <w:pPr>
        <w:pStyle w:val="Paragrafoelenco"/>
        <w:numPr>
          <w:ilvl w:val="0"/>
          <w:numId w:val="14"/>
        </w:numPr>
        <w:rPr>
          <w:lang w:val="en-GB"/>
        </w:rPr>
      </w:pPr>
      <w:r w:rsidRPr="003F7850">
        <w:rPr>
          <w:lang w:val="en-GB"/>
        </w:rPr>
        <w:t>Simplified operational guidance.</w:t>
      </w:r>
    </w:p>
    <w:p w14:paraId="466D8507" w14:textId="5AE0EEE7" w:rsidR="00B05D6E" w:rsidRPr="003F7850" w:rsidRDefault="002314F6" w:rsidP="00B026C4">
      <w:pPr>
        <w:rPr>
          <w:lang w:val="en-GB"/>
        </w:rPr>
      </w:pPr>
      <w:r w:rsidRPr="003F7850">
        <w:rPr>
          <w:lang w:val="en-GB"/>
        </w:rPr>
        <w:t xml:space="preserve">The first two typologies rely on the same numerical prediction tool used in the DSA and their approaches differ in terms of the post-processing methodology. The simplified typology relies on the similar methodology adopted in the vulnerability levels, nevertheless minor adjustments are required to </w:t>
      </w:r>
      <w:proofErr w:type="gramStart"/>
      <w:r w:rsidRPr="003F7850">
        <w:rPr>
          <w:lang w:val="en-GB"/>
        </w:rPr>
        <w:t>take into account</w:t>
      </w:r>
      <w:proofErr w:type="gramEnd"/>
      <w:r w:rsidRPr="003F7850">
        <w:rPr>
          <w:lang w:val="en-GB"/>
        </w:rPr>
        <w:t xml:space="preserve"> the ship speed and heading. The </w:t>
      </w:r>
      <w:proofErr w:type="spellStart"/>
      <w:r w:rsidRPr="003F7850">
        <w:rPr>
          <w:lang w:val="en-GB"/>
        </w:rPr>
        <w:t>SGISc</w:t>
      </w:r>
      <w:proofErr w:type="spellEnd"/>
      <w:r w:rsidRPr="003F7850">
        <w:rPr>
          <w:lang w:val="en-GB"/>
        </w:rPr>
        <w:t xml:space="preserve"> allow the designer to develop a methodology to carry out simplified OG different from the suggested one. It is important that a superior level of safety compared to </w:t>
      </w:r>
      <w:r w:rsidRPr="003F7850">
        <w:rPr>
          <w:i/>
          <w:iCs/>
          <w:lang w:val="en-GB"/>
        </w:rPr>
        <w:t>design assessments</w:t>
      </w:r>
      <w:r w:rsidRPr="003F7850">
        <w:rPr>
          <w:lang w:val="en-GB"/>
        </w:rPr>
        <w:t xml:space="preserve"> (i.e., vulnerability levels and DSA) must be ensured. An in-depth description on OG can be found in [</w:t>
      </w:r>
      <w:r w:rsidR="00AC7FCC" w:rsidRPr="003F7850">
        <w:rPr>
          <w:lang w:val="en-GB"/>
        </w:rPr>
        <w:t>1</w:t>
      </w:r>
      <w:r w:rsidR="006B2423" w:rsidRPr="003F7850">
        <w:rPr>
          <w:lang w:val="en-GB"/>
        </w:rPr>
        <w:t>4</w:t>
      </w:r>
      <w:r w:rsidRPr="003F7850">
        <w:rPr>
          <w:lang w:val="en-GB"/>
        </w:rPr>
        <w:t>].</w:t>
      </w:r>
    </w:p>
    <w:p w14:paraId="50BA4A8A" w14:textId="6B381442" w:rsidR="00D8283F" w:rsidRPr="003F7850" w:rsidRDefault="00D8283F" w:rsidP="00D8283F">
      <w:pPr>
        <w:pStyle w:val="Titolo2"/>
        <w:rPr>
          <w:lang w:val="en-GB"/>
        </w:rPr>
      </w:pPr>
      <w:r w:rsidRPr="003F7850">
        <w:rPr>
          <w:lang w:val="en-GB"/>
        </w:rPr>
        <w:lastRenderedPageBreak/>
        <w:t xml:space="preserve">Regulatory Context for </w:t>
      </w:r>
      <w:r w:rsidR="008D7C2A" w:rsidRPr="003F7850">
        <w:rPr>
          <w:lang w:val="en-GB"/>
        </w:rPr>
        <w:t>P</w:t>
      </w:r>
      <w:r w:rsidRPr="003F7850">
        <w:rPr>
          <w:lang w:val="en-GB"/>
        </w:rPr>
        <w:t xml:space="preserve">assenger </w:t>
      </w:r>
      <w:r w:rsidR="008D7C2A" w:rsidRPr="003F7850">
        <w:rPr>
          <w:lang w:val="en-GB"/>
        </w:rPr>
        <w:t>Ships</w:t>
      </w:r>
    </w:p>
    <w:p w14:paraId="3435B705" w14:textId="0239F69A" w:rsidR="000C1F4A" w:rsidRPr="003F7850" w:rsidRDefault="00AA0682" w:rsidP="000C1F4A">
      <w:pPr>
        <w:rPr>
          <w:lang w:val="en-GB"/>
        </w:rPr>
      </w:pPr>
      <w:r w:rsidRPr="003F7850">
        <w:rPr>
          <w:lang w:val="en-GB"/>
        </w:rPr>
        <w:t>Ro-Ro passenger ferr</w:t>
      </w:r>
      <w:r w:rsidR="00EB5583" w:rsidRPr="003F7850">
        <w:rPr>
          <w:lang w:val="en-GB"/>
        </w:rPr>
        <w:t>ies</w:t>
      </w:r>
      <w:r w:rsidRPr="003F7850">
        <w:rPr>
          <w:lang w:val="en-GB"/>
        </w:rPr>
        <w:t xml:space="preserve"> represent</w:t>
      </w:r>
      <w:r w:rsidR="00EB5583" w:rsidRPr="003F7850">
        <w:rPr>
          <w:lang w:val="en-GB"/>
        </w:rPr>
        <w:t xml:space="preserve"> an important vessel typology in the Italian </w:t>
      </w:r>
      <w:r w:rsidR="00A8051E" w:rsidRPr="003F7850">
        <w:rPr>
          <w:lang w:val="en-GB"/>
        </w:rPr>
        <w:t xml:space="preserve">maritime fleet. </w:t>
      </w:r>
      <w:r w:rsidR="002F6648" w:rsidRPr="003F7850">
        <w:rPr>
          <w:lang w:val="en-GB"/>
        </w:rPr>
        <w:t>Therefore</w:t>
      </w:r>
      <w:r w:rsidR="00BD4698" w:rsidRPr="003F7850">
        <w:rPr>
          <w:lang w:val="en-GB"/>
        </w:rPr>
        <w:t xml:space="preserve">, </w:t>
      </w:r>
      <w:r w:rsidR="001A71A1" w:rsidRPr="003F7850">
        <w:rPr>
          <w:lang w:val="en-GB"/>
        </w:rPr>
        <w:t xml:space="preserve">Italian institution put a </w:t>
      </w:r>
      <w:r w:rsidR="00323F06" w:rsidRPr="003F7850">
        <w:rPr>
          <w:lang w:val="en-GB"/>
        </w:rPr>
        <w:t xml:space="preserve">great </w:t>
      </w:r>
      <w:r w:rsidR="00B532E9" w:rsidRPr="003F7850">
        <w:rPr>
          <w:lang w:val="en-GB"/>
        </w:rPr>
        <w:t>effort</w:t>
      </w:r>
      <w:r w:rsidR="00BD4698" w:rsidRPr="003F7850">
        <w:rPr>
          <w:lang w:val="en-GB"/>
        </w:rPr>
        <w:t xml:space="preserve"> to ensure the highest </w:t>
      </w:r>
      <w:r w:rsidR="00B532E9" w:rsidRPr="003F7850">
        <w:rPr>
          <w:lang w:val="en-GB"/>
        </w:rPr>
        <w:t xml:space="preserve">level of safety </w:t>
      </w:r>
      <w:r w:rsidR="00C9123C" w:rsidRPr="003F7850">
        <w:rPr>
          <w:lang w:val="en-GB"/>
        </w:rPr>
        <w:t xml:space="preserve">for passenger </w:t>
      </w:r>
      <w:r w:rsidR="00323F06" w:rsidRPr="003F7850">
        <w:rPr>
          <w:lang w:val="en-GB"/>
        </w:rPr>
        <w:t>and goods carried on board</w:t>
      </w:r>
      <w:r w:rsidR="00C9123C" w:rsidRPr="003F7850">
        <w:rPr>
          <w:lang w:val="en-GB"/>
        </w:rPr>
        <w:t xml:space="preserve">. </w:t>
      </w:r>
      <w:r w:rsidR="00A162EB" w:rsidRPr="003F7850">
        <w:rPr>
          <w:lang w:val="en-GB"/>
        </w:rPr>
        <w:t xml:space="preserve">This can be </w:t>
      </w:r>
      <w:r w:rsidR="00DF61C6" w:rsidRPr="003F7850">
        <w:rPr>
          <w:lang w:val="en-GB"/>
        </w:rPr>
        <w:t xml:space="preserve">granted by </w:t>
      </w:r>
      <w:r w:rsidR="00F4732B" w:rsidRPr="003F7850">
        <w:rPr>
          <w:lang w:val="en-GB"/>
        </w:rPr>
        <w:t xml:space="preserve">the ratification of </w:t>
      </w:r>
      <w:r w:rsidR="00233F07" w:rsidRPr="003F7850">
        <w:rPr>
          <w:lang w:val="en-GB"/>
        </w:rPr>
        <w:t xml:space="preserve">international </w:t>
      </w:r>
      <w:r w:rsidR="00691548" w:rsidRPr="003F7850">
        <w:rPr>
          <w:lang w:val="en-GB"/>
        </w:rPr>
        <w:t xml:space="preserve">rules issued by IMO and </w:t>
      </w:r>
      <w:r w:rsidR="00FC36E2" w:rsidRPr="003F7850">
        <w:rPr>
          <w:lang w:val="en-GB"/>
        </w:rPr>
        <w:t>other international institution</w:t>
      </w:r>
      <w:r w:rsidR="00950137" w:rsidRPr="003F7850">
        <w:rPr>
          <w:lang w:val="en-GB"/>
        </w:rPr>
        <w:t xml:space="preserve">, but also the development of </w:t>
      </w:r>
      <w:r w:rsidR="00331515" w:rsidRPr="003F7850">
        <w:rPr>
          <w:lang w:val="en-GB"/>
        </w:rPr>
        <w:t xml:space="preserve">more stringent </w:t>
      </w:r>
      <w:r w:rsidR="00950137" w:rsidRPr="003F7850">
        <w:rPr>
          <w:lang w:val="en-GB"/>
        </w:rPr>
        <w:t xml:space="preserve">national rules </w:t>
      </w:r>
      <w:r w:rsidR="00331515" w:rsidRPr="003F7850">
        <w:rPr>
          <w:lang w:val="en-GB"/>
        </w:rPr>
        <w:t xml:space="preserve">aimed to </w:t>
      </w:r>
      <w:r w:rsidR="00034D1F" w:rsidRPr="003F7850">
        <w:rPr>
          <w:lang w:val="en-GB"/>
        </w:rPr>
        <w:t xml:space="preserve">reach the </w:t>
      </w:r>
      <w:r w:rsidR="00C83961" w:rsidRPr="003F7850">
        <w:rPr>
          <w:lang w:val="en-GB"/>
        </w:rPr>
        <w:t>highest safety standard.</w:t>
      </w:r>
      <w:r w:rsidR="00180D8D" w:rsidRPr="003F7850">
        <w:rPr>
          <w:lang w:val="en-GB"/>
        </w:rPr>
        <w:t xml:space="preserve"> </w:t>
      </w:r>
      <w:proofErr w:type="gramStart"/>
      <w:r w:rsidR="005E0532" w:rsidRPr="003F7850">
        <w:rPr>
          <w:lang w:val="en-GB"/>
        </w:rPr>
        <w:t>In light of</w:t>
      </w:r>
      <w:proofErr w:type="gramEnd"/>
      <w:r w:rsidR="005E0532" w:rsidRPr="003F7850">
        <w:rPr>
          <w:lang w:val="en-GB"/>
        </w:rPr>
        <w:t xml:space="preserve"> this</w:t>
      </w:r>
      <w:r w:rsidR="002F6648" w:rsidRPr="003F7850">
        <w:rPr>
          <w:lang w:val="en-GB"/>
        </w:rPr>
        <w:t xml:space="preserve">, </w:t>
      </w:r>
      <w:r w:rsidR="007C6338" w:rsidRPr="003F7850">
        <w:rPr>
          <w:lang w:val="en-GB"/>
        </w:rPr>
        <w:t>a review of the current international directive</w:t>
      </w:r>
      <w:r w:rsidR="004A221D" w:rsidRPr="003F7850">
        <w:rPr>
          <w:lang w:val="en-GB"/>
        </w:rPr>
        <w:t>s</w:t>
      </w:r>
      <w:r w:rsidR="007C6338" w:rsidRPr="003F7850">
        <w:rPr>
          <w:lang w:val="en-GB"/>
        </w:rPr>
        <w:t xml:space="preserve"> and national rules </w:t>
      </w:r>
      <w:r w:rsidR="002A25CD" w:rsidRPr="003F7850">
        <w:rPr>
          <w:lang w:val="en-GB"/>
        </w:rPr>
        <w:t xml:space="preserve">for passenger ship </w:t>
      </w:r>
      <w:r w:rsidR="007C6338" w:rsidRPr="003F7850">
        <w:rPr>
          <w:lang w:val="en-GB"/>
        </w:rPr>
        <w:t xml:space="preserve">has been carried out. </w:t>
      </w:r>
      <w:r w:rsidR="002A25CD" w:rsidRPr="003F7850">
        <w:rPr>
          <w:lang w:val="en-GB"/>
        </w:rPr>
        <w:t xml:space="preserve">With the aim to assess </w:t>
      </w:r>
      <w:r w:rsidR="00202359" w:rsidRPr="003F7850">
        <w:rPr>
          <w:lang w:val="en-GB"/>
        </w:rPr>
        <w:t xml:space="preserve">a representative application case, the definition </w:t>
      </w:r>
      <w:r w:rsidR="00A92A8A" w:rsidRPr="003F7850">
        <w:rPr>
          <w:lang w:val="en-GB"/>
        </w:rPr>
        <w:t xml:space="preserve">of the environmental condition and </w:t>
      </w:r>
      <w:r w:rsidR="007076F4" w:rsidRPr="003F7850">
        <w:rPr>
          <w:lang w:val="en-GB"/>
        </w:rPr>
        <w:t xml:space="preserve">related limitation </w:t>
      </w:r>
      <w:r w:rsidR="004A221D" w:rsidRPr="003F7850">
        <w:rPr>
          <w:lang w:val="en-GB"/>
        </w:rPr>
        <w:t>in the rule text have been considered</w:t>
      </w:r>
      <w:r w:rsidR="000C1F4A" w:rsidRPr="003F7850">
        <w:rPr>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tblGrid>
      <w:tr w:rsidR="000C1F4A" w:rsidRPr="003F7850" w14:paraId="4E67B64A" w14:textId="77777777" w:rsidTr="00185888">
        <w:tc>
          <w:tcPr>
            <w:tcW w:w="7021" w:type="dxa"/>
          </w:tcPr>
          <w:p w14:paraId="0BBB0A18" w14:textId="3F8255CD" w:rsidR="000C1F4A" w:rsidRPr="003F7850" w:rsidRDefault="004120F6" w:rsidP="004120F6">
            <w:pPr>
              <w:jc w:val="center"/>
              <w:rPr>
                <w:lang w:val="en-GB"/>
              </w:rPr>
            </w:pPr>
            <w:r w:rsidRPr="003F7850">
              <w:rPr>
                <w:lang w:val="en-GB"/>
              </w:rPr>
              <w:fldChar w:fldCharType="begin"/>
            </w:r>
            <w:r w:rsidR="00E23C3F" w:rsidRPr="003F7850">
              <w:rPr>
                <w:lang w:val="en-GB"/>
              </w:rPr>
              <w:instrText xml:space="preserve"> INCLUDEPICTURE "C:\\var\\folders\\nd\\c8frj83d3vl3f0szzrtnwjlc0000gp\\T\\com.microsoft.Word\\WebArchiveCopyPasteTempFiles\\page4image63767152" \* MERGEFORMAT </w:instrText>
            </w:r>
            <w:r w:rsidRPr="003F7850">
              <w:rPr>
                <w:lang w:val="en-GB"/>
              </w:rPr>
              <w:fldChar w:fldCharType="separate"/>
            </w:r>
            <w:r w:rsidRPr="003F7850">
              <w:rPr>
                <w:noProof/>
                <w:lang w:val="en-GB"/>
              </w:rPr>
              <w:drawing>
                <wp:inline distT="0" distB="0" distL="0" distR="0" wp14:anchorId="79EE2C34" wp14:editId="718AEFBD">
                  <wp:extent cx="2247116" cy="1764000"/>
                  <wp:effectExtent l="12700" t="12700" r="13970" b="14605"/>
                  <wp:docPr id="8" name="Immagine 8" descr="page4image6376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376715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63" t="7012" r="16002" b="31188"/>
                          <a:stretch/>
                        </pic:blipFill>
                        <pic:spPr bwMode="auto">
                          <a:xfrm>
                            <a:off x="0" y="0"/>
                            <a:ext cx="2247116" cy="1764000"/>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3F7850">
              <w:rPr>
                <w:lang w:val="en-GB"/>
              </w:rPr>
              <w:fldChar w:fldCharType="end"/>
            </w:r>
          </w:p>
          <w:p w14:paraId="217EF4F1" w14:textId="3B125ACF" w:rsidR="000C1F4A" w:rsidRPr="003F7850" w:rsidRDefault="000C1F4A" w:rsidP="00AD3C06">
            <w:pPr>
              <w:pStyle w:val="CaptionShort"/>
              <w:rPr>
                <w:lang w:val="en-GB"/>
              </w:rPr>
            </w:pPr>
            <w:r w:rsidRPr="003F7850">
              <w:rPr>
                <w:b/>
                <w:lang w:val="en-GB"/>
              </w:rPr>
              <w:t>Figure 2.</w:t>
            </w:r>
            <w:r w:rsidRPr="003F7850">
              <w:rPr>
                <w:lang w:val="en-GB"/>
              </w:rPr>
              <w:t xml:space="preserve"> </w:t>
            </w:r>
            <w:r w:rsidR="005D31E6" w:rsidRPr="003F7850">
              <w:rPr>
                <w:lang w:val="en-GB"/>
              </w:rPr>
              <w:t xml:space="preserve">Identified </w:t>
            </w:r>
            <w:r w:rsidR="00510947" w:rsidRPr="003F7850">
              <w:rPr>
                <w:lang w:val="en-GB"/>
              </w:rPr>
              <w:t xml:space="preserve">Italian </w:t>
            </w:r>
            <w:r w:rsidR="005D31E6" w:rsidRPr="003F7850">
              <w:rPr>
                <w:lang w:val="en-GB"/>
              </w:rPr>
              <w:t>sea areas in relation to the significant wave height</w:t>
            </w:r>
            <w:r w:rsidRPr="003F7850">
              <w:rPr>
                <w:lang w:val="en-GB"/>
              </w:rPr>
              <w:t xml:space="preserve"> </w:t>
            </w:r>
            <w:r w:rsidR="00B529AB" w:rsidRPr="003F7850">
              <w:rPr>
                <w:lang w:val="en-GB"/>
              </w:rPr>
              <w:t>[</w:t>
            </w:r>
            <w:r w:rsidR="006B2423" w:rsidRPr="003F7850">
              <w:rPr>
                <w:lang w:val="en-GB"/>
              </w:rPr>
              <w:t>16</w:t>
            </w:r>
            <w:r w:rsidR="00B529AB" w:rsidRPr="003F7850">
              <w:rPr>
                <w:lang w:val="en-GB"/>
              </w:rPr>
              <w:t>]</w:t>
            </w:r>
            <w:r w:rsidRPr="003F7850">
              <w:rPr>
                <w:lang w:val="en-GB"/>
              </w:rPr>
              <w:t>.</w:t>
            </w:r>
          </w:p>
          <w:p w14:paraId="1E877A33" w14:textId="77777777" w:rsidR="000C1F4A" w:rsidRPr="003F7850" w:rsidRDefault="000C1F4A" w:rsidP="00AD3C06">
            <w:pPr>
              <w:rPr>
                <w:lang w:val="en-GB"/>
              </w:rPr>
            </w:pPr>
          </w:p>
        </w:tc>
      </w:tr>
    </w:tbl>
    <w:p w14:paraId="46C10C0F" w14:textId="722E525D" w:rsidR="00A15E79" w:rsidRPr="003F7850" w:rsidRDefault="00180D8D" w:rsidP="00B30621">
      <w:pPr>
        <w:pStyle w:val="NoindentNormal"/>
        <w:ind w:firstLine="357"/>
        <w:rPr>
          <w:lang w:val="en-GB"/>
        </w:rPr>
      </w:pPr>
      <w:r w:rsidRPr="003F7850">
        <w:rPr>
          <w:lang w:val="en-GB"/>
        </w:rPr>
        <w:t xml:space="preserve">Outcomes point out that </w:t>
      </w:r>
      <w:r w:rsidR="006F1330" w:rsidRPr="003F7850">
        <w:rPr>
          <w:lang w:val="en-GB"/>
        </w:rPr>
        <w:t xml:space="preserve">existing </w:t>
      </w:r>
      <w:r w:rsidR="00947630" w:rsidRPr="003F7850">
        <w:rPr>
          <w:lang w:val="en-GB"/>
        </w:rPr>
        <w:t>national</w:t>
      </w:r>
      <w:r w:rsidRPr="003F7850">
        <w:rPr>
          <w:lang w:val="en-GB"/>
        </w:rPr>
        <w:t xml:space="preserve"> </w:t>
      </w:r>
      <w:r w:rsidR="00215487" w:rsidRPr="003F7850">
        <w:rPr>
          <w:lang w:val="en-GB"/>
        </w:rPr>
        <w:t>rule</w:t>
      </w:r>
      <w:r w:rsidR="006B2423" w:rsidRPr="003F7850">
        <w:rPr>
          <w:lang w:val="en-GB"/>
        </w:rPr>
        <w:t>s</w:t>
      </w:r>
      <w:r w:rsidR="00947630" w:rsidRPr="003F7850">
        <w:rPr>
          <w:lang w:val="en-GB"/>
        </w:rPr>
        <w:t xml:space="preserve"> </w:t>
      </w:r>
      <w:r w:rsidR="00544CCC" w:rsidRPr="003F7850">
        <w:rPr>
          <w:lang w:val="en-GB"/>
        </w:rPr>
        <w:t>identif</w:t>
      </w:r>
      <w:r w:rsidR="006F1330" w:rsidRPr="003F7850">
        <w:rPr>
          <w:lang w:val="en-GB"/>
        </w:rPr>
        <w:t>y</w:t>
      </w:r>
      <w:r w:rsidR="00544CCC" w:rsidRPr="003F7850">
        <w:rPr>
          <w:lang w:val="en-GB"/>
        </w:rPr>
        <w:t xml:space="preserve"> </w:t>
      </w:r>
      <w:r w:rsidR="00E57620" w:rsidRPr="003F7850">
        <w:rPr>
          <w:lang w:val="en-GB"/>
        </w:rPr>
        <w:t>the</w:t>
      </w:r>
      <w:r w:rsidR="00A60BC9" w:rsidRPr="003F7850">
        <w:rPr>
          <w:lang w:val="en-GB"/>
        </w:rPr>
        <w:t xml:space="preserve"> expected significant wave height</w:t>
      </w:r>
      <w:r w:rsidR="00E57620" w:rsidRPr="003F7850">
        <w:rPr>
          <w:lang w:val="en-GB"/>
        </w:rPr>
        <w:t xml:space="preserve"> along the Italian sea coast [</w:t>
      </w:r>
      <w:r w:rsidR="00AC7FCC" w:rsidRPr="003F7850">
        <w:rPr>
          <w:lang w:val="en-GB"/>
        </w:rPr>
        <w:t>1</w:t>
      </w:r>
      <w:r w:rsidR="006B2423" w:rsidRPr="003F7850">
        <w:rPr>
          <w:lang w:val="en-GB"/>
        </w:rPr>
        <w:t>6</w:t>
      </w:r>
      <w:r w:rsidR="00E57620" w:rsidRPr="003F7850">
        <w:rPr>
          <w:lang w:val="en-GB"/>
        </w:rPr>
        <w:t>].</w:t>
      </w:r>
      <w:r w:rsidR="009E445C" w:rsidRPr="003F7850">
        <w:rPr>
          <w:lang w:val="en-GB"/>
        </w:rPr>
        <w:t xml:space="preserve"> In Figure </w:t>
      </w:r>
      <w:r w:rsidR="00976913" w:rsidRPr="003F7850">
        <w:rPr>
          <w:lang w:val="en-GB"/>
        </w:rPr>
        <w:t xml:space="preserve">2, </w:t>
      </w:r>
      <w:r w:rsidR="006E4912" w:rsidRPr="003F7850">
        <w:rPr>
          <w:lang w:val="en-GB"/>
        </w:rPr>
        <w:t>the map of the identified wa</w:t>
      </w:r>
      <w:r w:rsidR="008E10E1" w:rsidRPr="003F7850">
        <w:rPr>
          <w:lang w:val="en-GB"/>
        </w:rPr>
        <w:t>ve</w:t>
      </w:r>
      <w:r w:rsidR="006E4912" w:rsidRPr="003F7850">
        <w:rPr>
          <w:lang w:val="en-GB"/>
        </w:rPr>
        <w:t xml:space="preserve"> height</w:t>
      </w:r>
      <w:r w:rsidR="004D0611" w:rsidRPr="003F7850">
        <w:rPr>
          <w:lang w:val="en-GB"/>
        </w:rPr>
        <w:t>s</w:t>
      </w:r>
      <w:r w:rsidR="006E4912" w:rsidRPr="003F7850">
        <w:rPr>
          <w:lang w:val="en-GB"/>
        </w:rPr>
        <w:t xml:space="preserve"> is reported.</w:t>
      </w:r>
      <w:r w:rsidR="00B15CC4" w:rsidRPr="003F7850">
        <w:rPr>
          <w:lang w:val="en-GB"/>
        </w:rPr>
        <w:t xml:space="preserve"> Considering the European l</w:t>
      </w:r>
      <w:r w:rsidR="00F502D8" w:rsidRPr="003F7850">
        <w:rPr>
          <w:lang w:val="en-GB"/>
        </w:rPr>
        <w:t xml:space="preserve">egislation, </w:t>
      </w:r>
      <w:r w:rsidR="00A67781" w:rsidRPr="003F7850">
        <w:rPr>
          <w:lang w:val="en-GB"/>
        </w:rPr>
        <w:t xml:space="preserve">the Directive </w:t>
      </w:r>
      <w:r w:rsidR="00817352" w:rsidRPr="003F7850">
        <w:rPr>
          <w:lang w:val="en-GB"/>
        </w:rPr>
        <w:t>2010/36 [1</w:t>
      </w:r>
      <w:r w:rsidR="006B2423" w:rsidRPr="003F7850">
        <w:rPr>
          <w:lang w:val="en-GB"/>
        </w:rPr>
        <w:t>7</w:t>
      </w:r>
      <w:r w:rsidR="00395585" w:rsidRPr="003F7850">
        <w:rPr>
          <w:lang w:val="en-GB"/>
        </w:rPr>
        <w:t>, 1</w:t>
      </w:r>
      <w:r w:rsidR="006B2423" w:rsidRPr="003F7850">
        <w:rPr>
          <w:lang w:val="en-GB"/>
        </w:rPr>
        <w:t>8</w:t>
      </w:r>
      <w:r w:rsidR="00817352" w:rsidRPr="003F7850">
        <w:rPr>
          <w:lang w:val="en-GB"/>
        </w:rPr>
        <w:t xml:space="preserve">] </w:t>
      </w:r>
      <w:r w:rsidR="00A67781" w:rsidRPr="003F7850">
        <w:rPr>
          <w:lang w:val="en-GB"/>
        </w:rPr>
        <w:t>defin</w:t>
      </w:r>
      <w:r w:rsidR="005A2524" w:rsidRPr="003F7850">
        <w:rPr>
          <w:lang w:val="en-GB"/>
        </w:rPr>
        <w:t>es</w:t>
      </w:r>
      <w:r w:rsidR="00A67781" w:rsidRPr="003F7850">
        <w:rPr>
          <w:lang w:val="en-GB"/>
        </w:rPr>
        <w:t xml:space="preserve"> four different classes for passenger ships </w:t>
      </w:r>
      <w:proofErr w:type="gramStart"/>
      <w:r w:rsidR="00A67781" w:rsidRPr="003F7850">
        <w:rPr>
          <w:lang w:val="en-GB"/>
        </w:rPr>
        <w:t>on the basis of</w:t>
      </w:r>
      <w:proofErr w:type="gramEnd"/>
      <w:r w:rsidR="00A67781" w:rsidRPr="003F7850">
        <w:rPr>
          <w:lang w:val="en-GB"/>
        </w:rPr>
        <w:t xml:space="preserve"> </w:t>
      </w:r>
      <w:r w:rsidR="00817352" w:rsidRPr="003F7850">
        <w:rPr>
          <w:lang w:val="en-GB"/>
        </w:rPr>
        <w:t>the operational profile</w:t>
      </w:r>
      <w:r w:rsidR="005A2524" w:rsidRPr="003F7850">
        <w:rPr>
          <w:lang w:val="en-GB"/>
        </w:rPr>
        <w:t xml:space="preserve">. </w:t>
      </w:r>
      <w:r w:rsidR="002E7BD0" w:rsidRPr="003F7850">
        <w:rPr>
          <w:lang w:val="en-GB"/>
        </w:rPr>
        <w:t>Each</w:t>
      </w:r>
      <w:r w:rsidR="00480874" w:rsidRPr="003F7850">
        <w:rPr>
          <w:lang w:val="en-GB"/>
        </w:rPr>
        <w:t xml:space="preserve"> </w:t>
      </w:r>
      <w:r w:rsidR="00683250" w:rsidRPr="003F7850">
        <w:rPr>
          <w:lang w:val="en-GB"/>
        </w:rPr>
        <w:t xml:space="preserve">class </w:t>
      </w:r>
      <w:r w:rsidR="002E7BD0" w:rsidRPr="003F7850">
        <w:rPr>
          <w:lang w:val="en-GB"/>
        </w:rPr>
        <w:t xml:space="preserve">identifies </w:t>
      </w:r>
      <w:r w:rsidR="00B637CB" w:rsidRPr="003F7850">
        <w:rPr>
          <w:lang w:val="en-GB"/>
        </w:rPr>
        <w:t>the sea areas where the vessel is engaged in considering</w:t>
      </w:r>
      <w:r w:rsidR="00683250" w:rsidRPr="003F7850">
        <w:rPr>
          <w:lang w:val="en-GB"/>
        </w:rPr>
        <w:t xml:space="preserve"> the distance from the </w:t>
      </w:r>
      <w:r w:rsidR="00A15E79" w:rsidRPr="003F7850">
        <w:rPr>
          <w:lang w:val="en-GB"/>
        </w:rPr>
        <w:t>coastline</w:t>
      </w:r>
      <w:r w:rsidR="00683250" w:rsidRPr="003F7850">
        <w:rPr>
          <w:lang w:val="en-GB"/>
        </w:rPr>
        <w:t xml:space="preserve"> </w:t>
      </w:r>
      <w:r w:rsidR="00073326" w:rsidRPr="003F7850">
        <w:rPr>
          <w:lang w:val="en-GB"/>
        </w:rPr>
        <w:t>and the probability to exceed a certain wave height threshold.</w:t>
      </w:r>
      <w:r w:rsidR="00732E82" w:rsidRPr="003F7850">
        <w:rPr>
          <w:lang w:val="en-GB"/>
        </w:rPr>
        <w:t xml:space="preserve"> </w:t>
      </w:r>
      <w:r w:rsidR="00A15E79" w:rsidRPr="003F7850">
        <w:rPr>
          <w:lang w:val="en-GB"/>
        </w:rPr>
        <w:t>In Table 1, the classes defined by the Directive have been summarized and the maximum expected wave height are reported.</w:t>
      </w:r>
    </w:p>
    <w:p w14:paraId="2C395235" w14:textId="77777777" w:rsidR="00A60E18" w:rsidRPr="003F7850" w:rsidRDefault="00A60E18" w:rsidP="00A60E18">
      <w:pPr>
        <w:pStyle w:val="CaptionLong"/>
        <w:jc w:val="center"/>
        <w:rPr>
          <w:lang w:val="en-GB"/>
        </w:rPr>
      </w:pPr>
      <w:r w:rsidRPr="003F7850">
        <w:rPr>
          <w:b/>
          <w:lang w:val="en-GB"/>
        </w:rPr>
        <w:t>Table 1.</w:t>
      </w:r>
      <w:r w:rsidRPr="003F7850">
        <w:rPr>
          <w:lang w:val="en-GB"/>
        </w:rPr>
        <w:t xml:space="preserve"> Main dimension of the considered Ro-Ro ferry.</w:t>
      </w:r>
    </w:p>
    <w:tbl>
      <w:tblPr>
        <w:tblW w:w="6435" w:type="dxa"/>
        <w:jc w:val="center"/>
        <w:tblLayout w:type="fixed"/>
        <w:tblLook w:val="00A0" w:firstRow="1" w:lastRow="0" w:firstColumn="1" w:lastColumn="0" w:noHBand="0" w:noVBand="0"/>
      </w:tblPr>
      <w:tblGrid>
        <w:gridCol w:w="992"/>
        <w:gridCol w:w="1701"/>
        <w:gridCol w:w="1701"/>
        <w:gridCol w:w="2041"/>
      </w:tblGrid>
      <w:tr w:rsidR="00B002CF" w:rsidRPr="003F7850" w14:paraId="6A134D8C" w14:textId="77777777" w:rsidTr="003F5074">
        <w:trPr>
          <w:trHeight w:val="268"/>
          <w:jc w:val="center"/>
        </w:trPr>
        <w:tc>
          <w:tcPr>
            <w:tcW w:w="992" w:type="dxa"/>
            <w:tcBorders>
              <w:top w:val="single" w:sz="4" w:space="0" w:color="auto"/>
              <w:bottom w:val="single" w:sz="4" w:space="0" w:color="auto"/>
            </w:tcBorders>
          </w:tcPr>
          <w:p w14:paraId="2D4E71D3" w14:textId="39785E7C" w:rsidR="00B002CF" w:rsidRPr="003F7850" w:rsidRDefault="00B002CF" w:rsidP="003F5074">
            <w:pPr>
              <w:jc w:val="center"/>
              <w:rPr>
                <w:b/>
                <w:bCs/>
                <w:sz w:val="16"/>
                <w:szCs w:val="16"/>
                <w:lang w:val="en-GB"/>
              </w:rPr>
            </w:pPr>
            <w:r w:rsidRPr="003F7850">
              <w:rPr>
                <w:b/>
                <w:bCs/>
                <w:sz w:val="16"/>
                <w:szCs w:val="16"/>
                <w:lang w:val="en-GB"/>
              </w:rPr>
              <w:t>Classes</w:t>
            </w:r>
          </w:p>
        </w:tc>
        <w:tc>
          <w:tcPr>
            <w:tcW w:w="1701" w:type="dxa"/>
            <w:tcBorders>
              <w:top w:val="single" w:sz="4" w:space="0" w:color="auto"/>
              <w:bottom w:val="single" w:sz="4" w:space="0" w:color="auto"/>
            </w:tcBorders>
          </w:tcPr>
          <w:p w14:paraId="08F37370" w14:textId="5D803F88" w:rsidR="00B002CF" w:rsidRPr="003F7850" w:rsidRDefault="00B002CF" w:rsidP="003F5074">
            <w:pPr>
              <w:jc w:val="center"/>
              <w:rPr>
                <w:b/>
                <w:bCs/>
                <w:sz w:val="16"/>
                <w:szCs w:val="16"/>
                <w:lang w:val="en-GB"/>
              </w:rPr>
            </w:pPr>
            <w:r w:rsidRPr="003F7850">
              <w:rPr>
                <w:b/>
                <w:bCs/>
                <w:sz w:val="16"/>
                <w:szCs w:val="16"/>
                <w:lang w:val="en-GB"/>
              </w:rPr>
              <w:t>Distance from</w:t>
            </w:r>
            <w:r w:rsidR="003F5074" w:rsidRPr="003F7850">
              <w:rPr>
                <w:b/>
                <w:bCs/>
                <w:sz w:val="16"/>
                <w:szCs w:val="16"/>
                <w:lang w:val="en-GB"/>
              </w:rPr>
              <w:t xml:space="preserve"> a place of refuge</w:t>
            </w:r>
          </w:p>
        </w:tc>
        <w:tc>
          <w:tcPr>
            <w:tcW w:w="1701" w:type="dxa"/>
            <w:tcBorders>
              <w:top w:val="single" w:sz="4" w:space="0" w:color="auto"/>
              <w:bottom w:val="single" w:sz="4" w:space="0" w:color="auto"/>
            </w:tcBorders>
          </w:tcPr>
          <w:p w14:paraId="13ED430D" w14:textId="734628DE" w:rsidR="00B002CF" w:rsidRPr="003F7850" w:rsidRDefault="003F5074" w:rsidP="004E0754">
            <w:pPr>
              <w:jc w:val="center"/>
              <w:rPr>
                <w:b/>
                <w:bCs/>
                <w:sz w:val="16"/>
                <w:szCs w:val="16"/>
                <w:lang w:val="en-GB"/>
              </w:rPr>
            </w:pPr>
            <w:r w:rsidRPr="003F7850">
              <w:rPr>
                <w:b/>
                <w:bCs/>
                <w:sz w:val="16"/>
                <w:szCs w:val="16"/>
                <w:lang w:val="en-GB"/>
              </w:rPr>
              <w:t>Distance from the coastline</w:t>
            </w:r>
          </w:p>
        </w:tc>
        <w:tc>
          <w:tcPr>
            <w:tcW w:w="2041" w:type="dxa"/>
            <w:tcBorders>
              <w:top w:val="single" w:sz="4" w:space="0" w:color="auto"/>
              <w:bottom w:val="single" w:sz="4" w:space="0" w:color="auto"/>
            </w:tcBorders>
          </w:tcPr>
          <w:p w14:paraId="357187E4" w14:textId="2F16ACBB" w:rsidR="00B002CF" w:rsidRPr="003F7850" w:rsidRDefault="00B002CF" w:rsidP="004E0754">
            <w:pPr>
              <w:jc w:val="center"/>
              <w:rPr>
                <w:b/>
                <w:bCs/>
                <w:sz w:val="16"/>
                <w:szCs w:val="16"/>
                <w:lang w:val="en-GB"/>
              </w:rPr>
            </w:pPr>
            <w:r w:rsidRPr="003F7850">
              <w:rPr>
                <w:b/>
                <w:bCs/>
                <w:sz w:val="16"/>
                <w:szCs w:val="16"/>
                <w:lang w:val="en-GB"/>
              </w:rPr>
              <w:t>Expected maximum significant wave height</w:t>
            </w:r>
          </w:p>
        </w:tc>
      </w:tr>
      <w:tr w:rsidR="00B002CF" w:rsidRPr="003F7850" w14:paraId="0B3A4E28" w14:textId="77777777" w:rsidTr="003F5074">
        <w:trPr>
          <w:trHeight w:val="268"/>
          <w:jc w:val="center"/>
        </w:trPr>
        <w:tc>
          <w:tcPr>
            <w:tcW w:w="992" w:type="dxa"/>
            <w:tcBorders>
              <w:top w:val="single" w:sz="4" w:space="0" w:color="auto"/>
            </w:tcBorders>
          </w:tcPr>
          <w:p w14:paraId="0192E861" w14:textId="64B1AD44" w:rsidR="00B002CF" w:rsidRPr="003F7850" w:rsidRDefault="00B002CF" w:rsidP="00F95A80">
            <w:pPr>
              <w:jc w:val="left"/>
              <w:rPr>
                <w:i/>
                <w:iCs/>
                <w:sz w:val="16"/>
                <w:szCs w:val="16"/>
                <w:lang w:val="en-GB"/>
              </w:rPr>
            </w:pPr>
            <w:r w:rsidRPr="003F7850">
              <w:rPr>
                <w:i/>
                <w:iCs/>
                <w:sz w:val="16"/>
                <w:szCs w:val="16"/>
                <w:lang w:val="en-GB"/>
              </w:rPr>
              <w:t>Class D</w:t>
            </w:r>
          </w:p>
        </w:tc>
        <w:tc>
          <w:tcPr>
            <w:tcW w:w="1701" w:type="dxa"/>
            <w:tcBorders>
              <w:top w:val="single" w:sz="4" w:space="0" w:color="auto"/>
            </w:tcBorders>
          </w:tcPr>
          <w:p w14:paraId="71CD9CC8" w14:textId="5463BCC3" w:rsidR="00B002CF" w:rsidRPr="003F7850" w:rsidRDefault="009B7EC1" w:rsidP="009B7EC1">
            <w:pPr>
              <w:jc w:val="center"/>
              <w:rPr>
                <w:sz w:val="16"/>
                <w:szCs w:val="16"/>
                <w:lang w:val="en-GB"/>
              </w:rPr>
            </w:pPr>
            <w:r w:rsidRPr="003F7850">
              <w:rPr>
                <w:sz w:val="16"/>
                <w:szCs w:val="16"/>
                <w:lang w:val="en-GB"/>
              </w:rPr>
              <w:t>≤ 6 nm</w:t>
            </w:r>
          </w:p>
        </w:tc>
        <w:tc>
          <w:tcPr>
            <w:tcW w:w="1701" w:type="dxa"/>
            <w:tcBorders>
              <w:top w:val="single" w:sz="4" w:space="0" w:color="auto"/>
            </w:tcBorders>
          </w:tcPr>
          <w:p w14:paraId="45734594" w14:textId="02033C60" w:rsidR="00B002CF" w:rsidRPr="003F7850" w:rsidRDefault="009B7EC1" w:rsidP="009B7EC1">
            <w:pPr>
              <w:jc w:val="center"/>
              <w:rPr>
                <w:sz w:val="16"/>
                <w:szCs w:val="16"/>
                <w:lang w:val="en-GB"/>
              </w:rPr>
            </w:pPr>
            <w:r w:rsidRPr="003F7850">
              <w:rPr>
                <w:sz w:val="16"/>
                <w:szCs w:val="16"/>
                <w:lang w:val="en-GB"/>
              </w:rPr>
              <w:t>≤ 3 nm</w:t>
            </w:r>
          </w:p>
        </w:tc>
        <w:tc>
          <w:tcPr>
            <w:tcW w:w="2041" w:type="dxa"/>
            <w:tcBorders>
              <w:top w:val="single" w:sz="4" w:space="0" w:color="auto"/>
            </w:tcBorders>
          </w:tcPr>
          <w:p w14:paraId="7BE96FA8" w14:textId="5555538E" w:rsidR="00B002CF" w:rsidRPr="003F7850" w:rsidRDefault="00B002CF" w:rsidP="004E0754">
            <w:pPr>
              <w:jc w:val="center"/>
              <w:rPr>
                <w:sz w:val="16"/>
                <w:szCs w:val="16"/>
                <w:lang w:val="en-GB"/>
              </w:rPr>
            </w:pPr>
            <w:r w:rsidRPr="003F7850">
              <w:rPr>
                <w:sz w:val="16"/>
                <w:szCs w:val="16"/>
                <w:lang w:val="en-GB"/>
              </w:rPr>
              <w:t>1.5 m</w:t>
            </w:r>
          </w:p>
        </w:tc>
      </w:tr>
      <w:tr w:rsidR="009B7EC1" w:rsidRPr="003F7850" w14:paraId="7D4D607F" w14:textId="77777777" w:rsidTr="003F5074">
        <w:trPr>
          <w:trHeight w:val="268"/>
          <w:jc w:val="center"/>
        </w:trPr>
        <w:tc>
          <w:tcPr>
            <w:tcW w:w="992" w:type="dxa"/>
          </w:tcPr>
          <w:p w14:paraId="2B912C2A" w14:textId="6EB3041D" w:rsidR="009B7EC1" w:rsidRPr="003F7850" w:rsidRDefault="009B7EC1" w:rsidP="009B7EC1">
            <w:pPr>
              <w:jc w:val="left"/>
              <w:rPr>
                <w:i/>
                <w:iCs/>
                <w:sz w:val="16"/>
                <w:szCs w:val="16"/>
                <w:lang w:val="en-GB"/>
              </w:rPr>
            </w:pPr>
            <w:r w:rsidRPr="003F7850">
              <w:rPr>
                <w:i/>
                <w:iCs/>
                <w:sz w:val="16"/>
                <w:szCs w:val="16"/>
                <w:lang w:val="en-GB"/>
              </w:rPr>
              <w:t>Class C</w:t>
            </w:r>
          </w:p>
        </w:tc>
        <w:tc>
          <w:tcPr>
            <w:tcW w:w="1701" w:type="dxa"/>
          </w:tcPr>
          <w:p w14:paraId="5EFB7D37" w14:textId="2A766AEB" w:rsidR="009B7EC1" w:rsidRPr="003F7850" w:rsidRDefault="009B7EC1" w:rsidP="009B7EC1">
            <w:pPr>
              <w:jc w:val="center"/>
              <w:rPr>
                <w:sz w:val="16"/>
                <w:szCs w:val="16"/>
                <w:lang w:val="en-GB"/>
              </w:rPr>
            </w:pPr>
            <w:r w:rsidRPr="003F7850">
              <w:rPr>
                <w:sz w:val="16"/>
                <w:szCs w:val="16"/>
                <w:lang w:val="en-GB"/>
              </w:rPr>
              <w:t xml:space="preserve">≤ </w:t>
            </w:r>
            <w:r w:rsidR="008F6C37" w:rsidRPr="003F7850">
              <w:rPr>
                <w:sz w:val="16"/>
                <w:szCs w:val="16"/>
                <w:lang w:val="en-GB"/>
              </w:rPr>
              <w:t>15</w:t>
            </w:r>
            <w:r w:rsidRPr="003F7850">
              <w:rPr>
                <w:sz w:val="16"/>
                <w:szCs w:val="16"/>
                <w:lang w:val="en-GB"/>
              </w:rPr>
              <w:t> nm</w:t>
            </w:r>
          </w:p>
        </w:tc>
        <w:tc>
          <w:tcPr>
            <w:tcW w:w="1701" w:type="dxa"/>
          </w:tcPr>
          <w:p w14:paraId="35D93289" w14:textId="724D29D6" w:rsidR="009B7EC1" w:rsidRPr="003F7850" w:rsidRDefault="009B7EC1" w:rsidP="009B7EC1">
            <w:pPr>
              <w:jc w:val="center"/>
              <w:rPr>
                <w:sz w:val="16"/>
                <w:szCs w:val="16"/>
                <w:lang w:val="en-GB"/>
              </w:rPr>
            </w:pPr>
            <w:r w:rsidRPr="003F7850">
              <w:rPr>
                <w:sz w:val="16"/>
                <w:szCs w:val="16"/>
                <w:lang w:val="en-GB"/>
              </w:rPr>
              <w:t xml:space="preserve">≤ </w:t>
            </w:r>
            <w:r w:rsidR="008F6C37" w:rsidRPr="003F7850">
              <w:rPr>
                <w:sz w:val="16"/>
                <w:szCs w:val="16"/>
                <w:lang w:val="en-GB"/>
              </w:rPr>
              <w:t>5</w:t>
            </w:r>
            <w:r w:rsidRPr="003F7850">
              <w:rPr>
                <w:sz w:val="16"/>
                <w:szCs w:val="16"/>
                <w:lang w:val="en-GB"/>
              </w:rPr>
              <w:t> nm</w:t>
            </w:r>
          </w:p>
        </w:tc>
        <w:tc>
          <w:tcPr>
            <w:tcW w:w="2041" w:type="dxa"/>
          </w:tcPr>
          <w:p w14:paraId="7B581807" w14:textId="1285E61A" w:rsidR="009B7EC1" w:rsidRPr="003F7850" w:rsidRDefault="009B7EC1" w:rsidP="009B7EC1">
            <w:pPr>
              <w:jc w:val="center"/>
              <w:rPr>
                <w:sz w:val="16"/>
                <w:szCs w:val="16"/>
                <w:lang w:val="en-GB"/>
              </w:rPr>
            </w:pPr>
            <w:r w:rsidRPr="003F7850">
              <w:rPr>
                <w:sz w:val="16"/>
                <w:szCs w:val="16"/>
                <w:lang w:val="en-GB"/>
              </w:rPr>
              <w:t>2.5 m</w:t>
            </w:r>
          </w:p>
        </w:tc>
      </w:tr>
      <w:tr w:rsidR="00B002CF" w:rsidRPr="003F7850" w14:paraId="56119850" w14:textId="77777777" w:rsidTr="00827809">
        <w:trPr>
          <w:trHeight w:val="268"/>
          <w:jc w:val="center"/>
        </w:trPr>
        <w:tc>
          <w:tcPr>
            <w:tcW w:w="992" w:type="dxa"/>
          </w:tcPr>
          <w:p w14:paraId="28CFE245" w14:textId="75F90EA0" w:rsidR="00B002CF" w:rsidRPr="003F7850" w:rsidRDefault="00B002CF" w:rsidP="00F95A80">
            <w:pPr>
              <w:jc w:val="left"/>
              <w:rPr>
                <w:i/>
                <w:iCs/>
                <w:sz w:val="16"/>
                <w:szCs w:val="16"/>
                <w:lang w:val="en-GB"/>
              </w:rPr>
            </w:pPr>
            <w:r w:rsidRPr="003F7850">
              <w:rPr>
                <w:i/>
                <w:iCs/>
                <w:sz w:val="16"/>
                <w:szCs w:val="16"/>
                <w:lang w:val="en-GB"/>
              </w:rPr>
              <w:t>Class B</w:t>
            </w:r>
          </w:p>
        </w:tc>
        <w:tc>
          <w:tcPr>
            <w:tcW w:w="1701" w:type="dxa"/>
          </w:tcPr>
          <w:p w14:paraId="4A28315B" w14:textId="617015D5" w:rsidR="00B002CF" w:rsidRPr="003F7850" w:rsidRDefault="008F6C37" w:rsidP="009B7EC1">
            <w:pPr>
              <w:jc w:val="center"/>
              <w:rPr>
                <w:sz w:val="16"/>
                <w:szCs w:val="16"/>
                <w:lang w:val="en-GB"/>
              </w:rPr>
            </w:pPr>
            <w:r w:rsidRPr="003F7850">
              <w:rPr>
                <w:sz w:val="16"/>
                <w:szCs w:val="16"/>
                <w:lang w:val="en-GB"/>
              </w:rPr>
              <w:t>≤ 20 nm</w:t>
            </w:r>
          </w:p>
        </w:tc>
        <w:tc>
          <w:tcPr>
            <w:tcW w:w="1701" w:type="dxa"/>
          </w:tcPr>
          <w:p w14:paraId="6C286F90" w14:textId="24026519" w:rsidR="00B002CF" w:rsidRPr="003F7850" w:rsidRDefault="008F6C37" w:rsidP="009B7EC1">
            <w:pPr>
              <w:jc w:val="center"/>
              <w:rPr>
                <w:sz w:val="16"/>
                <w:szCs w:val="16"/>
                <w:lang w:val="en-GB"/>
              </w:rPr>
            </w:pPr>
            <w:r w:rsidRPr="003F7850">
              <w:rPr>
                <w:sz w:val="16"/>
                <w:szCs w:val="16"/>
                <w:lang w:val="en-GB"/>
              </w:rPr>
              <w:t>-</w:t>
            </w:r>
          </w:p>
        </w:tc>
        <w:tc>
          <w:tcPr>
            <w:tcW w:w="2041" w:type="dxa"/>
          </w:tcPr>
          <w:p w14:paraId="02FA440F" w14:textId="2D8BEDA4" w:rsidR="00B002CF" w:rsidRPr="003F7850" w:rsidRDefault="00B002CF" w:rsidP="004E0754">
            <w:pPr>
              <w:jc w:val="center"/>
              <w:rPr>
                <w:sz w:val="16"/>
                <w:szCs w:val="16"/>
                <w:lang w:val="en-GB"/>
              </w:rPr>
            </w:pPr>
            <w:r w:rsidRPr="003F7850">
              <w:rPr>
                <w:sz w:val="16"/>
                <w:szCs w:val="16"/>
                <w:lang w:val="en-GB"/>
              </w:rPr>
              <w:t>unrestricted</w:t>
            </w:r>
          </w:p>
        </w:tc>
      </w:tr>
      <w:tr w:rsidR="008F6C37" w:rsidRPr="003F7850" w14:paraId="757029B3" w14:textId="77777777" w:rsidTr="00827809">
        <w:trPr>
          <w:trHeight w:val="268"/>
          <w:jc w:val="center"/>
        </w:trPr>
        <w:tc>
          <w:tcPr>
            <w:tcW w:w="992" w:type="dxa"/>
            <w:tcBorders>
              <w:bottom w:val="single" w:sz="4" w:space="0" w:color="auto"/>
            </w:tcBorders>
          </w:tcPr>
          <w:p w14:paraId="3CF6C089" w14:textId="665214E9" w:rsidR="008F6C37" w:rsidRPr="003F7850" w:rsidRDefault="008F6C37" w:rsidP="00F95A80">
            <w:pPr>
              <w:jc w:val="left"/>
              <w:rPr>
                <w:i/>
                <w:iCs/>
                <w:sz w:val="16"/>
                <w:szCs w:val="16"/>
                <w:lang w:val="en-GB"/>
              </w:rPr>
            </w:pPr>
            <w:r w:rsidRPr="003F7850">
              <w:rPr>
                <w:i/>
                <w:iCs/>
                <w:sz w:val="16"/>
                <w:szCs w:val="16"/>
                <w:lang w:val="en-GB"/>
              </w:rPr>
              <w:t>Class A</w:t>
            </w:r>
          </w:p>
        </w:tc>
        <w:tc>
          <w:tcPr>
            <w:tcW w:w="3402" w:type="dxa"/>
            <w:gridSpan w:val="2"/>
            <w:tcBorders>
              <w:bottom w:val="single" w:sz="4" w:space="0" w:color="auto"/>
            </w:tcBorders>
          </w:tcPr>
          <w:p w14:paraId="4F04EB66" w14:textId="5055FD1D" w:rsidR="008F6C37" w:rsidRPr="003F7850" w:rsidRDefault="00504562" w:rsidP="009B7EC1">
            <w:pPr>
              <w:jc w:val="center"/>
              <w:rPr>
                <w:sz w:val="16"/>
                <w:szCs w:val="16"/>
                <w:lang w:val="en-GB"/>
              </w:rPr>
            </w:pPr>
            <w:r w:rsidRPr="003F7850">
              <w:rPr>
                <w:sz w:val="16"/>
                <w:szCs w:val="16"/>
                <w:lang w:val="en-GB"/>
              </w:rPr>
              <w:t>unrestricted domestic voyage</w:t>
            </w:r>
            <w:r w:rsidR="00827809" w:rsidRPr="003F7850">
              <w:rPr>
                <w:sz w:val="16"/>
                <w:szCs w:val="16"/>
                <w:lang w:val="en-GB"/>
              </w:rPr>
              <w:t>*</w:t>
            </w:r>
          </w:p>
        </w:tc>
        <w:tc>
          <w:tcPr>
            <w:tcW w:w="2041" w:type="dxa"/>
            <w:tcBorders>
              <w:bottom w:val="single" w:sz="4" w:space="0" w:color="auto"/>
            </w:tcBorders>
          </w:tcPr>
          <w:p w14:paraId="35AE2938" w14:textId="7C43C5B7" w:rsidR="008F6C37" w:rsidRPr="003F7850" w:rsidRDefault="008F6C37" w:rsidP="004E0754">
            <w:pPr>
              <w:jc w:val="center"/>
              <w:rPr>
                <w:sz w:val="16"/>
                <w:szCs w:val="16"/>
                <w:lang w:val="en-GB"/>
              </w:rPr>
            </w:pPr>
            <w:r w:rsidRPr="003F7850">
              <w:rPr>
                <w:sz w:val="16"/>
                <w:szCs w:val="16"/>
                <w:lang w:val="en-GB"/>
              </w:rPr>
              <w:t>unrestricted</w:t>
            </w:r>
          </w:p>
        </w:tc>
      </w:tr>
      <w:tr w:rsidR="006242C0" w:rsidRPr="003F7850" w14:paraId="64269205" w14:textId="77777777" w:rsidTr="0000160F">
        <w:trPr>
          <w:trHeight w:val="268"/>
          <w:jc w:val="center"/>
        </w:trPr>
        <w:tc>
          <w:tcPr>
            <w:tcW w:w="6435" w:type="dxa"/>
            <w:gridSpan w:val="4"/>
            <w:tcBorders>
              <w:top w:val="single" w:sz="4" w:space="0" w:color="auto"/>
            </w:tcBorders>
          </w:tcPr>
          <w:p w14:paraId="4B179E73" w14:textId="3A322CDB" w:rsidR="006242C0" w:rsidRPr="003F7850" w:rsidRDefault="006242C0" w:rsidP="004E0754">
            <w:pPr>
              <w:jc w:val="center"/>
              <w:rPr>
                <w:sz w:val="15"/>
                <w:szCs w:val="15"/>
                <w:lang w:val="en-GB"/>
              </w:rPr>
            </w:pPr>
            <w:r w:rsidRPr="003F7850">
              <w:rPr>
                <w:i/>
                <w:iCs/>
                <w:sz w:val="15"/>
                <w:szCs w:val="15"/>
                <w:lang w:val="en-GB"/>
              </w:rPr>
              <w:t>* voyage from a port to the same or another port within the same Member State</w:t>
            </w:r>
          </w:p>
        </w:tc>
      </w:tr>
    </w:tbl>
    <w:p w14:paraId="42E5F360" w14:textId="32D2455D" w:rsidR="00572C2E" w:rsidRPr="003F7850" w:rsidRDefault="00B026C4" w:rsidP="00572C2E">
      <w:pPr>
        <w:pStyle w:val="Titolo1"/>
        <w:rPr>
          <w:lang w:val="en-GB"/>
        </w:rPr>
      </w:pPr>
      <w:r w:rsidRPr="003F7850">
        <w:rPr>
          <w:lang w:val="en-GB"/>
        </w:rPr>
        <w:lastRenderedPageBreak/>
        <w:t>Application Case</w:t>
      </w:r>
    </w:p>
    <w:p w14:paraId="672A6A7E" w14:textId="7F6864CF" w:rsidR="00572C2E" w:rsidRPr="003F7850" w:rsidRDefault="00426AB2" w:rsidP="0084112B">
      <w:pPr>
        <w:pStyle w:val="NoindentNormal"/>
        <w:rPr>
          <w:lang w:val="en-GB"/>
        </w:rPr>
      </w:pPr>
      <w:r w:rsidRPr="003F7850">
        <w:rPr>
          <w:lang w:val="en-GB"/>
        </w:rPr>
        <w:t xml:space="preserve">In this </w:t>
      </w:r>
      <w:r w:rsidR="00AC6F54" w:rsidRPr="003F7850">
        <w:rPr>
          <w:lang w:val="en-GB"/>
        </w:rPr>
        <w:t>analysis</w:t>
      </w:r>
      <w:r w:rsidRPr="003F7850">
        <w:rPr>
          <w:lang w:val="en-GB"/>
        </w:rPr>
        <w:t>,</w:t>
      </w:r>
      <w:r w:rsidR="00AC6F54" w:rsidRPr="003F7850">
        <w:rPr>
          <w:lang w:val="en-GB"/>
        </w:rPr>
        <w:t xml:space="preserve"> </w:t>
      </w:r>
      <w:r w:rsidR="004F6AE8" w:rsidRPr="003F7850">
        <w:rPr>
          <w:lang w:val="en-GB"/>
        </w:rPr>
        <w:t>a Ro-Ro ferry representative of the Mediterranean fleet</w:t>
      </w:r>
      <w:r w:rsidRPr="003F7850">
        <w:rPr>
          <w:lang w:val="en-GB"/>
        </w:rPr>
        <w:t xml:space="preserve"> has been cons</w:t>
      </w:r>
      <w:r w:rsidR="0084112B" w:rsidRPr="003F7850">
        <w:rPr>
          <w:lang w:val="en-GB"/>
        </w:rPr>
        <w:t>i</w:t>
      </w:r>
      <w:r w:rsidRPr="003F7850">
        <w:rPr>
          <w:lang w:val="en-GB"/>
        </w:rPr>
        <w:t>dered</w:t>
      </w:r>
      <w:r w:rsidR="004F6AE8" w:rsidRPr="003F7850">
        <w:rPr>
          <w:lang w:val="en-GB"/>
        </w:rPr>
        <w:t xml:space="preserve">. </w:t>
      </w:r>
      <w:r w:rsidR="00572C2E" w:rsidRPr="003F7850">
        <w:rPr>
          <w:lang w:val="en-GB"/>
        </w:rPr>
        <w:t>The main data and loading condition information are reported in Table</w:t>
      </w:r>
      <w:r w:rsidR="00A47184" w:rsidRPr="003F7850">
        <w:rPr>
          <w:lang w:val="en-GB"/>
        </w:rPr>
        <w:t> 2</w:t>
      </w:r>
      <w:r w:rsidR="00572C2E" w:rsidRPr="003F7850">
        <w:rPr>
          <w:lang w:val="en-GB"/>
        </w:rPr>
        <w:t>.</w:t>
      </w:r>
    </w:p>
    <w:p w14:paraId="432FEE06" w14:textId="3A68ED2B" w:rsidR="00046A9A" w:rsidRPr="003F7850" w:rsidRDefault="00046A9A" w:rsidP="00E411D3">
      <w:pPr>
        <w:pStyle w:val="CaptionLong"/>
        <w:jc w:val="center"/>
        <w:rPr>
          <w:lang w:val="en-GB"/>
        </w:rPr>
      </w:pPr>
      <w:r w:rsidRPr="003F7850">
        <w:rPr>
          <w:b/>
          <w:lang w:val="en-GB"/>
        </w:rPr>
        <w:t xml:space="preserve">Table </w:t>
      </w:r>
      <w:r w:rsidR="00A47184" w:rsidRPr="003F7850">
        <w:rPr>
          <w:b/>
          <w:lang w:val="en-GB"/>
        </w:rPr>
        <w:t>2</w:t>
      </w:r>
      <w:r w:rsidRPr="003F7850">
        <w:rPr>
          <w:b/>
          <w:lang w:val="en-GB"/>
        </w:rPr>
        <w:t>.</w:t>
      </w:r>
      <w:r w:rsidRPr="003F7850">
        <w:rPr>
          <w:lang w:val="en-GB"/>
        </w:rPr>
        <w:t xml:space="preserve"> Main dimension of the considered Ro-Ro ferry.</w:t>
      </w:r>
    </w:p>
    <w:tbl>
      <w:tblPr>
        <w:tblW w:w="5443" w:type="dxa"/>
        <w:jc w:val="center"/>
        <w:tblLayout w:type="fixed"/>
        <w:tblLook w:val="00A0" w:firstRow="1" w:lastRow="0" w:firstColumn="1" w:lastColumn="0" w:noHBand="0" w:noVBand="0"/>
      </w:tblPr>
      <w:tblGrid>
        <w:gridCol w:w="3402"/>
        <w:gridCol w:w="680"/>
        <w:gridCol w:w="680"/>
        <w:gridCol w:w="681"/>
      </w:tblGrid>
      <w:tr w:rsidR="005560BE" w:rsidRPr="003F7850" w14:paraId="1F481B11" w14:textId="365C51DD" w:rsidTr="00E7408F">
        <w:trPr>
          <w:trHeight w:val="268"/>
          <w:jc w:val="center"/>
        </w:trPr>
        <w:tc>
          <w:tcPr>
            <w:tcW w:w="5443" w:type="dxa"/>
            <w:gridSpan w:val="4"/>
            <w:tcBorders>
              <w:top w:val="single" w:sz="4" w:space="0" w:color="auto"/>
              <w:bottom w:val="single" w:sz="4" w:space="0" w:color="auto"/>
            </w:tcBorders>
          </w:tcPr>
          <w:p w14:paraId="631B097E" w14:textId="713FD82B" w:rsidR="005560BE" w:rsidRPr="003F7850" w:rsidRDefault="005560BE" w:rsidP="004E0754">
            <w:pPr>
              <w:jc w:val="center"/>
              <w:rPr>
                <w:b/>
                <w:sz w:val="16"/>
                <w:szCs w:val="16"/>
                <w:lang w:val="en-GB"/>
              </w:rPr>
            </w:pPr>
            <w:r w:rsidRPr="003F7850">
              <w:rPr>
                <w:b/>
                <w:sz w:val="16"/>
                <w:szCs w:val="16"/>
                <w:lang w:val="en-GB"/>
              </w:rPr>
              <w:t>Main Data</w:t>
            </w:r>
          </w:p>
        </w:tc>
      </w:tr>
      <w:tr w:rsidR="002F130D" w:rsidRPr="003F7850" w14:paraId="6044F321" w14:textId="6ED58CBE" w:rsidTr="00D94906">
        <w:trPr>
          <w:trHeight w:val="268"/>
          <w:jc w:val="center"/>
        </w:trPr>
        <w:tc>
          <w:tcPr>
            <w:tcW w:w="3402" w:type="dxa"/>
            <w:tcBorders>
              <w:top w:val="single" w:sz="4" w:space="0" w:color="auto"/>
            </w:tcBorders>
          </w:tcPr>
          <w:p w14:paraId="2C430B0E" w14:textId="298D08FD" w:rsidR="002F130D" w:rsidRPr="003F7850" w:rsidRDefault="002F130D" w:rsidP="00D73084">
            <w:pPr>
              <w:tabs>
                <w:tab w:val="decimal" w:pos="1026"/>
              </w:tabs>
              <w:jc w:val="left"/>
              <w:rPr>
                <w:sz w:val="16"/>
                <w:szCs w:val="16"/>
                <w:lang w:val="en-GB"/>
              </w:rPr>
            </w:pPr>
            <w:r w:rsidRPr="003F7850">
              <w:rPr>
                <w:sz w:val="16"/>
                <w:szCs w:val="16"/>
                <w:lang w:val="en-GB"/>
              </w:rPr>
              <w:t>Length between perpendicular</w:t>
            </w:r>
            <w:r w:rsidR="00E7408F" w:rsidRPr="003F7850">
              <w:rPr>
                <w:sz w:val="16"/>
                <w:szCs w:val="16"/>
                <w:lang w:val="en-GB"/>
              </w:rPr>
              <w:t>s</w:t>
            </w:r>
          </w:p>
        </w:tc>
        <w:tc>
          <w:tcPr>
            <w:tcW w:w="680" w:type="dxa"/>
            <w:tcBorders>
              <w:top w:val="single" w:sz="4" w:space="0" w:color="auto"/>
            </w:tcBorders>
          </w:tcPr>
          <w:p w14:paraId="230BF48D" w14:textId="2252C92D" w:rsidR="002F130D" w:rsidRPr="003F7850" w:rsidRDefault="002F130D" w:rsidP="00E411D3">
            <w:pPr>
              <w:jc w:val="center"/>
              <w:rPr>
                <w:sz w:val="16"/>
                <w:szCs w:val="16"/>
                <w:lang w:val="en-GB"/>
              </w:rPr>
            </w:pPr>
            <w:r w:rsidRPr="003F7850">
              <w:rPr>
                <w:sz w:val="16"/>
                <w:szCs w:val="16"/>
                <w:lang w:val="en-GB"/>
              </w:rPr>
              <w:t>L</w:t>
            </w:r>
            <w:r w:rsidRPr="003F7850">
              <w:rPr>
                <w:sz w:val="16"/>
                <w:szCs w:val="16"/>
                <w:vertAlign w:val="subscript"/>
                <w:lang w:val="en-GB"/>
              </w:rPr>
              <w:t>PP</w:t>
            </w:r>
          </w:p>
        </w:tc>
        <w:tc>
          <w:tcPr>
            <w:tcW w:w="680" w:type="dxa"/>
            <w:tcBorders>
              <w:top w:val="single" w:sz="4" w:space="0" w:color="auto"/>
            </w:tcBorders>
          </w:tcPr>
          <w:p w14:paraId="08F7D9E3" w14:textId="10618415" w:rsidR="002F130D" w:rsidRPr="003F7850" w:rsidRDefault="002F130D" w:rsidP="004E0754">
            <w:pPr>
              <w:tabs>
                <w:tab w:val="decimal" w:pos="1101"/>
              </w:tabs>
              <w:rPr>
                <w:sz w:val="16"/>
                <w:szCs w:val="16"/>
                <w:lang w:val="en-GB"/>
              </w:rPr>
            </w:pPr>
            <w:r w:rsidRPr="003F7850">
              <w:rPr>
                <w:sz w:val="16"/>
                <w:szCs w:val="16"/>
                <w:lang w:val="en-GB"/>
              </w:rPr>
              <w:t>73.60</w:t>
            </w:r>
          </w:p>
        </w:tc>
        <w:tc>
          <w:tcPr>
            <w:tcW w:w="681" w:type="dxa"/>
            <w:tcBorders>
              <w:top w:val="single" w:sz="4" w:space="0" w:color="auto"/>
            </w:tcBorders>
          </w:tcPr>
          <w:p w14:paraId="1CB17E3F" w14:textId="22CC800A" w:rsidR="002F130D" w:rsidRPr="003F7850" w:rsidRDefault="005560BE" w:rsidP="004E0754">
            <w:pPr>
              <w:tabs>
                <w:tab w:val="decimal" w:pos="1101"/>
              </w:tabs>
              <w:rPr>
                <w:sz w:val="16"/>
                <w:szCs w:val="16"/>
                <w:lang w:val="en-GB"/>
              </w:rPr>
            </w:pPr>
            <w:r w:rsidRPr="003F7850">
              <w:rPr>
                <w:sz w:val="16"/>
                <w:szCs w:val="16"/>
                <w:lang w:val="en-GB"/>
              </w:rPr>
              <w:t>m</w:t>
            </w:r>
          </w:p>
        </w:tc>
      </w:tr>
      <w:tr w:rsidR="002F130D" w:rsidRPr="003F7850" w14:paraId="2C857DCC" w14:textId="230F1E01" w:rsidTr="00D94906">
        <w:trPr>
          <w:trHeight w:val="268"/>
          <w:jc w:val="center"/>
        </w:trPr>
        <w:tc>
          <w:tcPr>
            <w:tcW w:w="3402" w:type="dxa"/>
          </w:tcPr>
          <w:p w14:paraId="50301453" w14:textId="37D99A10" w:rsidR="002F130D" w:rsidRPr="003F7850" w:rsidRDefault="002F130D" w:rsidP="00D73084">
            <w:pPr>
              <w:tabs>
                <w:tab w:val="decimal" w:pos="1026"/>
              </w:tabs>
              <w:jc w:val="left"/>
              <w:rPr>
                <w:sz w:val="16"/>
                <w:szCs w:val="16"/>
                <w:lang w:val="en-GB"/>
              </w:rPr>
            </w:pPr>
            <w:r w:rsidRPr="003F7850">
              <w:rPr>
                <w:sz w:val="16"/>
                <w:szCs w:val="16"/>
                <w:lang w:val="en-GB"/>
              </w:rPr>
              <w:t>Breadth moulded</w:t>
            </w:r>
          </w:p>
        </w:tc>
        <w:tc>
          <w:tcPr>
            <w:tcW w:w="680" w:type="dxa"/>
          </w:tcPr>
          <w:p w14:paraId="5F889E19" w14:textId="5A455DF1" w:rsidR="002F130D" w:rsidRPr="003F7850" w:rsidRDefault="002F130D" w:rsidP="00E411D3">
            <w:pPr>
              <w:jc w:val="center"/>
              <w:rPr>
                <w:sz w:val="16"/>
                <w:szCs w:val="16"/>
                <w:lang w:val="en-GB"/>
              </w:rPr>
            </w:pPr>
            <w:r w:rsidRPr="003F7850">
              <w:rPr>
                <w:sz w:val="16"/>
                <w:szCs w:val="16"/>
                <w:lang w:val="en-GB"/>
              </w:rPr>
              <w:t>B</w:t>
            </w:r>
          </w:p>
        </w:tc>
        <w:tc>
          <w:tcPr>
            <w:tcW w:w="680" w:type="dxa"/>
          </w:tcPr>
          <w:p w14:paraId="59741222" w14:textId="79CD0D28" w:rsidR="002F130D" w:rsidRPr="003F7850" w:rsidRDefault="002F130D" w:rsidP="004E0754">
            <w:pPr>
              <w:tabs>
                <w:tab w:val="decimal" w:pos="1101"/>
              </w:tabs>
              <w:rPr>
                <w:sz w:val="16"/>
                <w:szCs w:val="16"/>
                <w:lang w:val="en-GB"/>
              </w:rPr>
            </w:pPr>
            <w:r w:rsidRPr="003F7850">
              <w:rPr>
                <w:sz w:val="16"/>
                <w:szCs w:val="16"/>
                <w:lang w:val="en-GB"/>
              </w:rPr>
              <w:t>15.00</w:t>
            </w:r>
          </w:p>
        </w:tc>
        <w:tc>
          <w:tcPr>
            <w:tcW w:w="681" w:type="dxa"/>
          </w:tcPr>
          <w:p w14:paraId="17261F25" w14:textId="41D3092B" w:rsidR="002F130D" w:rsidRPr="003F7850" w:rsidRDefault="005560BE" w:rsidP="004E0754">
            <w:pPr>
              <w:tabs>
                <w:tab w:val="decimal" w:pos="1101"/>
              </w:tabs>
              <w:rPr>
                <w:sz w:val="16"/>
                <w:szCs w:val="16"/>
                <w:lang w:val="en-GB"/>
              </w:rPr>
            </w:pPr>
            <w:r w:rsidRPr="003F7850">
              <w:rPr>
                <w:sz w:val="16"/>
                <w:szCs w:val="16"/>
                <w:lang w:val="en-GB"/>
              </w:rPr>
              <w:t>m</w:t>
            </w:r>
          </w:p>
        </w:tc>
      </w:tr>
      <w:tr w:rsidR="002F130D" w:rsidRPr="003F7850" w14:paraId="7EEAA741" w14:textId="78C46A14" w:rsidTr="00D94906">
        <w:trPr>
          <w:trHeight w:val="268"/>
          <w:jc w:val="center"/>
        </w:trPr>
        <w:tc>
          <w:tcPr>
            <w:tcW w:w="3402" w:type="dxa"/>
          </w:tcPr>
          <w:p w14:paraId="1837CD29" w14:textId="7D6C6BB9" w:rsidR="002F130D" w:rsidRPr="003F7850" w:rsidRDefault="002F130D" w:rsidP="00D73084">
            <w:pPr>
              <w:jc w:val="left"/>
              <w:rPr>
                <w:sz w:val="16"/>
                <w:szCs w:val="16"/>
                <w:lang w:val="en-GB"/>
              </w:rPr>
            </w:pPr>
            <w:r w:rsidRPr="003F7850">
              <w:rPr>
                <w:sz w:val="16"/>
                <w:szCs w:val="16"/>
                <w:lang w:val="en-GB"/>
              </w:rPr>
              <w:t>Draft</w:t>
            </w:r>
          </w:p>
        </w:tc>
        <w:tc>
          <w:tcPr>
            <w:tcW w:w="680" w:type="dxa"/>
          </w:tcPr>
          <w:p w14:paraId="2FC64D66" w14:textId="2F841219" w:rsidR="002F130D" w:rsidRPr="003F7850" w:rsidRDefault="005560BE" w:rsidP="00E411D3">
            <w:pPr>
              <w:jc w:val="center"/>
              <w:rPr>
                <w:sz w:val="16"/>
                <w:szCs w:val="16"/>
                <w:lang w:val="en-GB"/>
              </w:rPr>
            </w:pPr>
            <w:r w:rsidRPr="003F7850">
              <w:rPr>
                <w:sz w:val="16"/>
                <w:szCs w:val="16"/>
                <w:lang w:val="en-GB"/>
              </w:rPr>
              <w:t>d</w:t>
            </w:r>
          </w:p>
        </w:tc>
        <w:tc>
          <w:tcPr>
            <w:tcW w:w="680" w:type="dxa"/>
          </w:tcPr>
          <w:p w14:paraId="08D6C4E0" w14:textId="21C976B5" w:rsidR="002F130D" w:rsidRPr="003F7850" w:rsidRDefault="005560BE" w:rsidP="004E0754">
            <w:pPr>
              <w:tabs>
                <w:tab w:val="decimal" w:pos="1101"/>
              </w:tabs>
              <w:rPr>
                <w:sz w:val="16"/>
                <w:szCs w:val="16"/>
                <w:lang w:val="en-GB"/>
              </w:rPr>
            </w:pPr>
            <w:r w:rsidRPr="003F7850">
              <w:rPr>
                <w:sz w:val="16"/>
                <w:szCs w:val="16"/>
                <w:lang w:val="en-GB"/>
              </w:rPr>
              <w:t>3.43</w:t>
            </w:r>
          </w:p>
        </w:tc>
        <w:tc>
          <w:tcPr>
            <w:tcW w:w="681" w:type="dxa"/>
          </w:tcPr>
          <w:p w14:paraId="65942209" w14:textId="0C164F33" w:rsidR="002F130D" w:rsidRPr="003F7850" w:rsidRDefault="005560BE" w:rsidP="004E0754">
            <w:pPr>
              <w:tabs>
                <w:tab w:val="decimal" w:pos="1101"/>
              </w:tabs>
              <w:rPr>
                <w:sz w:val="16"/>
                <w:szCs w:val="16"/>
                <w:lang w:val="en-GB"/>
              </w:rPr>
            </w:pPr>
            <w:r w:rsidRPr="003F7850">
              <w:rPr>
                <w:sz w:val="16"/>
                <w:szCs w:val="16"/>
                <w:lang w:val="en-GB"/>
              </w:rPr>
              <w:t>m</w:t>
            </w:r>
          </w:p>
        </w:tc>
      </w:tr>
      <w:tr w:rsidR="00D118A1" w:rsidRPr="003F7850" w14:paraId="357EF4DC" w14:textId="77777777" w:rsidTr="00D94906">
        <w:trPr>
          <w:trHeight w:val="268"/>
          <w:jc w:val="center"/>
        </w:trPr>
        <w:tc>
          <w:tcPr>
            <w:tcW w:w="3402" w:type="dxa"/>
          </w:tcPr>
          <w:p w14:paraId="01FFAD61" w14:textId="04C464C1" w:rsidR="00D118A1" w:rsidRPr="003F7850" w:rsidRDefault="00D118A1" w:rsidP="00D118A1">
            <w:pPr>
              <w:jc w:val="left"/>
              <w:rPr>
                <w:sz w:val="16"/>
                <w:szCs w:val="16"/>
                <w:lang w:val="en-GB"/>
              </w:rPr>
            </w:pPr>
            <w:r w:rsidRPr="003F7850">
              <w:rPr>
                <w:sz w:val="16"/>
                <w:szCs w:val="16"/>
                <w:lang w:val="en-GB"/>
              </w:rPr>
              <w:t>Displacement</w:t>
            </w:r>
          </w:p>
        </w:tc>
        <w:tc>
          <w:tcPr>
            <w:tcW w:w="680" w:type="dxa"/>
          </w:tcPr>
          <w:p w14:paraId="48AB2034" w14:textId="2DF769C1" w:rsidR="00D118A1" w:rsidRPr="003F7850" w:rsidRDefault="00D118A1" w:rsidP="00D118A1">
            <w:pPr>
              <w:jc w:val="center"/>
              <w:rPr>
                <w:sz w:val="16"/>
                <w:szCs w:val="16"/>
                <w:lang w:val="en-GB"/>
              </w:rPr>
            </w:pPr>
            <w:r w:rsidRPr="003F7850">
              <w:rPr>
                <w:sz w:val="16"/>
                <w:szCs w:val="16"/>
                <w:lang w:val="en-GB"/>
              </w:rPr>
              <w:t>∆</w:t>
            </w:r>
          </w:p>
        </w:tc>
        <w:tc>
          <w:tcPr>
            <w:tcW w:w="680" w:type="dxa"/>
          </w:tcPr>
          <w:p w14:paraId="6CC552D4" w14:textId="07A0E27D" w:rsidR="00D118A1" w:rsidRPr="003F7850" w:rsidRDefault="00D118A1" w:rsidP="00D118A1">
            <w:pPr>
              <w:tabs>
                <w:tab w:val="decimal" w:pos="1101"/>
              </w:tabs>
              <w:rPr>
                <w:sz w:val="16"/>
                <w:szCs w:val="16"/>
                <w:lang w:val="en-GB"/>
              </w:rPr>
            </w:pPr>
            <w:r w:rsidRPr="003F7850">
              <w:rPr>
                <w:sz w:val="16"/>
                <w:szCs w:val="16"/>
                <w:lang w:val="en-GB"/>
              </w:rPr>
              <w:t>2 258</w:t>
            </w:r>
          </w:p>
        </w:tc>
        <w:tc>
          <w:tcPr>
            <w:tcW w:w="681" w:type="dxa"/>
          </w:tcPr>
          <w:p w14:paraId="67FF4D0C" w14:textId="421D92ED" w:rsidR="00D118A1" w:rsidRPr="003F7850" w:rsidRDefault="00D118A1" w:rsidP="00D118A1">
            <w:pPr>
              <w:tabs>
                <w:tab w:val="decimal" w:pos="1101"/>
              </w:tabs>
              <w:rPr>
                <w:sz w:val="16"/>
                <w:szCs w:val="16"/>
                <w:lang w:val="en-GB"/>
              </w:rPr>
            </w:pPr>
            <w:r w:rsidRPr="003F7850">
              <w:rPr>
                <w:sz w:val="16"/>
                <w:szCs w:val="16"/>
                <w:lang w:val="en-GB"/>
              </w:rPr>
              <w:t>t</w:t>
            </w:r>
          </w:p>
        </w:tc>
      </w:tr>
      <w:tr w:rsidR="002F130D" w:rsidRPr="003F7850" w14:paraId="6B5A679E" w14:textId="77777777" w:rsidTr="00D94906">
        <w:trPr>
          <w:trHeight w:val="268"/>
          <w:jc w:val="center"/>
        </w:trPr>
        <w:tc>
          <w:tcPr>
            <w:tcW w:w="3402" w:type="dxa"/>
          </w:tcPr>
          <w:p w14:paraId="64A1F8E2" w14:textId="174BAE54" w:rsidR="002F130D" w:rsidRPr="003F7850" w:rsidRDefault="002123D0" w:rsidP="00D73084">
            <w:pPr>
              <w:jc w:val="left"/>
              <w:rPr>
                <w:sz w:val="16"/>
                <w:szCs w:val="16"/>
                <w:lang w:val="en-GB"/>
              </w:rPr>
            </w:pPr>
            <w:r w:rsidRPr="003F7850">
              <w:rPr>
                <w:sz w:val="16"/>
                <w:szCs w:val="16"/>
                <w:lang w:val="en-GB"/>
              </w:rPr>
              <w:t>Service speed</w:t>
            </w:r>
          </w:p>
        </w:tc>
        <w:tc>
          <w:tcPr>
            <w:tcW w:w="680" w:type="dxa"/>
          </w:tcPr>
          <w:p w14:paraId="34D5E346" w14:textId="502DD835" w:rsidR="002F130D" w:rsidRPr="003F7850" w:rsidRDefault="005D4DC8" w:rsidP="00E411D3">
            <w:pPr>
              <w:jc w:val="center"/>
              <w:rPr>
                <w:sz w:val="16"/>
                <w:szCs w:val="16"/>
                <w:lang w:val="en-GB"/>
              </w:rPr>
            </w:pPr>
            <w:r w:rsidRPr="003F7850">
              <w:rPr>
                <w:sz w:val="16"/>
                <w:szCs w:val="16"/>
                <w:lang w:val="en-GB"/>
              </w:rPr>
              <w:t>V</w:t>
            </w:r>
            <w:r w:rsidRPr="003F7850">
              <w:rPr>
                <w:sz w:val="16"/>
                <w:szCs w:val="16"/>
                <w:vertAlign w:val="subscript"/>
                <w:lang w:val="en-GB"/>
              </w:rPr>
              <w:t>S</w:t>
            </w:r>
          </w:p>
        </w:tc>
        <w:tc>
          <w:tcPr>
            <w:tcW w:w="680" w:type="dxa"/>
          </w:tcPr>
          <w:p w14:paraId="435CD725" w14:textId="3AF3795B" w:rsidR="002F130D" w:rsidRPr="003F7850" w:rsidRDefault="005D4DC8" w:rsidP="004E0754">
            <w:pPr>
              <w:tabs>
                <w:tab w:val="decimal" w:pos="1101"/>
              </w:tabs>
              <w:rPr>
                <w:sz w:val="16"/>
                <w:szCs w:val="16"/>
                <w:lang w:val="en-GB"/>
              </w:rPr>
            </w:pPr>
            <w:r w:rsidRPr="003F7850">
              <w:rPr>
                <w:sz w:val="16"/>
                <w:szCs w:val="16"/>
                <w:lang w:val="en-GB"/>
              </w:rPr>
              <w:t>18.0</w:t>
            </w:r>
          </w:p>
        </w:tc>
        <w:tc>
          <w:tcPr>
            <w:tcW w:w="681" w:type="dxa"/>
          </w:tcPr>
          <w:p w14:paraId="0C7CC0DC" w14:textId="4D5EEA00" w:rsidR="002F130D" w:rsidRPr="003F7850" w:rsidRDefault="005D4DC8" w:rsidP="004E0754">
            <w:pPr>
              <w:tabs>
                <w:tab w:val="decimal" w:pos="1101"/>
              </w:tabs>
              <w:rPr>
                <w:sz w:val="16"/>
                <w:szCs w:val="16"/>
                <w:lang w:val="en-GB"/>
              </w:rPr>
            </w:pPr>
            <w:r w:rsidRPr="003F7850">
              <w:rPr>
                <w:sz w:val="16"/>
                <w:szCs w:val="16"/>
                <w:lang w:val="en-GB"/>
              </w:rPr>
              <w:t>kt</w:t>
            </w:r>
          </w:p>
        </w:tc>
      </w:tr>
      <w:tr w:rsidR="00D118A1" w:rsidRPr="003F7850" w14:paraId="0AC181F3" w14:textId="77777777" w:rsidTr="00D118A1">
        <w:trPr>
          <w:trHeight w:val="268"/>
          <w:jc w:val="center"/>
        </w:trPr>
        <w:tc>
          <w:tcPr>
            <w:tcW w:w="3402" w:type="dxa"/>
          </w:tcPr>
          <w:p w14:paraId="534D1146" w14:textId="708CFE5C" w:rsidR="00D118A1" w:rsidRPr="003F7850" w:rsidRDefault="00D118A1" w:rsidP="00D118A1">
            <w:pPr>
              <w:jc w:val="left"/>
              <w:rPr>
                <w:sz w:val="16"/>
                <w:szCs w:val="16"/>
                <w:lang w:val="en-GB"/>
              </w:rPr>
            </w:pPr>
            <w:r w:rsidRPr="003F7850">
              <w:rPr>
                <w:sz w:val="16"/>
                <w:szCs w:val="16"/>
                <w:lang w:val="en-GB"/>
              </w:rPr>
              <w:t>Block coefficient</w:t>
            </w:r>
          </w:p>
        </w:tc>
        <w:tc>
          <w:tcPr>
            <w:tcW w:w="680" w:type="dxa"/>
          </w:tcPr>
          <w:p w14:paraId="4E9C9F3E" w14:textId="0E942947" w:rsidR="00D118A1" w:rsidRPr="003F7850" w:rsidRDefault="00D118A1" w:rsidP="00D118A1">
            <w:pPr>
              <w:jc w:val="center"/>
              <w:rPr>
                <w:sz w:val="16"/>
                <w:szCs w:val="16"/>
                <w:lang w:val="en-GB"/>
              </w:rPr>
            </w:pPr>
            <w:r w:rsidRPr="003F7850">
              <w:rPr>
                <w:sz w:val="16"/>
                <w:szCs w:val="16"/>
                <w:lang w:val="en-GB"/>
              </w:rPr>
              <w:t>C</w:t>
            </w:r>
            <w:r w:rsidRPr="003F7850">
              <w:rPr>
                <w:sz w:val="16"/>
                <w:szCs w:val="16"/>
                <w:vertAlign w:val="subscript"/>
                <w:lang w:val="en-GB"/>
              </w:rPr>
              <w:t>B</w:t>
            </w:r>
          </w:p>
        </w:tc>
        <w:tc>
          <w:tcPr>
            <w:tcW w:w="680" w:type="dxa"/>
          </w:tcPr>
          <w:p w14:paraId="6995EE2E" w14:textId="6500415D" w:rsidR="00D118A1" w:rsidRPr="003F7850" w:rsidRDefault="00D118A1" w:rsidP="00D118A1">
            <w:pPr>
              <w:tabs>
                <w:tab w:val="decimal" w:pos="1101"/>
              </w:tabs>
              <w:rPr>
                <w:sz w:val="16"/>
                <w:szCs w:val="16"/>
                <w:lang w:val="en-GB"/>
              </w:rPr>
            </w:pPr>
            <w:r w:rsidRPr="003F7850">
              <w:rPr>
                <w:sz w:val="16"/>
                <w:szCs w:val="16"/>
                <w:lang w:val="en-GB"/>
              </w:rPr>
              <w:t>0.592</w:t>
            </w:r>
          </w:p>
        </w:tc>
        <w:tc>
          <w:tcPr>
            <w:tcW w:w="681" w:type="dxa"/>
          </w:tcPr>
          <w:p w14:paraId="37DF40B0" w14:textId="55D86BF1" w:rsidR="00D118A1" w:rsidRPr="003F7850" w:rsidRDefault="00D118A1" w:rsidP="00D118A1">
            <w:pPr>
              <w:tabs>
                <w:tab w:val="decimal" w:pos="1101"/>
              </w:tabs>
              <w:rPr>
                <w:sz w:val="16"/>
                <w:szCs w:val="16"/>
                <w:lang w:val="en-GB"/>
              </w:rPr>
            </w:pPr>
            <w:r w:rsidRPr="003F7850">
              <w:rPr>
                <w:sz w:val="16"/>
                <w:szCs w:val="16"/>
                <w:lang w:val="en-GB"/>
              </w:rPr>
              <w:t>-</w:t>
            </w:r>
          </w:p>
        </w:tc>
      </w:tr>
      <w:tr w:rsidR="00D118A1" w:rsidRPr="003F7850" w14:paraId="0883EBC2" w14:textId="77777777" w:rsidTr="00D94906">
        <w:trPr>
          <w:trHeight w:val="268"/>
          <w:jc w:val="center"/>
        </w:trPr>
        <w:tc>
          <w:tcPr>
            <w:tcW w:w="3402" w:type="dxa"/>
            <w:tcBorders>
              <w:bottom w:val="single" w:sz="4" w:space="0" w:color="auto"/>
            </w:tcBorders>
          </w:tcPr>
          <w:p w14:paraId="66F87DAD" w14:textId="11EAA01C" w:rsidR="00D118A1" w:rsidRPr="003F7850" w:rsidRDefault="00D118A1" w:rsidP="00D118A1">
            <w:pPr>
              <w:jc w:val="left"/>
              <w:rPr>
                <w:sz w:val="16"/>
                <w:szCs w:val="16"/>
                <w:lang w:val="en-GB"/>
              </w:rPr>
            </w:pPr>
            <w:r w:rsidRPr="003F7850">
              <w:rPr>
                <w:sz w:val="16"/>
                <w:szCs w:val="16"/>
                <w:lang w:val="en-GB"/>
              </w:rPr>
              <w:t>Amidship coefficient</w:t>
            </w:r>
          </w:p>
        </w:tc>
        <w:tc>
          <w:tcPr>
            <w:tcW w:w="680" w:type="dxa"/>
            <w:tcBorders>
              <w:bottom w:val="single" w:sz="4" w:space="0" w:color="auto"/>
            </w:tcBorders>
          </w:tcPr>
          <w:p w14:paraId="65FA4DE1" w14:textId="225796FF" w:rsidR="00D118A1" w:rsidRPr="003F7850" w:rsidRDefault="00D118A1" w:rsidP="00D118A1">
            <w:pPr>
              <w:jc w:val="center"/>
              <w:rPr>
                <w:sz w:val="16"/>
                <w:szCs w:val="16"/>
                <w:lang w:val="en-GB"/>
              </w:rPr>
            </w:pPr>
            <w:r w:rsidRPr="003F7850">
              <w:rPr>
                <w:sz w:val="16"/>
                <w:szCs w:val="16"/>
                <w:lang w:val="en-GB"/>
              </w:rPr>
              <w:t>C</w:t>
            </w:r>
            <w:r w:rsidRPr="003F7850">
              <w:rPr>
                <w:sz w:val="16"/>
                <w:szCs w:val="16"/>
                <w:vertAlign w:val="subscript"/>
                <w:lang w:val="en-GB"/>
              </w:rPr>
              <w:t>m</w:t>
            </w:r>
          </w:p>
        </w:tc>
        <w:tc>
          <w:tcPr>
            <w:tcW w:w="680" w:type="dxa"/>
            <w:tcBorders>
              <w:bottom w:val="single" w:sz="4" w:space="0" w:color="auto"/>
            </w:tcBorders>
          </w:tcPr>
          <w:p w14:paraId="4E8AB07E" w14:textId="1548790D" w:rsidR="00D118A1" w:rsidRPr="003F7850" w:rsidRDefault="00D118A1" w:rsidP="00D118A1">
            <w:pPr>
              <w:tabs>
                <w:tab w:val="decimal" w:pos="1101"/>
              </w:tabs>
              <w:rPr>
                <w:sz w:val="16"/>
                <w:szCs w:val="16"/>
                <w:lang w:val="en-GB"/>
              </w:rPr>
            </w:pPr>
            <w:r w:rsidRPr="003F7850">
              <w:rPr>
                <w:sz w:val="16"/>
                <w:szCs w:val="16"/>
                <w:lang w:val="en-GB"/>
              </w:rPr>
              <w:t>0.956</w:t>
            </w:r>
          </w:p>
        </w:tc>
        <w:tc>
          <w:tcPr>
            <w:tcW w:w="681" w:type="dxa"/>
            <w:tcBorders>
              <w:bottom w:val="single" w:sz="4" w:space="0" w:color="auto"/>
            </w:tcBorders>
          </w:tcPr>
          <w:p w14:paraId="39A1A000" w14:textId="185894FB" w:rsidR="00D118A1" w:rsidRPr="003F7850" w:rsidRDefault="00D118A1" w:rsidP="00D118A1">
            <w:pPr>
              <w:tabs>
                <w:tab w:val="decimal" w:pos="1101"/>
              </w:tabs>
              <w:rPr>
                <w:sz w:val="16"/>
                <w:szCs w:val="16"/>
                <w:lang w:val="en-GB"/>
              </w:rPr>
            </w:pPr>
            <w:r w:rsidRPr="003F7850">
              <w:rPr>
                <w:sz w:val="16"/>
                <w:szCs w:val="16"/>
                <w:lang w:val="en-GB"/>
              </w:rPr>
              <w:t>-</w:t>
            </w:r>
          </w:p>
        </w:tc>
      </w:tr>
    </w:tbl>
    <w:p w14:paraId="25E188A0" w14:textId="77777777" w:rsidR="00DC7F9E" w:rsidRPr="003F7850" w:rsidRDefault="00DC7F9E" w:rsidP="0084112B">
      <w:pPr>
        <w:pStyle w:val="NoindentNormal"/>
        <w:ind w:firstLine="357"/>
        <w:rPr>
          <w:lang w:val="en-GB"/>
        </w:rPr>
      </w:pPr>
    </w:p>
    <w:p w14:paraId="0B7BB289" w14:textId="2369F21B" w:rsidR="00AF34F0" w:rsidRPr="003F7850" w:rsidRDefault="00DC7F9E" w:rsidP="00B27025">
      <w:pPr>
        <w:pStyle w:val="NoindentNormal"/>
        <w:rPr>
          <w:lang w:val="en-GB"/>
        </w:rPr>
      </w:pPr>
      <w:r w:rsidRPr="003F7850">
        <w:rPr>
          <w:lang w:val="en-GB"/>
        </w:rPr>
        <w:t>In this paper, the vulnerability levels for each stability failures have been applied</w:t>
      </w:r>
      <w:r w:rsidR="009A1C7A" w:rsidRPr="003F7850">
        <w:rPr>
          <w:lang w:val="en-GB"/>
        </w:rPr>
        <w:t>, except for surf-riding failure mode</w:t>
      </w:r>
      <w:r w:rsidRPr="003F7850">
        <w:rPr>
          <w:lang w:val="en-GB"/>
        </w:rPr>
        <w:t xml:space="preserve">. </w:t>
      </w:r>
      <w:r w:rsidR="0086733C" w:rsidRPr="003F7850">
        <w:rPr>
          <w:lang w:val="en-GB"/>
        </w:rPr>
        <w:t>As further important data for the a</w:t>
      </w:r>
      <w:r w:rsidR="00BE0E56" w:rsidRPr="003F7850">
        <w:rPr>
          <w:lang w:val="en-GB"/>
        </w:rPr>
        <w:t>ssessment of dead ship condition</w:t>
      </w:r>
      <w:r w:rsidR="0086733C" w:rsidRPr="003F7850">
        <w:rPr>
          <w:lang w:val="en-GB"/>
        </w:rPr>
        <w:t xml:space="preserve">, </w:t>
      </w:r>
      <w:r w:rsidRPr="003F7850">
        <w:rPr>
          <w:lang w:val="en-GB"/>
        </w:rPr>
        <w:t>the lateral exposed area for the design loading condition</w:t>
      </w:r>
      <w:r w:rsidR="00AF34F0" w:rsidRPr="003F7850">
        <w:rPr>
          <w:lang w:val="en-GB"/>
        </w:rPr>
        <w:t xml:space="preserve"> and the coordinate of its </w:t>
      </w:r>
      <w:proofErr w:type="spellStart"/>
      <w:r w:rsidR="00AF34F0" w:rsidRPr="003F7850">
        <w:rPr>
          <w:lang w:val="en-GB"/>
        </w:rPr>
        <w:t>center</w:t>
      </w:r>
      <w:proofErr w:type="spellEnd"/>
      <w:r w:rsidRPr="003F7850">
        <w:rPr>
          <w:lang w:val="en-GB"/>
        </w:rPr>
        <w:t xml:space="preserve"> </w:t>
      </w:r>
      <w:r w:rsidR="00AF34F0" w:rsidRPr="003F7850">
        <w:rPr>
          <w:lang w:val="en-GB"/>
        </w:rPr>
        <w:t>are</w:t>
      </w:r>
      <w:r w:rsidRPr="003F7850">
        <w:rPr>
          <w:lang w:val="en-GB"/>
        </w:rPr>
        <w:t xml:space="preserve"> </w:t>
      </w:r>
      <w:r w:rsidR="00AF34F0" w:rsidRPr="003F7850">
        <w:rPr>
          <w:lang w:val="en-GB"/>
        </w:rPr>
        <w:t>required</w:t>
      </w:r>
      <w:r w:rsidRPr="003F7850">
        <w:rPr>
          <w:lang w:val="en-GB"/>
        </w:rPr>
        <w:t xml:space="preserve">. </w:t>
      </w:r>
      <w:r w:rsidR="00BE0E56" w:rsidRPr="003F7850">
        <w:rPr>
          <w:lang w:val="en-GB"/>
        </w:rPr>
        <w:t xml:space="preserve">For the application of the </w:t>
      </w:r>
      <w:r w:rsidR="002032FE" w:rsidRPr="003F7850">
        <w:rPr>
          <w:lang w:val="en-GB"/>
        </w:rPr>
        <w:t>excessive acceleration failure mode, the highest point where passenger or crew may be present</w:t>
      </w:r>
      <w:r w:rsidR="00A60C74" w:rsidRPr="003F7850">
        <w:rPr>
          <w:lang w:val="en-GB"/>
        </w:rPr>
        <w:t xml:space="preserve"> (Point A)</w:t>
      </w:r>
      <w:r w:rsidR="006C3F7A" w:rsidRPr="003F7850">
        <w:rPr>
          <w:lang w:val="en-GB"/>
        </w:rPr>
        <w:t xml:space="preserve"> and the</w:t>
      </w:r>
      <w:r w:rsidR="00033E12" w:rsidRPr="003F7850">
        <w:rPr>
          <w:lang w:val="en-GB"/>
        </w:rPr>
        <w:t xml:space="preserve"> bridge </w:t>
      </w:r>
      <w:r w:rsidR="006C3F7A" w:rsidRPr="003F7850">
        <w:rPr>
          <w:lang w:val="en-GB"/>
        </w:rPr>
        <w:t>location</w:t>
      </w:r>
      <w:r w:rsidR="00A60C74" w:rsidRPr="003F7850">
        <w:rPr>
          <w:lang w:val="en-GB"/>
        </w:rPr>
        <w:t xml:space="preserve"> (Point B)</w:t>
      </w:r>
      <w:r w:rsidR="006C3F7A" w:rsidRPr="003F7850">
        <w:rPr>
          <w:lang w:val="en-GB"/>
        </w:rPr>
        <w:t xml:space="preserve"> </w:t>
      </w:r>
      <w:r w:rsidR="00033E12" w:rsidRPr="003F7850">
        <w:rPr>
          <w:lang w:val="en-GB"/>
        </w:rPr>
        <w:t>ha</w:t>
      </w:r>
      <w:r w:rsidR="006C3F7A" w:rsidRPr="003F7850">
        <w:rPr>
          <w:lang w:val="en-GB"/>
        </w:rPr>
        <w:t>ve</w:t>
      </w:r>
      <w:r w:rsidR="00033E12" w:rsidRPr="003F7850">
        <w:rPr>
          <w:lang w:val="en-GB"/>
        </w:rPr>
        <w:t xml:space="preserve"> been considered.</w:t>
      </w:r>
      <w:r w:rsidR="00AF34F0" w:rsidRPr="003F7850">
        <w:rPr>
          <w:lang w:val="en-GB"/>
        </w:rPr>
        <w:t xml:space="preserve"> These data can be found in Table </w:t>
      </w:r>
      <w:r w:rsidR="00A47184" w:rsidRPr="003F7850">
        <w:rPr>
          <w:lang w:val="en-GB"/>
        </w:rPr>
        <w:t>3</w:t>
      </w:r>
      <w:r w:rsidR="00AF34F0" w:rsidRPr="003F7850">
        <w:rPr>
          <w:lang w:val="en-GB"/>
        </w:rPr>
        <w:t>.</w:t>
      </w:r>
    </w:p>
    <w:p w14:paraId="29D4F175" w14:textId="661865E7" w:rsidR="00AF34F0" w:rsidRPr="003F7850" w:rsidRDefault="00AF34F0" w:rsidP="00AF34F0">
      <w:pPr>
        <w:pStyle w:val="CaptionLong"/>
        <w:jc w:val="center"/>
        <w:rPr>
          <w:lang w:val="en-GB"/>
        </w:rPr>
      </w:pPr>
      <w:r w:rsidRPr="003F7850">
        <w:rPr>
          <w:b/>
          <w:lang w:val="en-GB"/>
        </w:rPr>
        <w:t xml:space="preserve">Table </w:t>
      </w:r>
      <w:r w:rsidR="00A47184" w:rsidRPr="003F7850">
        <w:rPr>
          <w:b/>
          <w:lang w:val="en-GB"/>
        </w:rPr>
        <w:t>3</w:t>
      </w:r>
      <w:r w:rsidRPr="003F7850">
        <w:rPr>
          <w:b/>
          <w:lang w:val="en-GB"/>
        </w:rPr>
        <w:t>.</w:t>
      </w:r>
      <w:r w:rsidRPr="003F7850">
        <w:rPr>
          <w:lang w:val="en-GB"/>
        </w:rPr>
        <w:t xml:space="preserve"> Additional information for the </w:t>
      </w:r>
      <w:proofErr w:type="spellStart"/>
      <w:r w:rsidRPr="003F7850">
        <w:rPr>
          <w:lang w:val="en-GB"/>
        </w:rPr>
        <w:t>SGISc</w:t>
      </w:r>
      <w:proofErr w:type="spellEnd"/>
      <w:r w:rsidRPr="003F7850">
        <w:rPr>
          <w:lang w:val="en-GB"/>
        </w:rPr>
        <w:t xml:space="preserve"> application.</w:t>
      </w:r>
    </w:p>
    <w:tbl>
      <w:tblPr>
        <w:tblW w:w="5443" w:type="dxa"/>
        <w:jc w:val="center"/>
        <w:tblLayout w:type="fixed"/>
        <w:tblLook w:val="00A0" w:firstRow="1" w:lastRow="0" w:firstColumn="1" w:lastColumn="0" w:noHBand="0" w:noVBand="0"/>
      </w:tblPr>
      <w:tblGrid>
        <w:gridCol w:w="3402"/>
        <w:gridCol w:w="680"/>
        <w:gridCol w:w="680"/>
        <w:gridCol w:w="681"/>
      </w:tblGrid>
      <w:tr w:rsidR="00AF34F0" w:rsidRPr="003F7850" w14:paraId="529A6DFD" w14:textId="77777777" w:rsidTr="004E0754">
        <w:trPr>
          <w:trHeight w:val="268"/>
          <w:jc w:val="center"/>
        </w:trPr>
        <w:tc>
          <w:tcPr>
            <w:tcW w:w="5443" w:type="dxa"/>
            <w:gridSpan w:val="4"/>
            <w:tcBorders>
              <w:top w:val="single" w:sz="4" w:space="0" w:color="auto"/>
              <w:bottom w:val="single" w:sz="4" w:space="0" w:color="auto"/>
            </w:tcBorders>
          </w:tcPr>
          <w:p w14:paraId="693FE0A8" w14:textId="3D1B73B2" w:rsidR="00AF34F0" w:rsidRPr="003F7850" w:rsidRDefault="00AF34F0" w:rsidP="004E0754">
            <w:pPr>
              <w:jc w:val="center"/>
              <w:rPr>
                <w:b/>
                <w:sz w:val="16"/>
                <w:szCs w:val="16"/>
                <w:lang w:val="en-GB"/>
              </w:rPr>
            </w:pPr>
            <w:r w:rsidRPr="003F7850">
              <w:rPr>
                <w:b/>
                <w:sz w:val="16"/>
                <w:szCs w:val="16"/>
                <w:lang w:val="en-GB"/>
              </w:rPr>
              <w:t>Additional Data</w:t>
            </w:r>
          </w:p>
        </w:tc>
      </w:tr>
      <w:tr w:rsidR="00AF34F0" w:rsidRPr="003F7850" w14:paraId="225DC991" w14:textId="77777777" w:rsidTr="009B0E05">
        <w:trPr>
          <w:trHeight w:val="268"/>
          <w:jc w:val="center"/>
        </w:trPr>
        <w:tc>
          <w:tcPr>
            <w:tcW w:w="3402" w:type="dxa"/>
            <w:tcBorders>
              <w:top w:val="single" w:sz="4" w:space="0" w:color="auto"/>
            </w:tcBorders>
          </w:tcPr>
          <w:p w14:paraId="097A5E67" w14:textId="20DC5E39" w:rsidR="00AF34F0" w:rsidRPr="003F7850" w:rsidRDefault="00AF34F0" w:rsidP="001671FB">
            <w:pPr>
              <w:jc w:val="left"/>
              <w:rPr>
                <w:sz w:val="16"/>
                <w:szCs w:val="16"/>
                <w:lang w:val="en-GB"/>
              </w:rPr>
            </w:pPr>
            <w:r w:rsidRPr="003F7850">
              <w:rPr>
                <w:sz w:val="16"/>
                <w:szCs w:val="16"/>
                <w:lang w:val="en-GB"/>
              </w:rPr>
              <w:t>Lateral exposed area</w:t>
            </w:r>
          </w:p>
        </w:tc>
        <w:tc>
          <w:tcPr>
            <w:tcW w:w="680" w:type="dxa"/>
            <w:tcBorders>
              <w:top w:val="single" w:sz="4" w:space="0" w:color="auto"/>
            </w:tcBorders>
          </w:tcPr>
          <w:p w14:paraId="36844094" w14:textId="1FD080DE" w:rsidR="00AF34F0" w:rsidRPr="003F7850" w:rsidRDefault="001671FB" w:rsidP="004E0754">
            <w:pPr>
              <w:jc w:val="center"/>
              <w:rPr>
                <w:sz w:val="16"/>
                <w:szCs w:val="16"/>
                <w:lang w:val="en-GB"/>
              </w:rPr>
            </w:pPr>
            <w:r w:rsidRPr="003F7850">
              <w:rPr>
                <w:sz w:val="16"/>
                <w:szCs w:val="16"/>
                <w:lang w:val="en-GB"/>
              </w:rPr>
              <w:t>A</w:t>
            </w:r>
            <w:r w:rsidRPr="003F7850">
              <w:rPr>
                <w:sz w:val="16"/>
                <w:szCs w:val="16"/>
                <w:vertAlign w:val="subscript"/>
                <w:lang w:val="en-GB"/>
              </w:rPr>
              <w:t>LE</w:t>
            </w:r>
          </w:p>
        </w:tc>
        <w:tc>
          <w:tcPr>
            <w:tcW w:w="680" w:type="dxa"/>
            <w:tcBorders>
              <w:top w:val="single" w:sz="4" w:space="0" w:color="auto"/>
            </w:tcBorders>
          </w:tcPr>
          <w:p w14:paraId="0AAE3939" w14:textId="6F3A28F1" w:rsidR="00AF34F0" w:rsidRPr="003F7850" w:rsidRDefault="00037964" w:rsidP="004E0754">
            <w:pPr>
              <w:tabs>
                <w:tab w:val="decimal" w:pos="1101"/>
              </w:tabs>
              <w:rPr>
                <w:sz w:val="16"/>
                <w:szCs w:val="16"/>
                <w:lang w:val="en-GB"/>
              </w:rPr>
            </w:pPr>
            <w:r w:rsidRPr="003F7850">
              <w:rPr>
                <w:sz w:val="16"/>
                <w:szCs w:val="16"/>
                <w:lang w:val="en-GB"/>
              </w:rPr>
              <w:t>914.6</w:t>
            </w:r>
          </w:p>
        </w:tc>
        <w:tc>
          <w:tcPr>
            <w:tcW w:w="681" w:type="dxa"/>
            <w:tcBorders>
              <w:top w:val="single" w:sz="4" w:space="0" w:color="auto"/>
            </w:tcBorders>
          </w:tcPr>
          <w:p w14:paraId="58D5EFCF" w14:textId="3075FADE" w:rsidR="00AF34F0" w:rsidRPr="003F7850" w:rsidRDefault="00AF34F0" w:rsidP="004E0754">
            <w:pPr>
              <w:tabs>
                <w:tab w:val="decimal" w:pos="1101"/>
              </w:tabs>
              <w:rPr>
                <w:sz w:val="16"/>
                <w:szCs w:val="16"/>
                <w:lang w:val="en-GB"/>
              </w:rPr>
            </w:pPr>
            <w:r w:rsidRPr="003F7850">
              <w:rPr>
                <w:sz w:val="16"/>
                <w:szCs w:val="16"/>
                <w:lang w:val="en-GB"/>
              </w:rPr>
              <w:t>m</w:t>
            </w:r>
            <w:r w:rsidR="006A5383" w:rsidRPr="003F7850">
              <w:rPr>
                <w:sz w:val="16"/>
                <w:szCs w:val="16"/>
                <w:vertAlign w:val="superscript"/>
                <w:lang w:val="en-GB"/>
              </w:rPr>
              <w:t>2</w:t>
            </w:r>
          </w:p>
        </w:tc>
      </w:tr>
      <w:tr w:rsidR="00AF34F0" w:rsidRPr="003F7850" w14:paraId="6FDE6A48" w14:textId="77777777" w:rsidTr="009B0E05">
        <w:trPr>
          <w:trHeight w:val="268"/>
          <w:jc w:val="center"/>
        </w:trPr>
        <w:tc>
          <w:tcPr>
            <w:tcW w:w="3402" w:type="dxa"/>
            <w:tcBorders>
              <w:bottom w:val="single" w:sz="4" w:space="0" w:color="auto"/>
            </w:tcBorders>
          </w:tcPr>
          <w:p w14:paraId="54B83828" w14:textId="50A05F87" w:rsidR="00AF34F0" w:rsidRPr="003F7850" w:rsidRDefault="001671FB" w:rsidP="001671FB">
            <w:pPr>
              <w:jc w:val="left"/>
              <w:rPr>
                <w:sz w:val="16"/>
                <w:szCs w:val="16"/>
                <w:lang w:val="en-GB"/>
              </w:rPr>
            </w:pPr>
            <w:r w:rsidRPr="003F7850">
              <w:rPr>
                <w:sz w:val="16"/>
                <w:szCs w:val="16"/>
                <w:lang w:val="en-GB"/>
              </w:rPr>
              <w:t xml:space="preserve">Vertical position of the </w:t>
            </w:r>
            <w:proofErr w:type="spellStart"/>
            <w:r w:rsidRPr="003F7850">
              <w:rPr>
                <w:sz w:val="16"/>
                <w:szCs w:val="16"/>
                <w:lang w:val="en-GB"/>
              </w:rPr>
              <w:t>center</w:t>
            </w:r>
            <w:proofErr w:type="spellEnd"/>
            <w:r w:rsidRPr="003F7850">
              <w:rPr>
                <w:sz w:val="16"/>
                <w:szCs w:val="16"/>
                <w:lang w:val="en-GB"/>
              </w:rPr>
              <w:t xml:space="preserve"> of A</w:t>
            </w:r>
            <w:r w:rsidRPr="003F7850">
              <w:rPr>
                <w:sz w:val="16"/>
                <w:szCs w:val="16"/>
                <w:vertAlign w:val="subscript"/>
                <w:lang w:val="en-GB"/>
              </w:rPr>
              <w:t>LE</w:t>
            </w:r>
          </w:p>
        </w:tc>
        <w:tc>
          <w:tcPr>
            <w:tcW w:w="680" w:type="dxa"/>
            <w:tcBorders>
              <w:bottom w:val="single" w:sz="4" w:space="0" w:color="auto"/>
            </w:tcBorders>
          </w:tcPr>
          <w:p w14:paraId="3A4F2655" w14:textId="10FC42A6" w:rsidR="00AF34F0" w:rsidRPr="003F7850" w:rsidRDefault="006A5383" w:rsidP="004E0754">
            <w:pPr>
              <w:jc w:val="center"/>
              <w:rPr>
                <w:sz w:val="16"/>
                <w:szCs w:val="16"/>
                <w:lang w:val="en-GB"/>
              </w:rPr>
            </w:pPr>
            <w:r w:rsidRPr="003F7850">
              <w:rPr>
                <w:sz w:val="16"/>
                <w:szCs w:val="16"/>
                <w:lang w:val="en-GB"/>
              </w:rPr>
              <w:t>Z</w:t>
            </w:r>
            <w:r w:rsidRPr="003F7850">
              <w:rPr>
                <w:sz w:val="16"/>
                <w:szCs w:val="16"/>
                <w:vertAlign w:val="subscript"/>
                <w:lang w:val="en-GB"/>
              </w:rPr>
              <w:t>LE</w:t>
            </w:r>
          </w:p>
        </w:tc>
        <w:tc>
          <w:tcPr>
            <w:tcW w:w="680" w:type="dxa"/>
            <w:tcBorders>
              <w:bottom w:val="single" w:sz="4" w:space="0" w:color="auto"/>
            </w:tcBorders>
          </w:tcPr>
          <w:p w14:paraId="097E4F84" w14:textId="5807690B" w:rsidR="00AF34F0" w:rsidRPr="003F7850" w:rsidRDefault="00700C18" w:rsidP="004E0754">
            <w:pPr>
              <w:tabs>
                <w:tab w:val="decimal" w:pos="1101"/>
              </w:tabs>
              <w:rPr>
                <w:sz w:val="16"/>
                <w:szCs w:val="16"/>
                <w:lang w:val="en-GB"/>
              </w:rPr>
            </w:pPr>
            <w:r w:rsidRPr="003F7850">
              <w:rPr>
                <w:sz w:val="16"/>
                <w:szCs w:val="16"/>
                <w:lang w:val="en-GB"/>
              </w:rPr>
              <w:t>9.56</w:t>
            </w:r>
          </w:p>
        </w:tc>
        <w:tc>
          <w:tcPr>
            <w:tcW w:w="681" w:type="dxa"/>
            <w:tcBorders>
              <w:bottom w:val="single" w:sz="4" w:space="0" w:color="auto"/>
            </w:tcBorders>
          </w:tcPr>
          <w:p w14:paraId="4DBD3D1D" w14:textId="77777777" w:rsidR="00AF34F0" w:rsidRPr="003F7850" w:rsidRDefault="00AF34F0" w:rsidP="004E0754">
            <w:pPr>
              <w:tabs>
                <w:tab w:val="decimal" w:pos="1101"/>
              </w:tabs>
              <w:rPr>
                <w:sz w:val="16"/>
                <w:szCs w:val="16"/>
                <w:lang w:val="en-GB"/>
              </w:rPr>
            </w:pPr>
            <w:r w:rsidRPr="003F7850">
              <w:rPr>
                <w:sz w:val="16"/>
                <w:szCs w:val="16"/>
                <w:lang w:val="en-GB"/>
              </w:rPr>
              <w:t>m</w:t>
            </w:r>
          </w:p>
        </w:tc>
      </w:tr>
      <w:tr w:rsidR="00AF34F0" w:rsidRPr="003F7850" w14:paraId="7F5B5F76" w14:textId="77777777" w:rsidTr="009B0E05">
        <w:trPr>
          <w:trHeight w:val="268"/>
          <w:jc w:val="center"/>
        </w:trPr>
        <w:tc>
          <w:tcPr>
            <w:tcW w:w="3402" w:type="dxa"/>
            <w:tcBorders>
              <w:top w:val="single" w:sz="4" w:space="0" w:color="auto"/>
            </w:tcBorders>
          </w:tcPr>
          <w:p w14:paraId="42A049D0" w14:textId="54B92ADF" w:rsidR="00AF34F0" w:rsidRPr="003F7850" w:rsidRDefault="009B0E05" w:rsidP="00C730D4">
            <w:pPr>
              <w:ind w:left="745"/>
              <w:jc w:val="left"/>
              <w:rPr>
                <w:i/>
                <w:iCs/>
                <w:sz w:val="16"/>
                <w:szCs w:val="16"/>
                <w:lang w:val="en-GB"/>
              </w:rPr>
            </w:pPr>
            <w:r w:rsidRPr="003F7850">
              <w:rPr>
                <w:i/>
                <w:iCs/>
                <w:sz w:val="16"/>
                <w:szCs w:val="16"/>
                <w:lang w:val="en-GB"/>
              </w:rPr>
              <w:t>Coordinate of the h</w:t>
            </w:r>
            <w:r w:rsidR="006A5383" w:rsidRPr="003F7850">
              <w:rPr>
                <w:i/>
                <w:iCs/>
                <w:sz w:val="16"/>
                <w:szCs w:val="16"/>
                <w:lang w:val="en-GB"/>
              </w:rPr>
              <w:t>ighest point</w:t>
            </w:r>
          </w:p>
        </w:tc>
        <w:tc>
          <w:tcPr>
            <w:tcW w:w="680" w:type="dxa"/>
            <w:tcBorders>
              <w:top w:val="single" w:sz="4" w:space="0" w:color="auto"/>
            </w:tcBorders>
          </w:tcPr>
          <w:p w14:paraId="1A3C7B91" w14:textId="41B1598A" w:rsidR="00AF34F0" w:rsidRPr="003F7850" w:rsidRDefault="00AF34F0" w:rsidP="004E0754">
            <w:pPr>
              <w:jc w:val="center"/>
              <w:rPr>
                <w:sz w:val="16"/>
                <w:szCs w:val="16"/>
                <w:lang w:val="en-GB"/>
              </w:rPr>
            </w:pPr>
          </w:p>
        </w:tc>
        <w:tc>
          <w:tcPr>
            <w:tcW w:w="680" w:type="dxa"/>
            <w:tcBorders>
              <w:top w:val="single" w:sz="4" w:space="0" w:color="auto"/>
            </w:tcBorders>
          </w:tcPr>
          <w:p w14:paraId="1D5D3CB3" w14:textId="0BD9E84C" w:rsidR="00AF34F0" w:rsidRPr="003F7850" w:rsidRDefault="00AF34F0" w:rsidP="004E0754">
            <w:pPr>
              <w:tabs>
                <w:tab w:val="decimal" w:pos="1101"/>
              </w:tabs>
              <w:rPr>
                <w:sz w:val="16"/>
                <w:szCs w:val="16"/>
                <w:lang w:val="en-GB"/>
              </w:rPr>
            </w:pPr>
          </w:p>
        </w:tc>
        <w:tc>
          <w:tcPr>
            <w:tcW w:w="681" w:type="dxa"/>
            <w:tcBorders>
              <w:top w:val="single" w:sz="4" w:space="0" w:color="auto"/>
            </w:tcBorders>
          </w:tcPr>
          <w:p w14:paraId="1CEE5C65" w14:textId="1868E9B1" w:rsidR="00AF34F0" w:rsidRPr="003F7850" w:rsidRDefault="00AF34F0" w:rsidP="004E0754">
            <w:pPr>
              <w:tabs>
                <w:tab w:val="decimal" w:pos="1101"/>
              </w:tabs>
              <w:rPr>
                <w:sz w:val="16"/>
                <w:szCs w:val="16"/>
                <w:lang w:val="en-GB"/>
              </w:rPr>
            </w:pPr>
          </w:p>
        </w:tc>
      </w:tr>
      <w:tr w:rsidR="00AF34F0" w:rsidRPr="003F7850" w14:paraId="336CB553" w14:textId="77777777" w:rsidTr="009B0E05">
        <w:trPr>
          <w:trHeight w:val="268"/>
          <w:jc w:val="center"/>
        </w:trPr>
        <w:tc>
          <w:tcPr>
            <w:tcW w:w="3402" w:type="dxa"/>
          </w:tcPr>
          <w:p w14:paraId="6F6A2AB9" w14:textId="5015973E" w:rsidR="00AF34F0" w:rsidRPr="003F7850" w:rsidRDefault="009B0E05" w:rsidP="001671FB">
            <w:pPr>
              <w:jc w:val="left"/>
              <w:rPr>
                <w:sz w:val="16"/>
                <w:szCs w:val="16"/>
                <w:lang w:val="en-GB"/>
              </w:rPr>
            </w:pPr>
            <w:r w:rsidRPr="003F7850">
              <w:rPr>
                <w:sz w:val="16"/>
                <w:szCs w:val="16"/>
                <w:lang w:val="en-GB"/>
              </w:rPr>
              <w:t>Longitudinal position</w:t>
            </w:r>
          </w:p>
        </w:tc>
        <w:tc>
          <w:tcPr>
            <w:tcW w:w="680" w:type="dxa"/>
          </w:tcPr>
          <w:p w14:paraId="56F5FAF5" w14:textId="33DF737E" w:rsidR="00AF34F0" w:rsidRPr="003F7850" w:rsidRDefault="009B0E05" w:rsidP="004E0754">
            <w:pPr>
              <w:jc w:val="center"/>
              <w:rPr>
                <w:sz w:val="16"/>
                <w:szCs w:val="16"/>
                <w:lang w:val="en-GB"/>
              </w:rPr>
            </w:pPr>
            <w:r w:rsidRPr="003F7850">
              <w:rPr>
                <w:sz w:val="16"/>
                <w:szCs w:val="16"/>
                <w:lang w:val="en-GB"/>
              </w:rPr>
              <w:t>X</w:t>
            </w:r>
            <w:r w:rsidRPr="003F7850">
              <w:rPr>
                <w:sz w:val="16"/>
                <w:szCs w:val="16"/>
                <w:vertAlign w:val="subscript"/>
                <w:lang w:val="en-GB"/>
              </w:rPr>
              <w:t>A</w:t>
            </w:r>
          </w:p>
        </w:tc>
        <w:tc>
          <w:tcPr>
            <w:tcW w:w="680" w:type="dxa"/>
          </w:tcPr>
          <w:p w14:paraId="35A97DAB" w14:textId="2A94CF85" w:rsidR="00AF34F0" w:rsidRPr="003F7850" w:rsidRDefault="003E6861" w:rsidP="004E0754">
            <w:pPr>
              <w:tabs>
                <w:tab w:val="decimal" w:pos="1101"/>
              </w:tabs>
              <w:rPr>
                <w:sz w:val="16"/>
                <w:szCs w:val="16"/>
                <w:lang w:val="en-GB"/>
              </w:rPr>
            </w:pPr>
            <w:r w:rsidRPr="003F7850">
              <w:rPr>
                <w:sz w:val="16"/>
                <w:szCs w:val="16"/>
                <w:lang w:val="en-GB"/>
              </w:rPr>
              <w:t>18.29</w:t>
            </w:r>
          </w:p>
        </w:tc>
        <w:tc>
          <w:tcPr>
            <w:tcW w:w="681" w:type="dxa"/>
          </w:tcPr>
          <w:p w14:paraId="4246DBD8" w14:textId="00EC46E3" w:rsidR="00AF34F0" w:rsidRPr="003F7850" w:rsidRDefault="009B0E05" w:rsidP="004E0754">
            <w:pPr>
              <w:tabs>
                <w:tab w:val="decimal" w:pos="1101"/>
              </w:tabs>
              <w:rPr>
                <w:sz w:val="16"/>
                <w:szCs w:val="16"/>
                <w:lang w:val="en-GB"/>
              </w:rPr>
            </w:pPr>
            <w:r w:rsidRPr="003F7850">
              <w:rPr>
                <w:sz w:val="16"/>
                <w:szCs w:val="16"/>
                <w:lang w:val="en-GB"/>
              </w:rPr>
              <w:t>m</w:t>
            </w:r>
          </w:p>
        </w:tc>
      </w:tr>
      <w:tr w:rsidR="00AF34F0" w:rsidRPr="003F7850" w14:paraId="70882D7C" w14:textId="77777777" w:rsidTr="009B0E05">
        <w:trPr>
          <w:trHeight w:val="268"/>
          <w:jc w:val="center"/>
        </w:trPr>
        <w:tc>
          <w:tcPr>
            <w:tcW w:w="3402" w:type="dxa"/>
            <w:tcBorders>
              <w:bottom w:val="single" w:sz="4" w:space="0" w:color="auto"/>
            </w:tcBorders>
          </w:tcPr>
          <w:p w14:paraId="6C751268" w14:textId="2319FCFE" w:rsidR="00AF34F0" w:rsidRPr="003F7850" w:rsidRDefault="009B0E05" w:rsidP="001671FB">
            <w:pPr>
              <w:jc w:val="left"/>
              <w:rPr>
                <w:sz w:val="16"/>
                <w:szCs w:val="16"/>
                <w:lang w:val="en-GB"/>
              </w:rPr>
            </w:pPr>
            <w:r w:rsidRPr="003F7850">
              <w:rPr>
                <w:sz w:val="16"/>
                <w:szCs w:val="16"/>
                <w:lang w:val="en-GB"/>
              </w:rPr>
              <w:t>Vertical position</w:t>
            </w:r>
          </w:p>
        </w:tc>
        <w:tc>
          <w:tcPr>
            <w:tcW w:w="680" w:type="dxa"/>
            <w:tcBorders>
              <w:bottom w:val="single" w:sz="4" w:space="0" w:color="auto"/>
            </w:tcBorders>
          </w:tcPr>
          <w:p w14:paraId="62501724" w14:textId="6FAB6B01" w:rsidR="00AF34F0" w:rsidRPr="003F7850" w:rsidRDefault="009B0E05" w:rsidP="004E0754">
            <w:pPr>
              <w:jc w:val="center"/>
              <w:rPr>
                <w:sz w:val="16"/>
                <w:szCs w:val="16"/>
                <w:lang w:val="en-GB"/>
              </w:rPr>
            </w:pPr>
            <w:r w:rsidRPr="003F7850">
              <w:rPr>
                <w:sz w:val="16"/>
                <w:szCs w:val="16"/>
                <w:lang w:val="en-GB"/>
              </w:rPr>
              <w:t>Z</w:t>
            </w:r>
            <w:r w:rsidRPr="003F7850">
              <w:rPr>
                <w:sz w:val="16"/>
                <w:szCs w:val="16"/>
                <w:vertAlign w:val="subscript"/>
                <w:lang w:val="en-GB"/>
              </w:rPr>
              <w:t>A</w:t>
            </w:r>
          </w:p>
        </w:tc>
        <w:tc>
          <w:tcPr>
            <w:tcW w:w="680" w:type="dxa"/>
            <w:tcBorders>
              <w:bottom w:val="single" w:sz="4" w:space="0" w:color="auto"/>
            </w:tcBorders>
          </w:tcPr>
          <w:p w14:paraId="3594A78E" w14:textId="195D38D9" w:rsidR="00AF34F0" w:rsidRPr="003F7850" w:rsidRDefault="003E6861" w:rsidP="004E0754">
            <w:pPr>
              <w:tabs>
                <w:tab w:val="decimal" w:pos="1101"/>
              </w:tabs>
              <w:rPr>
                <w:sz w:val="16"/>
                <w:szCs w:val="16"/>
                <w:lang w:val="en-GB"/>
              </w:rPr>
            </w:pPr>
            <w:r w:rsidRPr="003F7850">
              <w:rPr>
                <w:sz w:val="16"/>
                <w:szCs w:val="16"/>
                <w:lang w:val="en-GB"/>
              </w:rPr>
              <w:t>15.88</w:t>
            </w:r>
          </w:p>
        </w:tc>
        <w:tc>
          <w:tcPr>
            <w:tcW w:w="681" w:type="dxa"/>
            <w:tcBorders>
              <w:bottom w:val="single" w:sz="4" w:space="0" w:color="auto"/>
            </w:tcBorders>
          </w:tcPr>
          <w:p w14:paraId="22ECC682" w14:textId="041ECD48" w:rsidR="00AF34F0" w:rsidRPr="003F7850" w:rsidRDefault="009B0E05" w:rsidP="004E0754">
            <w:pPr>
              <w:tabs>
                <w:tab w:val="decimal" w:pos="1101"/>
              </w:tabs>
              <w:rPr>
                <w:sz w:val="16"/>
                <w:szCs w:val="16"/>
                <w:lang w:val="en-GB"/>
              </w:rPr>
            </w:pPr>
            <w:r w:rsidRPr="003F7850">
              <w:rPr>
                <w:sz w:val="16"/>
                <w:szCs w:val="16"/>
                <w:lang w:val="en-GB"/>
              </w:rPr>
              <w:t>m</w:t>
            </w:r>
          </w:p>
        </w:tc>
      </w:tr>
      <w:tr w:rsidR="009B0E05" w:rsidRPr="003F7850" w14:paraId="16DDE319" w14:textId="77777777" w:rsidTr="009B0E05">
        <w:trPr>
          <w:trHeight w:val="268"/>
          <w:jc w:val="center"/>
        </w:trPr>
        <w:tc>
          <w:tcPr>
            <w:tcW w:w="3402" w:type="dxa"/>
            <w:tcBorders>
              <w:top w:val="single" w:sz="4" w:space="0" w:color="auto"/>
            </w:tcBorders>
          </w:tcPr>
          <w:p w14:paraId="3345DA18" w14:textId="678F200D" w:rsidR="009B0E05" w:rsidRPr="003F7850" w:rsidRDefault="009B0E05" w:rsidP="00C730D4">
            <w:pPr>
              <w:ind w:left="745"/>
              <w:jc w:val="left"/>
              <w:rPr>
                <w:i/>
                <w:iCs/>
                <w:sz w:val="16"/>
                <w:szCs w:val="16"/>
                <w:lang w:val="en-GB"/>
              </w:rPr>
            </w:pPr>
            <w:r w:rsidRPr="003F7850">
              <w:rPr>
                <w:i/>
                <w:iCs/>
                <w:sz w:val="16"/>
                <w:szCs w:val="16"/>
                <w:lang w:val="en-GB"/>
              </w:rPr>
              <w:t>Coordinate of the bridge</w:t>
            </w:r>
          </w:p>
        </w:tc>
        <w:tc>
          <w:tcPr>
            <w:tcW w:w="680" w:type="dxa"/>
            <w:tcBorders>
              <w:top w:val="single" w:sz="4" w:space="0" w:color="auto"/>
            </w:tcBorders>
          </w:tcPr>
          <w:p w14:paraId="19CCA1DD" w14:textId="5FCC6FF3" w:rsidR="009B0E05" w:rsidRPr="003F7850" w:rsidRDefault="009B0E05" w:rsidP="009B0E05">
            <w:pPr>
              <w:jc w:val="center"/>
              <w:rPr>
                <w:sz w:val="16"/>
                <w:szCs w:val="16"/>
                <w:lang w:val="en-GB"/>
              </w:rPr>
            </w:pPr>
          </w:p>
        </w:tc>
        <w:tc>
          <w:tcPr>
            <w:tcW w:w="680" w:type="dxa"/>
            <w:tcBorders>
              <w:top w:val="single" w:sz="4" w:space="0" w:color="auto"/>
            </w:tcBorders>
          </w:tcPr>
          <w:p w14:paraId="5A6A5847" w14:textId="77777777" w:rsidR="009B0E05" w:rsidRPr="003F7850" w:rsidRDefault="009B0E05" w:rsidP="009B0E05">
            <w:pPr>
              <w:tabs>
                <w:tab w:val="decimal" w:pos="1101"/>
              </w:tabs>
              <w:rPr>
                <w:sz w:val="16"/>
                <w:szCs w:val="16"/>
                <w:lang w:val="en-GB"/>
              </w:rPr>
            </w:pPr>
          </w:p>
        </w:tc>
        <w:tc>
          <w:tcPr>
            <w:tcW w:w="681" w:type="dxa"/>
            <w:tcBorders>
              <w:top w:val="single" w:sz="4" w:space="0" w:color="auto"/>
            </w:tcBorders>
          </w:tcPr>
          <w:p w14:paraId="3CC97016" w14:textId="40EF9E03" w:rsidR="009B0E05" w:rsidRPr="003F7850" w:rsidRDefault="009B0E05" w:rsidP="009B0E05">
            <w:pPr>
              <w:tabs>
                <w:tab w:val="decimal" w:pos="1101"/>
              </w:tabs>
              <w:rPr>
                <w:sz w:val="16"/>
                <w:szCs w:val="16"/>
                <w:lang w:val="en-GB"/>
              </w:rPr>
            </w:pPr>
          </w:p>
        </w:tc>
      </w:tr>
      <w:tr w:rsidR="009B0E05" w:rsidRPr="003F7850" w14:paraId="6C3DB0A3" w14:textId="77777777" w:rsidTr="009B0E05">
        <w:trPr>
          <w:trHeight w:val="268"/>
          <w:jc w:val="center"/>
        </w:trPr>
        <w:tc>
          <w:tcPr>
            <w:tcW w:w="3402" w:type="dxa"/>
          </w:tcPr>
          <w:p w14:paraId="595DE729" w14:textId="55152BD1" w:rsidR="009B0E05" w:rsidRPr="003F7850" w:rsidRDefault="009B0E05" w:rsidP="009B0E05">
            <w:pPr>
              <w:jc w:val="left"/>
              <w:rPr>
                <w:sz w:val="16"/>
                <w:szCs w:val="16"/>
                <w:lang w:val="en-GB"/>
              </w:rPr>
            </w:pPr>
            <w:r w:rsidRPr="003F7850">
              <w:rPr>
                <w:sz w:val="16"/>
                <w:szCs w:val="16"/>
                <w:lang w:val="en-GB"/>
              </w:rPr>
              <w:t>Longitudinal position</w:t>
            </w:r>
          </w:p>
        </w:tc>
        <w:tc>
          <w:tcPr>
            <w:tcW w:w="680" w:type="dxa"/>
          </w:tcPr>
          <w:p w14:paraId="0279E8C3" w14:textId="239355DC" w:rsidR="009B0E05" w:rsidRPr="003F7850" w:rsidRDefault="009B0E05" w:rsidP="009B0E05">
            <w:pPr>
              <w:jc w:val="center"/>
              <w:rPr>
                <w:sz w:val="16"/>
                <w:szCs w:val="16"/>
                <w:lang w:val="en-GB"/>
              </w:rPr>
            </w:pPr>
            <w:r w:rsidRPr="003F7850">
              <w:rPr>
                <w:sz w:val="16"/>
                <w:szCs w:val="16"/>
                <w:lang w:val="en-GB"/>
              </w:rPr>
              <w:t>X</w:t>
            </w:r>
            <w:r w:rsidRPr="003F7850">
              <w:rPr>
                <w:sz w:val="16"/>
                <w:szCs w:val="16"/>
                <w:vertAlign w:val="subscript"/>
                <w:lang w:val="en-GB"/>
              </w:rPr>
              <w:t>B</w:t>
            </w:r>
          </w:p>
        </w:tc>
        <w:tc>
          <w:tcPr>
            <w:tcW w:w="680" w:type="dxa"/>
          </w:tcPr>
          <w:p w14:paraId="19E344A7" w14:textId="18AAFD5D" w:rsidR="009B0E05" w:rsidRPr="003F7850" w:rsidRDefault="003E6861" w:rsidP="009B0E05">
            <w:pPr>
              <w:tabs>
                <w:tab w:val="decimal" w:pos="1101"/>
              </w:tabs>
              <w:rPr>
                <w:sz w:val="16"/>
                <w:szCs w:val="16"/>
                <w:lang w:val="en-GB"/>
              </w:rPr>
            </w:pPr>
            <w:r w:rsidRPr="003F7850">
              <w:rPr>
                <w:sz w:val="16"/>
                <w:szCs w:val="16"/>
                <w:lang w:val="en-GB"/>
              </w:rPr>
              <w:t>63.68</w:t>
            </w:r>
          </w:p>
        </w:tc>
        <w:tc>
          <w:tcPr>
            <w:tcW w:w="681" w:type="dxa"/>
          </w:tcPr>
          <w:p w14:paraId="3ECD7CE8" w14:textId="77777777" w:rsidR="009B0E05" w:rsidRPr="003F7850" w:rsidRDefault="009B0E05" w:rsidP="009B0E05">
            <w:pPr>
              <w:tabs>
                <w:tab w:val="decimal" w:pos="1101"/>
              </w:tabs>
              <w:rPr>
                <w:sz w:val="16"/>
                <w:szCs w:val="16"/>
                <w:lang w:val="en-GB"/>
              </w:rPr>
            </w:pPr>
            <w:r w:rsidRPr="003F7850">
              <w:rPr>
                <w:sz w:val="16"/>
                <w:szCs w:val="16"/>
                <w:lang w:val="en-GB"/>
              </w:rPr>
              <w:t>m</w:t>
            </w:r>
          </w:p>
        </w:tc>
      </w:tr>
      <w:tr w:rsidR="009B0E05" w:rsidRPr="003F7850" w14:paraId="2FA09E33" w14:textId="77777777" w:rsidTr="009B0E05">
        <w:trPr>
          <w:trHeight w:val="268"/>
          <w:jc w:val="center"/>
        </w:trPr>
        <w:tc>
          <w:tcPr>
            <w:tcW w:w="3402" w:type="dxa"/>
            <w:tcBorders>
              <w:bottom w:val="single" w:sz="4" w:space="0" w:color="auto"/>
            </w:tcBorders>
          </w:tcPr>
          <w:p w14:paraId="48DDD9F3" w14:textId="3F8E64AE" w:rsidR="009B0E05" w:rsidRPr="003F7850" w:rsidRDefault="009B0E05" w:rsidP="009B0E05">
            <w:pPr>
              <w:jc w:val="left"/>
              <w:rPr>
                <w:sz w:val="16"/>
                <w:szCs w:val="16"/>
                <w:lang w:val="en-GB"/>
              </w:rPr>
            </w:pPr>
            <w:r w:rsidRPr="003F7850">
              <w:rPr>
                <w:sz w:val="16"/>
                <w:szCs w:val="16"/>
                <w:lang w:val="en-GB"/>
              </w:rPr>
              <w:t>Vertical position</w:t>
            </w:r>
          </w:p>
        </w:tc>
        <w:tc>
          <w:tcPr>
            <w:tcW w:w="680" w:type="dxa"/>
            <w:tcBorders>
              <w:bottom w:val="single" w:sz="4" w:space="0" w:color="auto"/>
            </w:tcBorders>
          </w:tcPr>
          <w:p w14:paraId="01FF2436" w14:textId="6589086D" w:rsidR="009B0E05" w:rsidRPr="003F7850" w:rsidRDefault="009B0E05" w:rsidP="009B0E05">
            <w:pPr>
              <w:jc w:val="center"/>
              <w:rPr>
                <w:sz w:val="16"/>
                <w:szCs w:val="16"/>
                <w:lang w:val="en-GB"/>
              </w:rPr>
            </w:pPr>
            <w:r w:rsidRPr="003F7850">
              <w:rPr>
                <w:sz w:val="16"/>
                <w:szCs w:val="16"/>
                <w:lang w:val="en-GB"/>
              </w:rPr>
              <w:t>Z</w:t>
            </w:r>
            <w:r w:rsidRPr="003F7850">
              <w:rPr>
                <w:sz w:val="16"/>
                <w:szCs w:val="16"/>
                <w:vertAlign w:val="subscript"/>
                <w:lang w:val="en-GB"/>
              </w:rPr>
              <w:t>B</w:t>
            </w:r>
          </w:p>
        </w:tc>
        <w:tc>
          <w:tcPr>
            <w:tcW w:w="680" w:type="dxa"/>
            <w:tcBorders>
              <w:bottom w:val="single" w:sz="4" w:space="0" w:color="auto"/>
            </w:tcBorders>
          </w:tcPr>
          <w:p w14:paraId="341CD26E" w14:textId="4C4EA087" w:rsidR="009B0E05" w:rsidRPr="003F7850" w:rsidRDefault="003E6861" w:rsidP="009B0E05">
            <w:pPr>
              <w:tabs>
                <w:tab w:val="decimal" w:pos="1101"/>
              </w:tabs>
              <w:rPr>
                <w:sz w:val="16"/>
                <w:szCs w:val="16"/>
                <w:lang w:val="en-GB"/>
              </w:rPr>
            </w:pPr>
            <w:r w:rsidRPr="003F7850">
              <w:rPr>
                <w:sz w:val="16"/>
                <w:szCs w:val="16"/>
                <w:lang w:val="en-GB"/>
              </w:rPr>
              <w:t>15.05</w:t>
            </w:r>
          </w:p>
        </w:tc>
        <w:tc>
          <w:tcPr>
            <w:tcW w:w="681" w:type="dxa"/>
            <w:tcBorders>
              <w:bottom w:val="single" w:sz="4" w:space="0" w:color="auto"/>
            </w:tcBorders>
          </w:tcPr>
          <w:p w14:paraId="50C1A340" w14:textId="023E167B" w:rsidR="009B0E05" w:rsidRPr="003F7850" w:rsidRDefault="009B0E05" w:rsidP="009B0E05">
            <w:pPr>
              <w:tabs>
                <w:tab w:val="decimal" w:pos="1101"/>
              </w:tabs>
              <w:rPr>
                <w:sz w:val="16"/>
                <w:szCs w:val="16"/>
                <w:lang w:val="en-GB"/>
              </w:rPr>
            </w:pPr>
            <w:r w:rsidRPr="003F7850">
              <w:rPr>
                <w:sz w:val="16"/>
                <w:szCs w:val="16"/>
                <w:lang w:val="en-GB"/>
              </w:rPr>
              <w:t>m</w:t>
            </w:r>
          </w:p>
        </w:tc>
      </w:tr>
    </w:tbl>
    <w:p w14:paraId="3FE1DD19" w14:textId="77777777" w:rsidR="00AF34F0" w:rsidRPr="003F7850" w:rsidRDefault="00AF34F0" w:rsidP="00AF34F0">
      <w:pPr>
        <w:pStyle w:val="NoindentNormal"/>
        <w:ind w:firstLine="357"/>
        <w:rPr>
          <w:lang w:val="en-GB"/>
        </w:rPr>
      </w:pPr>
    </w:p>
    <w:p w14:paraId="3710F165" w14:textId="6754CF15" w:rsidR="00E7408F" w:rsidRPr="003F7850" w:rsidRDefault="0084112B" w:rsidP="00B43072">
      <w:pPr>
        <w:pStyle w:val="NoindentNormal"/>
        <w:ind w:firstLine="357"/>
        <w:rPr>
          <w:lang w:val="en-GB"/>
        </w:rPr>
      </w:pPr>
      <w:proofErr w:type="gramStart"/>
      <w:r w:rsidRPr="003F7850">
        <w:rPr>
          <w:lang w:val="en-GB"/>
        </w:rPr>
        <w:t>In light of</w:t>
      </w:r>
      <w:proofErr w:type="gramEnd"/>
      <w:r w:rsidRPr="003F7850">
        <w:rPr>
          <w:lang w:val="en-GB"/>
        </w:rPr>
        <w:t xml:space="preserve"> the results and </w:t>
      </w:r>
      <w:r w:rsidR="00C84276" w:rsidRPr="003F7850">
        <w:rPr>
          <w:lang w:val="en-GB"/>
        </w:rPr>
        <w:t xml:space="preserve">the </w:t>
      </w:r>
      <w:r w:rsidRPr="003F7850">
        <w:rPr>
          <w:lang w:val="en-GB"/>
        </w:rPr>
        <w:t xml:space="preserve">specific operational profile of the considered unit, it has been decided to continue the analysis with the application of the OL. Both the typologies of limitations have been considered. Firstly, </w:t>
      </w:r>
      <w:proofErr w:type="gramStart"/>
      <w:r w:rsidRPr="003F7850">
        <w:rPr>
          <w:lang w:val="en-GB"/>
        </w:rPr>
        <w:t>taking into account</w:t>
      </w:r>
      <w:proofErr w:type="gramEnd"/>
      <w:r w:rsidRPr="003F7850">
        <w:rPr>
          <w:lang w:val="en-GB"/>
        </w:rPr>
        <w:t xml:space="preserve"> the possible routes of t</w:t>
      </w:r>
      <w:r w:rsidR="005C3D5F" w:rsidRPr="003F7850">
        <w:rPr>
          <w:lang w:val="en-GB"/>
        </w:rPr>
        <w:t xml:space="preserve">he analysed </w:t>
      </w:r>
      <w:r w:rsidR="001F115E" w:rsidRPr="003F7850">
        <w:rPr>
          <w:lang w:val="en-GB"/>
        </w:rPr>
        <w:t xml:space="preserve">Ro-Ro </w:t>
      </w:r>
      <w:r w:rsidR="005C3D5F" w:rsidRPr="003F7850">
        <w:rPr>
          <w:lang w:val="en-GB"/>
        </w:rPr>
        <w:t xml:space="preserve">ferry, it has been deemed </w:t>
      </w:r>
      <w:r w:rsidR="00744D7C" w:rsidRPr="003F7850">
        <w:rPr>
          <w:lang w:val="en-GB"/>
        </w:rPr>
        <w:t xml:space="preserve">interesting to limit the sailing area from the North </w:t>
      </w:r>
      <w:r w:rsidR="007B696E" w:rsidRPr="003F7850">
        <w:rPr>
          <w:lang w:val="en-GB"/>
        </w:rPr>
        <w:t>Atlantic Ocean</w:t>
      </w:r>
      <w:r w:rsidR="00744D7C" w:rsidRPr="003F7850">
        <w:rPr>
          <w:lang w:val="en-GB"/>
        </w:rPr>
        <w:t xml:space="preserve"> to the </w:t>
      </w:r>
      <w:r w:rsidR="002033AD" w:rsidRPr="003F7850">
        <w:rPr>
          <w:lang w:val="en-GB"/>
        </w:rPr>
        <w:t xml:space="preserve">Central Mediterranean </w:t>
      </w:r>
      <w:r w:rsidR="00FD4A12" w:rsidRPr="003F7850">
        <w:rPr>
          <w:lang w:val="en-GB"/>
        </w:rPr>
        <w:t xml:space="preserve">Sea. </w:t>
      </w:r>
      <w:r w:rsidR="007B530A" w:rsidRPr="003F7850">
        <w:rPr>
          <w:lang w:val="en-GB"/>
        </w:rPr>
        <w:t>T</w:t>
      </w:r>
      <w:r w:rsidR="00FD4A12" w:rsidRPr="003F7850">
        <w:rPr>
          <w:lang w:val="en-GB"/>
        </w:rPr>
        <w:t xml:space="preserve">he second </w:t>
      </w:r>
      <w:r w:rsidR="00FD4A12" w:rsidRPr="003F7850">
        <w:rPr>
          <w:lang w:val="en-GB"/>
        </w:rPr>
        <w:lastRenderedPageBreak/>
        <w:t>typolog</w:t>
      </w:r>
      <w:r w:rsidR="007B530A" w:rsidRPr="003F7850">
        <w:rPr>
          <w:lang w:val="en-GB"/>
        </w:rPr>
        <w:t xml:space="preserve">y of OL, instead, has been defined </w:t>
      </w:r>
      <w:r w:rsidR="000A0DAD" w:rsidRPr="003F7850">
        <w:rPr>
          <w:lang w:val="en-GB"/>
        </w:rPr>
        <w:t>comparing the national and European directive rules</w:t>
      </w:r>
      <w:r w:rsidR="00801134" w:rsidRPr="003F7850">
        <w:rPr>
          <w:lang w:val="en-GB"/>
        </w:rPr>
        <w:t xml:space="preserve">, as </w:t>
      </w:r>
      <w:r w:rsidR="00646FB9" w:rsidRPr="003F7850">
        <w:rPr>
          <w:lang w:val="en-GB"/>
        </w:rPr>
        <w:t xml:space="preserve">reported in </w:t>
      </w:r>
      <w:r w:rsidR="002A220B" w:rsidRPr="003F7850">
        <w:rPr>
          <w:lang w:val="en-GB"/>
        </w:rPr>
        <w:t>2.</w:t>
      </w:r>
      <w:r w:rsidR="00A47184" w:rsidRPr="003F7850">
        <w:rPr>
          <w:lang w:val="en-GB"/>
        </w:rPr>
        <w:t>2</w:t>
      </w:r>
      <w:r w:rsidR="00646FB9" w:rsidRPr="003F7850">
        <w:rPr>
          <w:lang w:val="en-GB"/>
        </w:rPr>
        <w:t>.</w:t>
      </w:r>
      <w:r w:rsidR="00967511" w:rsidRPr="003F7850">
        <w:rPr>
          <w:lang w:val="en-GB"/>
        </w:rPr>
        <w:t xml:space="preserve"> </w:t>
      </w:r>
      <w:proofErr w:type="gramStart"/>
      <w:r w:rsidR="00BD574E" w:rsidRPr="003F7850">
        <w:rPr>
          <w:lang w:val="en-GB"/>
        </w:rPr>
        <w:t>In particular, t</w:t>
      </w:r>
      <w:r w:rsidR="00967511" w:rsidRPr="003F7850">
        <w:rPr>
          <w:lang w:val="en-GB"/>
        </w:rPr>
        <w:t>wo</w:t>
      </w:r>
      <w:proofErr w:type="gramEnd"/>
      <w:r w:rsidR="00994F02" w:rsidRPr="003F7850">
        <w:rPr>
          <w:lang w:val="en-GB"/>
        </w:rPr>
        <w:t xml:space="preserve"> </w:t>
      </w:r>
      <w:r w:rsidR="00967511" w:rsidRPr="003F7850">
        <w:rPr>
          <w:lang w:val="en-GB"/>
        </w:rPr>
        <w:t>significant wave height</w:t>
      </w:r>
      <w:r w:rsidR="00BD574E" w:rsidRPr="003F7850">
        <w:rPr>
          <w:lang w:val="en-GB"/>
        </w:rPr>
        <w:t>s</w:t>
      </w:r>
      <w:r w:rsidR="00967511" w:rsidRPr="003F7850">
        <w:rPr>
          <w:lang w:val="en-GB"/>
        </w:rPr>
        <w:t xml:space="preserve"> have been </w:t>
      </w:r>
      <w:r w:rsidR="00994F02" w:rsidRPr="003F7850">
        <w:rPr>
          <w:lang w:val="en-GB"/>
        </w:rPr>
        <w:t>selected as limiting wave height</w:t>
      </w:r>
      <w:r w:rsidR="00967511" w:rsidRPr="003F7850">
        <w:rPr>
          <w:lang w:val="en-GB"/>
        </w:rPr>
        <w:t>:</w:t>
      </w:r>
      <w:r w:rsidR="009171F7" w:rsidRPr="003F7850">
        <w:rPr>
          <w:lang w:val="en-GB"/>
        </w:rPr>
        <w:t xml:space="preserve"> H</w:t>
      </w:r>
      <w:r w:rsidR="009171F7" w:rsidRPr="003F7850">
        <w:rPr>
          <w:vertAlign w:val="subscript"/>
          <w:lang w:val="en-GB"/>
        </w:rPr>
        <w:t>S</w:t>
      </w:r>
      <w:r w:rsidR="00C97AB7" w:rsidRPr="003F7850">
        <w:rPr>
          <w:lang w:val="en-GB"/>
        </w:rPr>
        <w:t> </w:t>
      </w:r>
      <w:r w:rsidR="00967511" w:rsidRPr="003F7850">
        <w:rPr>
          <w:lang w:val="en-GB"/>
        </w:rPr>
        <w:t>=</w:t>
      </w:r>
      <w:r w:rsidR="00C97AB7" w:rsidRPr="003F7850">
        <w:rPr>
          <w:lang w:val="en-GB"/>
        </w:rPr>
        <w:t> </w:t>
      </w:r>
      <w:r w:rsidR="00967511" w:rsidRPr="003F7850">
        <w:rPr>
          <w:lang w:val="en-GB"/>
        </w:rPr>
        <w:t>2.50</w:t>
      </w:r>
      <w:r w:rsidR="0086733C" w:rsidRPr="003F7850">
        <w:rPr>
          <w:lang w:val="en-GB"/>
        </w:rPr>
        <w:t> </w:t>
      </w:r>
      <w:r w:rsidR="00967511" w:rsidRPr="003F7850">
        <w:rPr>
          <w:lang w:val="en-GB"/>
        </w:rPr>
        <w:t>m and</w:t>
      </w:r>
      <w:r w:rsidR="009171F7" w:rsidRPr="003F7850">
        <w:rPr>
          <w:lang w:val="en-GB"/>
        </w:rPr>
        <w:t xml:space="preserve"> H</w:t>
      </w:r>
      <w:r w:rsidR="009171F7" w:rsidRPr="003F7850">
        <w:rPr>
          <w:vertAlign w:val="subscript"/>
          <w:lang w:val="en-GB"/>
        </w:rPr>
        <w:t>S</w:t>
      </w:r>
      <w:r w:rsidR="00C97AB7" w:rsidRPr="003F7850">
        <w:rPr>
          <w:lang w:val="en-GB"/>
        </w:rPr>
        <w:t> </w:t>
      </w:r>
      <w:r w:rsidR="00967511" w:rsidRPr="003F7850">
        <w:rPr>
          <w:lang w:val="en-GB"/>
        </w:rPr>
        <w:t>=</w:t>
      </w:r>
      <w:r w:rsidR="00C97AB7" w:rsidRPr="003F7850">
        <w:rPr>
          <w:lang w:val="en-GB"/>
        </w:rPr>
        <w:t> </w:t>
      </w:r>
      <w:r w:rsidR="00967511" w:rsidRPr="003F7850">
        <w:rPr>
          <w:lang w:val="en-GB"/>
        </w:rPr>
        <w:t>1.50</w:t>
      </w:r>
      <w:r w:rsidR="0086733C" w:rsidRPr="003F7850">
        <w:rPr>
          <w:lang w:val="en-GB"/>
        </w:rPr>
        <w:t> </w:t>
      </w:r>
      <w:r w:rsidR="00967511" w:rsidRPr="003F7850">
        <w:rPr>
          <w:lang w:val="en-GB"/>
        </w:rPr>
        <w:t>m.</w:t>
      </w:r>
    </w:p>
    <w:p w14:paraId="23F1964F" w14:textId="70D92743" w:rsidR="00E7408F" w:rsidRPr="003F7850" w:rsidRDefault="00E7408F" w:rsidP="00E7408F">
      <w:pPr>
        <w:pStyle w:val="Titolo1"/>
        <w:rPr>
          <w:lang w:val="en-GB"/>
        </w:rPr>
      </w:pPr>
      <w:r w:rsidRPr="003F7850">
        <w:rPr>
          <w:lang w:val="en-GB"/>
        </w:rPr>
        <w:t>Results</w:t>
      </w:r>
    </w:p>
    <w:p w14:paraId="64E669B7" w14:textId="77777777" w:rsidR="000730EC" w:rsidRPr="003F7850" w:rsidRDefault="0029457C" w:rsidP="00BC53F6">
      <w:pPr>
        <w:rPr>
          <w:lang w:val="en-GB"/>
        </w:rPr>
      </w:pPr>
      <w:r w:rsidRPr="003F7850">
        <w:rPr>
          <w:lang w:val="en-GB"/>
        </w:rPr>
        <w:t>In this section</w:t>
      </w:r>
      <w:r w:rsidR="009171F7" w:rsidRPr="003F7850">
        <w:rPr>
          <w:lang w:val="en-GB"/>
        </w:rPr>
        <w:t xml:space="preserve"> the results have been presented in term</w:t>
      </w:r>
      <w:r w:rsidR="0037672A" w:rsidRPr="003F7850">
        <w:rPr>
          <w:lang w:val="en-GB"/>
        </w:rPr>
        <w:t>s</w:t>
      </w:r>
      <w:r w:rsidR="009171F7" w:rsidRPr="003F7850">
        <w:rPr>
          <w:lang w:val="en-GB"/>
        </w:rPr>
        <w:t xml:space="preserve"> of limiting KG </w:t>
      </w:r>
      <w:r w:rsidR="00A512C1" w:rsidRPr="003F7850">
        <w:rPr>
          <w:lang w:val="en-GB"/>
        </w:rPr>
        <w:t xml:space="preserve">curves as a function of the </w:t>
      </w:r>
      <w:r w:rsidR="0037672A" w:rsidRPr="003F7850">
        <w:rPr>
          <w:lang w:val="en-GB"/>
        </w:rPr>
        <w:t>draft.</w:t>
      </w:r>
      <w:r w:rsidR="00D206B7" w:rsidRPr="003F7850">
        <w:rPr>
          <w:lang w:val="en-GB"/>
        </w:rPr>
        <w:t xml:space="preserve"> </w:t>
      </w:r>
      <w:r w:rsidR="00713B4E" w:rsidRPr="003F7850">
        <w:rPr>
          <w:lang w:val="en-GB"/>
        </w:rPr>
        <w:t>Results for parametric roll, pure loss of stability and dead ship condition are represented by a maximum KG curve</w:t>
      </w:r>
      <w:r w:rsidR="0048018B" w:rsidRPr="003F7850">
        <w:rPr>
          <w:lang w:val="en-GB"/>
        </w:rPr>
        <w:t xml:space="preserve">; the curves are selected as the highest </w:t>
      </w:r>
      <w:r w:rsidR="008D31FB" w:rsidRPr="003F7850">
        <w:rPr>
          <w:lang w:val="en-GB"/>
        </w:rPr>
        <w:t>of the re</w:t>
      </w:r>
      <w:r w:rsidR="00E35AEA" w:rsidRPr="003F7850">
        <w:rPr>
          <w:lang w:val="en-GB"/>
        </w:rPr>
        <w:t>spect</w:t>
      </w:r>
      <w:r w:rsidR="008D31FB" w:rsidRPr="003F7850">
        <w:rPr>
          <w:lang w:val="en-GB"/>
        </w:rPr>
        <w:t>ive</w:t>
      </w:r>
      <w:r w:rsidR="0048018B" w:rsidRPr="003F7850">
        <w:rPr>
          <w:lang w:val="en-GB"/>
        </w:rPr>
        <w:t xml:space="preserve"> vulnerability levels.</w:t>
      </w:r>
      <w:r w:rsidR="009521D6" w:rsidRPr="003F7850">
        <w:rPr>
          <w:lang w:val="en-GB"/>
        </w:rPr>
        <w:t xml:space="preserve"> The final maximum KG</w:t>
      </w:r>
      <w:r w:rsidR="000A19EE" w:rsidRPr="003F7850">
        <w:rPr>
          <w:lang w:val="en-GB"/>
        </w:rPr>
        <w:t xml:space="preserve"> curves is selected as the envelope among the limiting curves of each stability failures.</w:t>
      </w:r>
      <w:r w:rsidR="00EB2A85" w:rsidRPr="003F7850">
        <w:rPr>
          <w:lang w:val="en-GB"/>
        </w:rPr>
        <w:t xml:space="preserve"> </w:t>
      </w:r>
      <w:r w:rsidR="00F8616F" w:rsidRPr="003F7850">
        <w:rPr>
          <w:lang w:val="en-GB"/>
        </w:rPr>
        <w:t>On the contrary, the excessive acceleration failure mode is represented by minimum KG curve, selected as the lowest between the vulnerability levels.</w:t>
      </w:r>
      <w:r w:rsidR="00CE23E7" w:rsidRPr="003F7850">
        <w:rPr>
          <w:lang w:val="en-GB"/>
        </w:rPr>
        <w:t xml:space="preserve"> </w:t>
      </w:r>
      <w:r w:rsidR="007E58E0" w:rsidRPr="003F7850">
        <w:rPr>
          <w:lang w:val="en-GB"/>
        </w:rPr>
        <w:t>The grey shaded area represent</w:t>
      </w:r>
      <w:r w:rsidR="00BA408D" w:rsidRPr="003F7850">
        <w:rPr>
          <w:lang w:val="en-GB"/>
        </w:rPr>
        <w:t>s</w:t>
      </w:r>
      <w:r w:rsidR="007E58E0" w:rsidRPr="003F7850">
        <w:rPr>
          <w:lang w:val="en-GB"/>
        </w:rPr>
        <w:t xml:space="preserve"> the safe </w:t>
      </w:r>
      <w:r w:rsidR="00C74AB4" w:rsidRPr="003F7850">
        <w:rPr>
          <w:lang w:val="en-GB"/>
        </w:rPr>
        <w:t xml:space="preserve">area where a loading condition (i.e., combination of draft and VCG) is deemed safe according to </w:t>
      </w:r>
      <w:proofErr w:type="spellStart"/>
      <w:r w:rsidR="00BA408D" w:rsidRPr="003F7850">
        <w:rPr>
          <w:lang w:val="en-GB"/>
        </w:rPr>
        <w:t>SGISc</w:t>
      </w:r>
      <w:proofErr w:type="spellEnd"/>
      <w:r w:rsidR="00AD163B" w:rsidRPr="003F7850">
        <w:rPr>
          <w:lang w:val="en-GB"/>
        </w:rPr>
        <w:t>.</w:t>
      </w:r>
      <w:r w:rsidR="00BC53F6" w:rsidRPr="003F7850">
        <w:rPr>
          <w:lang w:val="en-GB"/>
        </w:rPr>
        <w:t xml:space="preserve"> </w:t>
      </w:r>
    </w:p>
    <w:p w14:paraId="798504C4" w14:textId="4E50B1EE" w:rsidR="00BC53F6" w:rsidRPr="003F7850" w:rsidRDefault="005B6AC9" w:rsidP="007C55FE">
      <w:pPr>
        <w:ind w:firstLine="720"/>
        <w:rPr>
          <w:lang w:val="en-GB"/>
        </w:rPr>
      </w:pPr>
      <w:r w:rsidRPr="003F7850">
        <w:rPr>
          <w:lang w:val="en-GB"/>
        </w:rPr>
        <w:t xml:space="preserve">In </w:t>
      </w:r>
      <w:r w:rsidR="00AD163B" w:rsidRPr="003F7850">
        <w:rPr>
          <w:lang w:val="en-GB"/>
        </w:rPr>
        <w:t>Figure </w:t>
      </w:r>
      <w:r w:rsidR="00510947" w:rsidRPr="003F7850">
        <w:rPr>
          <w:lang w:val="en-GB"/>
        </w:rPr>
        <w:t>3</w:t>
      </w:r>
      <w:r w:rsidRPr="003F7850">
        <w:rPr>
          <w:lang w:val="en-GB"/>
        </w:rPr>
        <w:t xml:space="preserve">, the limiting curves </w:t>
      </w:r>
      <w:r w:rsidR="009D0242" w:rsidRPr="003F7850">
        <w:rPr>
          <w:lang w:val="en-GB"/>
        </w:rPr>
        <w:t>for the unrestricted navigation are shown</w:t>
      </w:r>
      <w:r w:rsidR="00BC53F6" w:rsidRPr="003F7850">
        <w:rPr>
          <w:lang w:val="en-GB"/>
        </w:rPr>
        <w:t>.</w:t>
      </w:r>
      <w:r w:rsidR="000730EC" w:rsidRPr="003F7850">
        <w:rPr>
          <w:lang w:val="en-GB"/>
        </w:rPr>
        <w:t xml:space="preserve"> It points out that the resulting minimum and maximum limiting curves crosses each other; this </w:t>
      </w:r>
      <w:r w:rsidR="007C55FE" w:rsidRPr="003F7850">
        <w:rPr>
          <w:lang w:val="en-GB"/>
        </w:rPr>
        <w:t>affe</w:t>
      </w:r>
      <w:r w:rsidR="000730EC" w:rsidRPr="003F7850">
        <w:rPr>
          <w:lang w:val="en-GB"/>
        </w:rPr>
        <w:t xml:space="preserve">cts </w:t>
      </w:r>
      <w:r w:rsidR="007C55FE" w:rsidRPr="003F7850">
        <w:rPr>
          <w:lang w:val="en-GB"/>
        </w:rPr>
        <w:t>the size</w:t>
      </w:r>
      <w:r w:rsidR="000730EC" w:rsidRPr="003F7850">
        <w:rPr>
          <w:lang w:val="en-GB"/>
        </w:rPr>
        <w:t xml:space="preserve"> of the safe </w:t>
      </w:r>
      <w:r w:rsidR="007C55FE" w:rsidRPr="003F7850">
        <w:rPr>
          <w:lang w:val="en-GB"/>
        </w:rPr>
        <w:t>zone</w:t>
      </w:r>
      <w:r w:rsidR="000730EC" w:rsidRPr="003F7850">
        <w:rPr>
          <w:lang w:val="en-GB"/>
        </w:rPr>
        <w:t xml:space="preserve"> (grey</w:t>
      </w:r>
      <w:r w:rsidR="007C55FE" w:rsidRPr="003F7850">
        <w:rPr>
          <w:lang w:val="en-GB"/>
        </w:rPr>
        <w:t xml:space="preserve"> area) which is </w:t>
      </w:r>
      <w:r w:rsidR="000730EC" w:rsidRPr="003F7850">
        <w:rPr>
          <w:lang w:val="en-GB"/>
        </w:rPr>
        <w:t xml:space="preserve">limited to a narrow </w:t>
      </w:r>
      <w:r w:rsidR="007C55FE" w:rsidRPr="003F7850">
        <w:rPr>
          <w:lang w:val="en-GB"/>
        </w:rPr>
        <w:t>area</w:t>
      </w:r>
      <w:r w:rsidR="000730EC" w:rsidRPr="003F7850">
        <w:rPr>
          <w:lang w:val="en-GB"/>
        </w:rPr>
        <w:t xml:space="preserve">. However, the design loading condition is </w:t>
      </w:r>
      <w:r w:rsidR="007C55FE" w:rsidRPr="003F7850">
        <w:rPr>
          <w:lang w:val="en-GB"/>
        </w:rPr>
        <w:t xml:space="preserve">still </w:t>
      </w:r>
      <w:r w:rsidR="000730EC" w:rsidRPr="003F7850">
        <w:rPr>
          <w:lang w:val="en-GB"/>
        </w:rPr>
        <w:t xml:space="preserve">considered safe by </w:t>
      </w:r>
      <w:proofErr w:type="spellStart"/>
      <w:r w:rsidR="000730EC" w:rsidRPr="003F7850">
        <w:rPr>
          <w:lang w:val="en-GB"/>
        </w:rPr>
        <w:t>SGISc</w:t>
      </w:r>
      <w:proofErr w:type="spellEnd"/>
      <w:r w:rsidR="000730EC" w:rsidRPr="003F7850">
        <w:rPr>
          <w:lang w:val="en-GB"/>
        </w:rPr>
        <w:t xml:space="preserve"> vulnerability level</w:t>
      </w:r>
      <w:r w:rsidR="007C55FE" w:rsidRPr="003F7850">
        <w:rPr>
          <w:lang w:val="en-GB"/>
        </w:rPr>
        <w:t>s</w:t>
      </w:r>
      <w:r w:rsidR="000730EC" w:rsidRPr="003F7850">
        <w:rPr>
          <w:lang w:val="en-GB"/>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9"/>
      </w:tblGrid>
      <w:tr w:rsidR="00BC53F6" w:rsidRPr="003F7850" w14:paraId="5E1D30F3" w14:textId="77777777" w:rsidTr="00F36059">
        <w:trPr>
          <w:jc w:val="center"/>
        </w:trPr>
        <w:tc>
          <w:tcPr>
            <w:tcW w:w="4649" w:type="dxa"/>
          </w:tcPr>
          <w:p w14:paraId="7F14D606" w14:textId="77777777" w:rsidR="00BC53F6" w:rsidRPr="003F7850" w:rsidRDefault="00BC53F6" w:rsidP="00770AE5">
            <w:pPr>
              <w:pStyle w:val="NoindentNormal"/>
              <w:spacing w:before="240"/>
              <w:jc w:val="center"/>
              <w:rPr>
                <w:lang w:val="en-GB"/>
              </w:rPr>
            </w:pPr>
            <w:r w:rsidRPr="003F7850">
              <w:rPr>
                <w:noProof/>
                <w:lang w:val="en-GB"/>
              </w:rPr>
              <w:drawing>
                <wp:inline distT="0" distB="0" distL="0" distR="0" wp14:anchorId="6992FDC1" wp14:editId="75B9C568">
                  <wp:extent cx="2564424" cy="1961211"/>
                  <wp:effectExtent l="0" t="0" r="127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14" r="20"/>
                          <a:stretch/>
                        </pic:blipFill>
                        <pic:spPr bwMode="auto">
                          <a:xfrm>
                            <a:off x="0" y="0"/>
                            <a:ext cx="2564954" cy="1961617"/>
                          </a:xfrm>
                          <a:prstGeom prst="rect">
                            <a:avLst/>
                          </a:prstGeom>
                          <a:noFill/>
                          <a:ln>
                            <a:noFill/>
                          </a:ln>
                          <a:extLst>
                            <a:ext uri="{53640926-AAD7-44D8-BBD7-CCE9431645EC}">
                              <a14:shadowObscured xmlns:a14="http://schemas.microsoft.com/office/drawing/2010/main"/>
                            </a:ext>
                          </a:extLst>
                        </pic:spPr>
                      </pic:pic>
                    </a:graphicData>
                  </a:graphic>
                </wp:inline>
              </w:drawing>
            </w:r>
          </w:p>
          <w:p w14:paraId="53808B85" w14:textId="4D40D83B" w:rsidR="00BC53F6" w:rsidRPr="003F7850" w:rsidRDefault="00BC53F6" w:rsidP="00BC53F6">
            <w:pPr>
              <w:pStyle w:val="CaptionShort"/>
              <w:rPr>
                <w:lang w:val="en-GB"/>
              </w:rPr>
            </w:pPr>
            <w:r w:rsidRPr="003F7850">
              <w:rPr>
                <w:b/>
                <w:lang w:val="en-GB"/>
              </w:rPr>
              <w:t>Figure 3.</w:t>
            </w:r>
            <w:r w:rsidRPr="003F7850">
              <w:rPr>
                <w:lang w:val="en-GB"/>
              </w:rPr>
              <w:t xml:space="preserve"> Limiting KG curves for the unrestricted navigation.</w:t>
            </w:r>
          </w:p>
        </w:tc>
      </w:tr>
    </w:tbl>
    <w:p w14:paraId="04483224" w14:textId="11970477" w:rsidR="00BC53F6" w:rsidRPr="003F7850" w:rsidRDefault="00BC53F6" w:rsidP="00E2625B">
      <w:pPr>
        <w:ind w:firstLine="720"/>
        <w:rPr>
          <w:lang w:val="en-GB"/>
        </w:rPr>
      </w:pPr>
    </w:p>
    <w:p w14:paraId="06C2CDDA" w14:textId="77777777" w:rsidR="00984C28" w:rsidRPr="003F7850" w:rsidRDefault="00A10588" w:rsidP="00E2625B">
      <w:pPr>
        <w:ind w:firstLine="720"/>
        <w:rPr>
          <w:lang w:val="en-GB"/>
        </w:rPr>
      </w:pPr>
      <w:r w:rsidRPr="003F7850">
        <w:rPr>
          <w:lang w:val="en-GB"/>
        </w:rPr>
        <w:t>In Figure </w:t>
      </w:r>
      <w:r w:rsidR="00510947" w:rsidRPr="003F7850">
        <w:rPr>
          <w:lang w:val="en-GB"/>
        </w:rPr>
        <w:t>4</w:t>
      </w:r>
      <w:r w:rsidRPr="003F7850">
        <w:rPr>
          <w:lang w:val="en-GB"/>
        </w:rPr>
        <w:t xml:space="preserve">, </w:t>
      </w:r>
      <w:r w:rsidR="00984C28" w:rsidRPr="003F7850">
        <w:rPr>
          <w:lang w:val="en-GB"/>
        </w:rPr>
        <w:t xml:space="preserve">maximum </w:t>
      </w:r>
      <w:r w:rsidR="00A225AD" w:rsidRPr="003F7850">
        <w:rPr>
          <w:lang w:val="en-GB"/>
        </w:rPr>
        <w:t xml:space="preserve">KG </w:t>
      </w:r>
      <w:r w:rsidR="009D0242" w:rsidRPr="003F7850">
        <w:rPr>
          <w:lang w:val="en-GB"/>
        </w:rPr>
        <w:t>limiting curves</w:t>
      </w:r>
      <w:r w:rsidRPr="003F7850">
        <w:rPr>
          <w:lang w:val="en-GB"/>
        </w:rPr>
        <w:t xml:space="preserve"> </w:t>
      </w:r>
      <w:r w:rsidR="00A225AD" w:rsidRPr="003F7850">
        <w:rPr>
          <w:lang w:val="en-GB"/>
        </w:rPr>
        <w:t>obtained by</w:t>
      </w:r>
      <w:r w:rsidR="009D0242" w:rsidRPr="003F7850">
        <w:rPr>
          <w:lang w:val="en-GB"/>
        </w:rPr>
        <w:t xml:space="preserve"> </w:t>
      </w:r>
      <w:r w:rsidRPr="003F7850">
        <w:rPr>
          <w:lang w:val="en-GB"/>
        </w:rPr>
        <w:t>the application of OLs</w:t>
      </w:r>
      <w:r w:rsidR="00EB2A85" w:rsidRPr="003F7850">
        <w:rPr>
          <w:lang w:val="en-GB"/>
        </w:rPr>
        <w:t>,</w:t>
      </w:r>
      <w:r w:rsidRPr="003F7850">
        <w:rPr>
          <w:lang w:val="en-GB"/>
        </w:rPr>
        <w:t xml:space="preserve"> are compared to the unrestricted limiting curves</w:t>
      </w:r>
      <w:r w:rsidR="00CA3958" w:rsidRPr="003F7850">
        <w:rPr>
          <w:lang w:val="en-GB"/>
        </w:rPr>
        <w:t xml:space="preserve"> (i.e., obtained considering the North Atlantic Ocean)</w:t>
      </w:r>
      <w:r w:rsidRPr="003F7850">
        <w:rPr>
          <w:lang w:val="en-GB"/>
        </w:rPr>
        <w:t>.</w:t>
      </w:r>
      <w:r w:rsidR="00CA3958" w:rsidRPr="003F7850">
        <w:rPr>
          <w:lang w:val="en-GB"/>
        </w:rPr>
        <w:t xml:space="preserve"> Each maximum KG curves </w:t>
      </w:r>
      <w:proofErr w:type="gramStart"/>
      <w:r w:rsidR="00CA3958" w:rsidRPr="003F7850">
        <w:rPr>
          <w:lang w:val="en-GB"/>
        </w:rPr>
        <w:t>takes into account</w:t>
      </w:r>
      <w:proofErr w:type="gramEnd"/>
      <w:r w:rsidR="00CA3958" w:rsidRPr="003F7850">
        <w:rPr>
          <w:lang w:val="en-GB"/>
        </w:rPr>
        <w:t xml:space="preserve"> the more stringent values considering the </w:t>
      </w:r>
      <w:r w:rsidR="00CA3958" w:rsidRPr="003F7850">
        <w:rPr>
          <w:lang w:val="en-GB"/>
        </w:rPr>
        <w:lastRenderedPageBreak/>
        <w:t>parametric roll, pure loss of stability and dead ship condition failure modes.</w:t>
      </w:r>
    </w:p>
    <w:p w14:paraId="5D61B1D4" w14:textId="0C28D830" w:rsidR="00CA3958" w:rsidRPr="003F7850" w:rsidRDefault="00984C28" w:rsidP="00F36059">
      <w:pPr>
        <w:ind w:firstLine="720"/>
        <w:rPr>
          <w:lang w:val="en-GB"/>
        </w:rPr>
      </w:pPr>
      <w:r w:rsidRPr="003F7850">
        <w:rPr>
          <w:lang w:val="en-GB"/>
        </w:rPr>
        <w:t>In Figure 5 the comparison among minimum KG curves is shown.</w:t>
      </w:r>
      <w:r w:rsidR="00F77A30" w:rsidRPr="003F7850">
        <w:rPr>
          <w:lang w:val="en-GB"/>
        </w:rPr>
        <w:t xml:space="preserve"> Curves have been obtained considering the excessive acceleration failure mode applied to Point B representing the bridge location.</w:t>
      </w:r>
    </w:p>
    <w:tbl>
      <w:tblPr>
        <w:tblStyle w:val="Grigliatabella"/>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tblGrid>
      <w:tr w:rsidR="00EB2A85" w:rsidRPr="003F7850" w14:paraId="4A06DB32" w14:textId="0602BF05" w:rsidTr="00F36059">
        <w:tc>
          <w:tcPr>
            <w:tcW w:w="3402" w:type="dxa"/>
          </w:tcPr>
          <w:p w14:paraId="3EF77DD4" w14:textId="237F0BF9" w:rsidR="00EB2A85" w:rsidRPr="003F7850" w:rsidRDefault="00F36059" w:rsidP="00F36059">
            <w:pPr>
              <w:pStyle w:val="NoindentNormal"/>
              <w:spacing w:before="240"/>
              <w:ind w:left="-114" w:right="-138"/>
              <w:jc w:val="center"/>
              <w:rPr>
                <w:lang w:val="en-GB"/>
              </w:rPr>
            </w:pPr>
            <w:r w:rsidRPr="003F7850">
              <w:rPr>
                <w:noProof/>
                <w:lang w:val="en-GB"/>
              </w:rPr>
              <w:drawing>
                <wp:inline distT="0" distB="0" distL="0" distR="0" wp14:anchorId="5BFB1896" wp14:editId="6B9CF0A3">
                  <wp:extent cx="2168977" cy="1639686"/>
                  <wp:effectExtent l="0" t="0" r="3175"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l="395" r="395"/>
                          <a:stretch>
                            <a:fillRect/>
                          </a:stretch>
                        </pic:blipFill>
                        <pic:spPr bwMode="auto">
                          <a:xfrm>
                            <a:off x="0" y="0"/>
                            <a:ext cx="2168977" cy="1639686"/>
                          </a:xfrm>
                          <a:prstGeom prst="rect">
                            <a:avLst/>
                          </a:prstGeom>
                          <a:noFill/>
                          <a:ln>
                            <a:noFill/>
                          </a:ln>
                          <a:extLst>
                            <a:ext uri="{53640926-AAD7-44D8-BBD7-CCE9431645EC}">
                              <a14:shadowObscured xmlns:a14="http://schemas.microsoft.com/office/drawing/2010/main"/>
                            </a:ext>
                          </a:extLst>
                        </pic:spPr>
                      </pic:pic>
                    </a:graphicData>
                  </a:graphic>
                </wp:inline>
              </w:drawing>
            </w:r>
          </w:p>
          <w:p w14:paraId="03FE3368" w14:textId="41ED7FF6" w:rsidR="00EB2A85" w:rsidRPr="003F7850" w:rsidRDefault="00EB2A85" w:rsidP="00F41AE0">
            <w:pPr>
              <w:pStyle w:val="CaptionShort"/>
              <w:rPr>
                <w:lang w:val="en-GB"/>
              </w:rPr>
            </w:pPr>
            <w:r w:rsidRPr="003F7850">
              <w:rPr>
                <w:b/>
                <w:lang w:val="en-GB"/>
              </w:rPr>
              <w:t xml:space="preserve">Figure </w:t>
            </w:r>
            <w:r w:rsidR="00CA3958" w:rsidRPr="003F7850">
              <w:rPr>
                <w:b/>
                <w:lang w:val="en-GB"/>
              </w:rPr>
              <w:t>4</w:t>
            </w:r>
            <w:r w:rsidRPr="003F7850">
              <w:rPr>
                <w:b/>
                <w:lang w:val="en-GB"/>
              </w:rPr>
              <w:t>.</w:t>
            </w:r>
            <w:r w:rsidRPr="003F7850">
              <w:rPr>
                <w:lang w:val="en-GB"/>
              </w:rPr>
              <w:t xml:space="preserve"> </w:t>
            </w:r>
            <w:r w:rsidR="00CA3958" w:rsidRPr="003F7850">
              <w:rPr>
                <w:lang w:val="en-GB"/>
              </w:rPr>
              <w:t xml:space="preserve">Comparison among unrestricted navigation and OLs in terms of </w:t>
            </w:r>
            <w:r w:rsidR="00CA3958" w:rsidRPr="003F7850">
              <w:rPr>
                <w:i/>
                <w:iCs/>
                <w:lang w:val="en-GB"/>
              </w:rPr>
              <w:t>maximum</w:t>
            </w:r>
            <w:r w:rsidR="00CA3958" w:rsidRPr="003F7850">
              <w:rPr>
                <w:lang w:val="en-GB"/>
              </w:rPr>
              <w:t xml:space="preserve"> KG curves</w:t>
            </w:r>
            <w:r w:rsidRPr="003F7850">
              <w:rPr>
                <w:lang w:val="en-GB"/>
              </w:rPr>
              <w:t>.</w:t>
            </w:r>
          </w:p>
        </w:tc>
        <w:tc>
          <w:tcPr>
            <w:tcW w:w="3402" w:type="dxa"/>
          </w:tcPr>
          <w:p w14:paraId="201B45C3" w14:textId="6535A20C" w:rsidR="00EB2A85" w:rsidRPr="003F7850" w:rsidRDefault="00F36059" w:rsidP="00F36059">
            <w:pPr>
              <w:pStyle w:val="NoindentNormal"/>
              <w:spacing w:before="240"/>
              <w:ind w:left="-81" w:right="-169"/>
              <w:jc w:val="center"/>
              <w:rPr>
                <w:lang w:val="en-GB"/>
              </w:rPr>
            </w:pPr>
            <w:r w:rsidRPr="003F7850">
              <w:rPr>
                <w:noProof/>
                <w:lang w:val="en-GB"/>
              </w:rPr>
              <w:drawing>
                <wp:inline distT="0" distB="0" distL="0" distR="0" wp14:anchorId="55968571" wp14:editId="7937F740">
                  <wp:extent cx="2168372" cy="1639229"/>
                  <wp:effectExtent l="0" t="0" r="381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4" t="-683" r="-39" b="335"/>
                          <a:stretch/>
                        </pic:blipFill>
                        <pic:spPr bwMode="auto">
                          <a:xfrm>
                            <a:off x="0" y="0"/>
                            <a:ext cx="2168977" cy="1639686"/>
                          </a:xfrm>
                          <a:prstGeom prst="rect">
                            <a:avLst/>
                          </a:prstGeom>
                          <a:noFill/>
                          <a:ln>
                            <a:noFill/>
                          </a:ln>
                          <a:extLst>
                            <a:ext uri="{53640926-AAD7-44D8-BBD7-CCE9431645EC}">
                              <a14:shadowObscured xmlns:a14="http://schemas.microsoft.com/office/drawing/2010/main"/>
                            </a:ext>
                          </a:extLst>
                        </pic:spPr>
                      </pic:pic>
                    </a:graphicData>
                  </a:graphic>
                </wp:inline>
              </w:drawing>
            </w:r>
          </w:p>
          <w:p w14:paraId="3266D1F3" w14:textId="590C9F45" w:rsidR="00EB2A85" w:rsidRPr="003F7850" w:rsidRDefault="00EB2A85" w:rsidP="00EB2A85">
            <w:pPr>
              <w:pStyle w:val="CaptionShort"/>
              <w:rPr>
                <w:lang w:val="en-GB"/>
              </w:rPr>
            </w:pPr>
            <w:r w:rsidRPr="003F7850">
              <w:rPr>
                <w:b/>
                <w:lang w:val="en-GB"/>
              </w:rPr>
              <w:t xml:space="preserve">Figure </w:t>
            </w:r>
            <w:r w:rsidR="00CA3958" w:rsidRPr="003F7850">
              <w:rPr>
                <w:b/>
                <w:lang w:val="en-GB"/>
              </w:rPr>
              <w:t>5</w:t>
            </w:r>
            <w:r w:rsidR="00976913" w:rsidRPr="003F7850">
              <w:rPr>
                <w:b/>
                <w:lang w:val="en-GB"/>
              </w:rPr>
              <w:t>.</w:t>
            </w:r>
            <w:r w:rsidRPr="003F7850">
              <w:rPr>
                <w:lang w:val="en-GB"/>
              </w:rPr>
              <w:t xml:space="preserve"> Comparison among </w:t>
            </w:r>
            <w:r w:rsidR="00660D9F" w:rsidRPr="003F7850">
              <w:rPr>
                <w:lang w:val="en-GB"/>
              </w:rPr>
              <w:t xml:space="preserve">unrestricted navigation and OLs in terms of </w:t>
            </w:r>
            <w:r w:rsidR="00CA3958" w:rsidRPr="003F7850">
              <w:rPr>
                <w:i/>
                <w:iCs/>
                <w:lang w:val="en-GB"/>
              </w:rPr>
              <w:t>minimum</w:t>
            </w:r>
            <w:r w:rsidRPr="003F7850">
              <w:rPr>
                <w:lang w:val="en-GB"/>
              </w:rPr>
              <w:t xml:space="preserve"> KG curves.</w:t>
            </w:r>
          </w:p>
        </w:tc>
      </w:tr>
    </w:tbl>
    <w:p w14:paraId="07DEE41F" w14:textId="32BBCFC7" w:rsidR="00E61BF0" w:rsidRPr="003F7850" w:rsidRDefault="00BA438A" w:rsidP="00E61BF0">
      <w:pPr>
        <w:pStyle w:val="Titolo1"/>
        <w:rPr>
          <w:lang w:val="en-GB"/>
        </w:rPr>
      </w:pPr>
      <w:r w:rsidRPr="003F7850">
        <w:rPr>
          <w:lang w:val="en-GB"/>
        </w:rPr>
        <w:t>C</w:t>
      </w:r>
      <w:r w:rsidR="00E61BF0" w:rsidRPr="003F7850">
        <w:rPr>
          <w:lang w:val="en-GB"/>
        </w:rPr>
        <w:t>onclusions</w:t>
      </w:r>
    </w:p>
    <w:p w14:paraId="180981B3" w14:textId="645E1ABD" w:rsidR="00381049" w:rsidRPr="003F7850" w:rsidRDefault="00A60363" w:rsidP="00381049">
      <w:pPr>
        <w:rPr>
          <w:lang w:val="en-GB"/>
        </w:rPr>
      </w:pPr>
      <w:r w:rsidRPr="003F7850">
        <w:rPr>
          <w:lang w:val="en-GB"/>
        </w:rPr>
        <w:t xml:space="preserve">At the beginning of this work a brief overview on the regulatory context for </w:t>
      </w:r>
      <w:r w:rsidR="007B0792" w:rsidRPr="003F7850">
        <w:rPr>
          <w:lang w:val="en-GB"/>
        </w:rPr>
        <w:t xml:space="preserve">the safety of </w:t>
      </w:r>
      <w:r w:rsidRPr="003F7850">
        <w:rPr>
          <w:lang w:val="en-GB"/>
        </w:rPr>
        <w:t>passenger ships</w:t>
      </w:r>
      <w:r w:rsidR="007B0792" w:rsidRPr="003F7850">
        <w:rPr>
          <w:lang w:val="en-GB"/>
        </w:rPr>
        <w:t xml:space="preserve"> with a focus on the operational profile has been done. Subsequently, an application of the </w:t>
      </w:r>
      <w:proofErr w:type="spellStart"/>
      <w:r w:rsidR="007B0792" w:rsidRPr="003F7850">
        <w:rPr>
          <w:lang w:val="en-GB"/>
        </w:rPr>
        <w:t>SGISc</w:t>
      </w:r>
      <w:proofErr w:type="spellEnd"/>
      <w:r w:rsidR="007B0792" w:rsidRPr="003F7850">
        <w:rPr>
          <w:lang w:val="en-GB"/>
        </w:rPr>
        <w:t xml:space="preserve"> to a Ro-Ro passenger ferry </w:t>
      </w:r>
      <w:r w:rsidR="00E3259F" w:rsidRPr="003F7850">
        <w:rPr>
          <w:lang w:val="en-GB"/>
        </w:rPr>
        <w:t xml:space="preserve">representative of the Mediterranean fleet </w:t>
      </w:r>
      <w:r w:rsidR="007B0792" w:rsidRPr="003F7850">
        <w:rPr>
          <w:lang w:val="en-GB"/>
        </w:rPr>
        <w:t>has been carried out. Furthermore, OL</w:t>
      </w:r>
      <w:r w:rsidR="00AD16F5" w:rsidRPr="003F7850">
        <w:rPr>
          <w:lang w:val="en-GB"/>
        </w:rPr>
        <w:t>s</w:t>
      </w:r>
      <w:r w:rsidR="007B0792" w:rsidRPr="003F7850">
        <w:rPr>
          <w:lang w:val="en-GB"/>
        </w:rPr>
        <w:t xml:space="preserve"> in term of both geographical area and maximum wave height have been considered for the Mediterranean Sea. </w:t>
      </w:r>
    </w:p>
    <w:p w14:paraId="30E92CC8" w14:textId="041CA651" w:rsidR="00BA66E9" w:rsidRPr="003F7850" w:rsidRDefault="007B0792" w:rsidP="00A33B5F">
      <w:pPr>
        <w:ind w:firstLine="720"/>
        <w:rPr>
          <w:lang w:val="en-GB"/>
        </w:rPr>
      </w:pPr>
      <w:r w:rsidRPr="003F7850">
        <w:rPr>
          <w:lang w:val="en-GB"/>
        </w:rPr>
        <w:t xml:space="preserve">Outcomes </w:t>
      </w:r>
      <w:r w:rsidR="0066089E" w:rsidRPr="003F7850">
        <w:rPr>
          <w:lang w:val="en-GB"/>
        </w:rPr>
        <w:t xml:space="preserve">show that the vessel is deemed not vulnerable for the unrestricted navigation, even if </w:t>
      </w:r>
      <w:r w:rsidR="00E52BD7" w:rsidRPr="003F7850">
        <w:rPr>
          <w:lang w:val="en-GB"/>
        </w:rPr>
        <w:t>limitations of the</w:t>
      </w:r>
      <w:r w:rsidR="0066089E" w:rsidRPr="003F7850">
        <w:rPr>
          <w:lang w:val="en-GB"/>
        </w:rPr>
        <w:t xml:space="preserve"> design domain exist. It is worth mentioning that the lower boundary of the safe zone (i.e., the minimum KG curve evaluated with the excessive acceleration criteria) is not related to the highest point on board, as suggested by the rule.</w:t>
      </w:r>
    </w:p>
    <w:p w14:paraId="41F6944E" w14:textId="2BE7CE5F" w:rsidR="00BA66E9" w:rsidRPr="003F7850" w:rsidRDefault="00BA66E9" w:rsidP="00BA66E9">
      <w:pPr>
        <w:ind w:firstLine="720"/>
        <w:rPr>
          <w:lang w:val="en-GB"/>
        </w:rPr>
      </w:pPr>
      <w:r w:rsidRPr="003F7850">
        <w:rPr>
          <w:lang w:val="en-GB"/>
        </w:rPr>
        <w:t>As expected, the comparison of OLs</w:t>
      </w:r>
      <w:r w:rsidR="00DC4FFD" w:rsidRPr="003F7850">
        <w:rPr>
          <w:lang w:val="en-GB"/>
        </w:rPr>
        <w:t xml:space="preserve"> limiting curves</w:t>
      </w:r>
      <w:r w:rsidRPr="003F7850">
        <w:rPr>
          <w:lang w:val="en-GB"/>
        </w:rPr>
        <w:t xml:space="preserve"> show that considering a navigation limited to the Mediterranean Sea</w:t>
      </w:r>
      <w:r w:rsidR="00DC4FFD" w:rsidRPr="003F7850">
        <w:rPr>
          <w:lang w:val="en-GB"/>
        </w:rPr>
        <w:t xml:space="preserve"> the design domain increases. </w:t>
      </w:r>
      <w:proofErr w:type="gramStart"/>
      <w:r w:rsidR="00DC4FFD" w:rsidRPr="003F7850">
        <w:rPr>
          <w:lang w:val="en-GB"/>
        </w:rPr>
        <w:t>In particular, it</w:t>
      </w:r>
      <w:proofErr w:type="gramEnd"/>
      <w:r w:rsidR="00DC4FFD" w:rsidRPr="003F7850">
        <w:rPr>
          <w:lang w:val="en-GB"/>
        </w:rPr>
        <w:t xml:space="preserve"> seems that the largest improvement to the safe area </w:t>
      </w:r>
      <w:r w:rsidR="008D46FD" w:rsidRPr="003F7850">
        <w:rPr>
          <w:lang w:val="en-GB"/>
        </w:rPr>
        <w:t xml:space="preserve">occurs when the navigation is limited in relation to the maximum wave height defined </w:t>
      </w:r>
      <w:r w:rsidR="00A33B5F" w:rsidRPr="003F7850">
        <w:rPr>
          <w:lang w:val="en-GB"/>
        </w:rPr>
        <w:t>for the domestic voyages</w:t>
      </w:r>
      <w:r w:rsidR="008D46FD" w:rsidRPr="003F7850">
        <w:rPr>
          <w:lang w:val="en-GB"/>
        </w:rPr>
        <w:t>, i.e., H</w:t>
      </w:r>
      <w:r w:rsidR="008D46FD" w:rsidRPr="003F7850">
        <w:rPr>
          <w:vertAlign w:val="subscript"/>
          <w:lang w:val="en-GB"/>
        </w:rPr>
        <w:t>S</w:t>
      </w:r>
      <w:r w:rsidR="008D46FD" w:rsidRPr="003F7850">
        <w:rPr>
          <w:lang w:val="en-GB"/>
        </w:rPr>
        <w:t> = 2.50 m and H</w:t>
      </w:r>
      <w:r w:rsidR="008D46FD" w:rsidRPr="003F7850">
        <w:rPr>
          <w:vertAlign w:val="subscript"/>
          <w:lang w:val="en-GB"/>
        </w:rPr>
        <w:t>S</w:t>
      </w:r>
      <w:r w:rsidR="008D46FD" w:rsidRPr="003F7850">
        <w:rPr>
          <w:lang w:val="en-GB"/>
        </w:rPr>
        <w:t> = 1.50 m.</w:t>
      </w:r>
    </w:p>
    <w:p w14:paraId="717B9B95" w14:textId="2B4728D1" w:rsidR="00BD751F" w:rsidRPr="003F7850" w:rsidRDefault="00BD751F" w:rsidP="00BA66E9">
      <w:pPr>
        <w:ind w:firstLine="720"/>
        <w:rPr>
          <w:lang w:val="en-GB"/>
        </w:rPr>
      </w:pPr>
      <w:r w:rsidRPr="003F7850">
        <w:rPr>
          <w:lang w:val="en-GB"/>
        </w:rPr>
        <w:t>As a final comment, this work point</w:t>
      </w:r>
      <w:r w:rsidR="00A33B5F" w:rsidRPr="003F7850">
        <w:rPr>
          <w:lang w:val="en-GB"/>
        </w:rPr>
        <w:t>s</w:t>
      </w:r>
      <w:r w:rsidRPr="003F7850">
        <w:rPr>
          <w:lang w:val="en-GB"/>
        </w:rPr>
        <w:t xml:space="preserve"> out that the selected Ro-Ro passenger ferry complies with the international safety rule framework </w:t>
      </w:r>
      <w:r w:rsidRPr="003F7850">
        <w:rPr>
          <w:lang w:val="en-GB"/>
        </w:rPr>
        <w:lastRenderedPageBreak/>
        <w:t xml:space="preserve">considering the stability aspect. </w:t>
      </w:r>
      <w:proofErr w:type="spellStart"/>
      <w:proofErr w:type="gramStart"/>
      <w:r w:rsidR="00A12E7F" w:rsidRPr="003F7850">
        <w:rPr>
          <w:lang w:val="en-GB"/>
        </w:rPr>
        <w:t>Beside</w:t>
      </w:r>
      <w:proofErr w:type="spellEnd"/>
      <w:r w:rsidRPr="003F7850">
        <w:rPr>
          <w:lang w:val="en-GB"/>
        </w:rPr>
        <w:t>,</w:t>
      </w:r>
      <w:proofErr w:type="gramEnd"/>
      <w:r w:rsidRPr="003F7850">
        <w:rPr>
          <w:lang w:val="en-GB"/>
        </w:rPr>
        <w:t xml:space="preserve"> it appears that</w:t>
      </w:r>
      <w:r w:rsidR="00A33B5F" w:rsidRPr="003F7850">
        <w:rPr>
          <w:lang w:val="en-GB"/>
        </w:rPr>
        <w:t xml:space="preserve"> considering domestic voyages may ensure </w:t>
      </w:r>
      <w:r w:rsidRPr="003F7850">
        <w:rPr>
          <w:lang w:val="en-GB"/>
        </w:rPr>
        <w:t xml:space="preserve">a larger </w:t>
      </w:r>
      <w:r w:rsidR="00A33B5F" w:rsidRPr="003F7850">
        <w:rPr>
          <w:lang w:val="en-GB"/>
        </w:rPr>
        <w:t>reserve of safety in relation to the stability aspects.</w:t>
      </w:r>
    </w:p>
    <w:p w14:paraId="45506C58" w14:textId="77777777" w:rsidR="00B05D6E" w:rsidRPr="003F7850" w:rsidRDefault="00B05D6E">
      <w:pPr>
        <w:pStyle w:val="HeadingUnn1"/>
        <w:rPr>
          <w:lang w:val="en-GB"/>
        </w:rPr>
      </w:pPr>
      <w:r w:rsidRPr="003F7850">
        <w:rPr>
          <w:lang w:val="en-GB"/>
        </w:rPr>
        <w:t>References</w:t>
      </w:r>
    </w:p>
    <w:p w14:paraId="03D52014" w14:textId="18695046" w:rsidR="006B2423" w:rsidRPr="003F7850" w:rsidRDefault="006B2423" w:rsidP="006B2423">
      <w:pPr>
        <w:pStyle w:val="References"/>
        <w:tabs>
          <w:tab w:val="clear" w:pos="85"/>
          <w:tab w:val="clear" w:pos="255"/>
        </w:tabs>
        <w:spacing w:after="60"/>
        <w:ind w:left="425" w:hanging="425"/>
        <w:rPr>
          <w:lang w:val="en-GB"/>
        </w:rPr>
      </w:pPr>
      <w:proofErr w:type="spellStart"/>
      <w:r w:rsidRPr="003F7850">
        <w:rPr>
          <w:lang w:val="en-US"/>
        </w:rPr>
        <w:t>Equasis</w:t>
      </w:r>
      <w:proofErr w:type="spellEnd"/>
      <w:r w:rsidR="00F65D95" w:rsidRPr="003F7850">
        <w:rPr>
          <w:lang w:val="en-US"/>
        </w:rPr>
        <w:t>.</w:t>
      </w:r>
      <w:r w:rsidRPr="003F7850">
        <w:rPr>
          <w:lang w:val="en-US"/>
        </w:rPr>
        <w:t xml:space="preserve"> The 2020 World Merchant Fleet Statistics from </w:t>
      </w:r>
      <w:proofErr w:type="spellStart"/>
      <w:r w:rsidRPr="003F7850">
        <w:rPr>
          <w:lang w:val="en-US"/>
        </w:rPr>
        <w:t>Equasis</w:t>
      </w:r>
      <w:proofErr w:type="spellEnd"/>
      <w:r w:rsidRPr="003F7850">
        <w:rPr>
          <w:lang w:val="en-US"/>
        </w:rPr>
        <w:t xml:space="preserve"> Electronic Quality Shipping Information </w:t>
      </w:r>
      <w:proofErr w:type="spellStart"/>
      <w:r w:rsidRPr="003F7850">
        <w:rPr>
          <w:lang w:val="en-US"/>
        </w:rPr>
        <w:t>Sytems</w:t>
      </w:r>
      <w:proofErr w:type="spellEnd"/>
      <w:r w:rsidR="00F65D95" w:rsidRPr="003F7850">
        <w:rPr>
          <w:lang w:val="en-US"/>
        </w:rPr>
        <w:t>.</w:t>
      </w:r>
      <w:r w:rsidRPr="003F7850">
        <w:rPr>
          <w:lang w:val="en-US"/>
        </w:rPr>
        <w:t xml:space="preserve"> 2021</w:t>
      </w:r>
    </w:p>
    <w:p w14:paraId="3209CA0E" w14:textId="77777777" w:rsidR="006B2423" w:rsidRPr="003F7850" w:rsidRDefault="006B2423" w:rsidP="006B2423">
      <w:pPr>
        <w:pStyle w:val="References"/>
        <w:tabs>
          <w:tab w:val="clear" w:pos="85"/>
          <w:tab w:val="clear" w:pos="255"/>
        </w:tabs>
        <w:spacing w:after="60"/>
        <w:ind w:left="425" w:hanging="425"/>
        <w:rPr>
          <w:lang w:val="en-GB"/>
        </w:rPr>
      </w:pPr>
      <w:r w:rsidRPr="003F7850">
        <w:rPr>
          <w:lang w:val="en-GB"/>
        </w:rPr>
        <w:t>Ruggiero V. 2004-2014 Ten Years of Changing in the Project of Passenger Ferries on Italian Lakes Due to the 2006/87/CE and Consequent Rules. In NAV</w:t>
      </w:r>
      <w:proofErr w:type="gramStart"/>
      <w:r w:rsidRPr="003F7850">
        <w:rPr>
          <w:lang w:val="en-GB"/>
        </w:rPr>
        <w:t>2015 :</w:t>
      </w:r>
      <w:proofErr w:type="gramEnd"/>
      <w:r w:rsidRPr="003F7850">
        <w:rPr>
          <w:lang w:val="en-GB"/>
        </w:rPr>
        <w:t xml:space="preserve"> Proceedings of 18th Conference on Ships and Shipping Research 2015 Jun; 1080-1089.Lecco, Italy.</w:t>
      </w:r>
    </w:p>
    <w:p w14:paraId="11059883" w14:textId="226D3DB2" w:rsidR="00EE07FC" w:rsidRPr="003F7850" w:rsidRDefault="00EE07FC" w:rsidP="00EE07FC">
      <w:pPr>
        <w:pStyle w:val="References"/>
        <w:tabs>
          <w:tab w:val="clear" w:pos="85"/>
          <w:tab w:val="clear" w:pos="255"/>
        </w:tabs>
        <w:spacing w:after="60"/>
        <w:ind w:left="425" w:hanging="425"/>
        <w:rPr>
          <w:lang w:val="en-GB"/>
        </w:rPr>
      </w:pPr>
      <w:r w:rsidRPr="003F7850">
        <w:rPr>
          <w:lang w:val="en-GB"/>
        </w:rPr>
        <w:t>IMO. SDC 8/WP.4 - Development of Explanatory Notes to the Interim Guidelines on Second Generation Intact Stability Criteria. International Maritime Organization. 2022 Jan; London, UK.</w:t>
      </w:r>
    </w:p>
    <w:p w14:paraId="5BACEC16" w14:textId="032DA5AA" w:rsidR="00EE3E85" w:rsidRPr="003F7850" w:rsidRDefault="008116B5" w:rsidP="00AC49CB">
      <w:pPr>
        <w:pStyle w:val="References"/>
        <w:tabs>
          <w:tab w:val="clear" w:pos="85"/>
          <w:tab w:val="clear" w:pos="255"/>
        </w:tabs>
        <w:spacing w:after="60"/>
        <w:ind w:left="425" w:hanging="425"/>
        <w:rPr>
          <w:lang w:val="en-GB"/>
        </w:rPr>
      </w:pPr>
      <w:r w:rsidRPr="003F7850">
        <w:rPr>
          <w:lang w:val="en-GB"/>
        </w:rPr>
        <w:t xml:space="preserve">IMO. MSC.1/Circular 1627 - Interim Guidelines on the </w:t>
      </w:r>
      <w:proofErr w:type="gramStart"/>
      <w:r w:rsidRPr="003F7850">
        <w:rPr>
          <w:lang w:val="en-GB"/>
        </w:rPr>
        <w:t>Second Generation</w:t>
      </w:r>
      <w:proofErr w:type="gramEnd"/>
      <w:r w:rsidRPr="003F7850">
        <w:rPr>
          <w:lang w:val="en-GB"/>
        </w:rPr>
        <w:t xml:space="preserve"> Intact Stability Criteria. International Maritime Organization. 2020 Jan; London, UK.</w:t>
      </w:r>
    </w:p>
    <w:p w14:paraId="158EA6B7" w14:textId="024DF5FF" w:rsidR="009E4226" w:rsidRPr="003F7850" w:rsidRDefault="009E4226" w:rsidP="00AC49CB">
      <w:pPr>
        <w:pStyle w:val="References"/>
        <w:tabs>
          <w:tab w:val="clear" w:pos="85"/>
          <w:tab w:val="clear" w:pos="255"/>
        </w:tabs>
        <w:spacing w:after="60"/>
        <w:ind w:left="425" w:hanging="425"/>
        <w:rPr>
          <w:lang w:val="en-GB"/>
        </w:rPr>
      </w:pPr>
      <w:r w:rsidRPr="003F7850">
        <w:rPr>
          <w:lang w:val="en-GB"/>
        </w:rPr>
        <w:t xml:space="preserve">US Coast Guard. Continued development of </w:t>
      </w:r>
      <w:proofErr w:type="gramStart"/>
      <w:r w:rsidRPr="003F7850">
        <w:rPr>
          <w:lang w:val="en-GB"/>
        </w:rPr>
        <w:t>Second Generation</w:t>
      </w:r>
      <w:proofErr w:type="gramEnd"/>
      <w:r w:rsidRPr="003F7850">
        <w:rPr>
          <w:lang w:val="en-GB"/>
        </w:rPr>
        <w:t xml:space="preserve"> Intact Stability criteria. 2019; </w:t>
      </w:r>
      <w:proofErr w:type="spellStart"/>
      <w:r w:rsidRPr="003F7850">
        <w:rPr>
          <w:lang w:val="en-GB"/>
        </w:rPr>
        <w:t>Carderock</w:t>
      </w:r>
      <w:proofErr w:type="spellEnd"/>
      <w:r w:rsidRPr="003F7850">
        <w:rPr>
          <w:lang w:val="en-GB"/>
        </w:rPr>
        <w:t xml:space="preserve"> Naval Architecture Division, USA.</w:t>
      </w:r>
    </w:p>
    <w:p w14:paraId="03E2E4BF" w14:textId="408FF53A" w:rsidR="006435D2" w:rsidRPr="003F7850" w:rsidRDefault="006435D2" w:rsidP="00AC49CB">
      <w:pPr>
        <w:pStyle w:val="References"/>
        <w:tabs>
          <w:tab w:val="clear" w:pos="85"/>
          <w:tab w:val="clear" w:pos="255"/>
        </w:tabs>
        <w:spacing w:after="60"/>
        <w:ind w:left="425" w:hanging="425"/>
        <w:rPr>
          <w:lang w:val="en-GB"/>
        </w:rPr>
      </w:pPr>
      <w:r w:rsidRPr="003F7850">
        <w:rPr>
          <w:lang w:val="en-GB"/>
        </w:rPr>
        <w:t>Petacco N, Vernengo G, Villa D, Gualeni P. Influence of Systematic Hull Shape Variations on Ship Stability Performances in Waves. Journal of Ship Research 2021; 65(3):243-256.</w:t>
      </w:r>
    </w:p>
    <w:p w14:paraId="6DBF9533" w14:textId="27156C76" w:rsidR="006435D2" w:rsidRPr="003F7850" w:rsidRDefault="006435D2" w:rsidP="00AC49CB">
      <w:pPr>
        <w:pStyle w:val="References"/>
        <w:tabs>
          <w:tab w:val="clear" w:pos="85"/>
          <w:tab w:val="clear" w:pos="255"/>
        </w:tabs>
        <w:spacing w:after="60"/>
        <w:ind w:left="425" w:hanging="425"/>
        <w:rPr>
          <w:lang w:val="en-GB"/>
        </w:rPr>
      </w:pPr>
      <w:proofErr w:type="spellStart"/>
      <w:r w:rsidRPr="003F7850">
        <w:rPr>
          <w:lang w:val="en-GB"/>
        </w:rPr>
        <w:t>Szodza</w:t>
      </w:r>
      <w:proofErr w:type="spellEnd"/>
      <w:r w:rsidRPr="003F7850">
        <w:rPr>
          <w:lang w:val="en-GB"/>
        </w:rPr>
        <w:t xml:space="preserve"> S, </w:t>
      </w:r>
      <w:proofErr w:type="spellStart"/>
      <w:r w:rsidRPr="003F7850">
        <w:rPr>
          <w:lang w:val="en-GB"/>
        </w:rPr>
        <w:t>Krata</w:t>
      </w:r>
      <w:proofErr w:type="spellEnd"/>
      <w:r w:rsidRPr="003F7850">
        <w:rPr>
          <w:lang w:val="en-GB"/>
        </w:rPr>
        <w:t xml:space="preserve"> P. Towards Evaluation of the </w:t>
      </w:r>
      <w:proofErr w:type="gramStart"/>
      <w:r w:rsidRPr="003F7850">
        <w:rPr>
          <w:lang w:val="en-GB"/>
        </w:rPr>
        <w:t>Second Generation</w:t>
      </w:r>
      <w:proofErr w:type="gramEnd"/>
      <w:r w:rsidRPr="003F7850">
        <w:rPr>
          <w:lang w:val="en-GB"/>
        </w:rPr>
        <w:t xml:space="preserve"> Intact Stability Criteria - Examination of a Fishing Vessel Vulnerability to Surf-Riding, Based on Historical Capsizing. Ocean Engineering 2022 Mar; 248.</w:t>
      </w:r>
    </w:p>
    <w:p w14:paraId="7BEEA096" w14:textId="4DB2399C" w:rsidR="006435D2" w:rsidRPr="003F7850" w:rsidRDefault="006435D2" w:rsidP="00AC49CB">
      <w:pPr>
        <w:pStyle w:val="References"/>
        <w:tabs>
          <w:tab w:val="clear" w:pos="85"/>
          <w:tab w:val="clear" w:pos="255"/>
        </w:tabs>
        <w:spacing w:after="60"/>
        <w:ind w:left="425" w:hanging="425"/>
        <w:rPr>
          <w:lang w:val="en-GB"/>
        </w:rPr>
      </w:pPr>
      <w:r w:rsidRPr="003F7850">
        <w:rPr>
          <w:lang w:val="en-GB"/>
        </w:rPr>
        <w:t xml:space="preserve">Gualeni P, Paolobello D, Petacco </w:t>
      </w:r>
      <w:proofErr w:type="gramStart"/>
      <w:r w:rsidRPr="003F7850">
        <w:rPr>
          <w:lang w:val="en-GB"/>
        </w:rPr>
        <w:t>N,  Lena</w:t>
      </w:r>
      <w:proofErr w:type="gramEnd"/>
      <w:r w:rsidRPr="003F7850">
        <w:rPr>
          <w:lang w:val="en-GB"/>
        </w:rPr>
        <w:t xml:space="preserve"> C. Seakeeping Time Domain Simulations for Surf-Riding/Broaching: Investigations Toward a Direct Stability Assessment. Journal of Marine Science and Technology 2020 Dec; 25(4):1120-1128.</w:t>
      </w:r>
    </w:p>
    <w:p w14:paraId="495903AB" w14:textId="3B359BA6" w:rsidR="006435D2" w:rsidRPr="003F7850" w:rsidRDefault="006435D2" w:rsidP="00AC49CB">
      <w:pPr>
        <w:pStyle w:val="References"/>
        <w:tabs>
          <w:tab w:val="clear" w:pos="85"/>
          <w:tab w:val="clear" w:pos="255"/>
        </w:tabs>
        <w:spacing w:after="60"/>
        <w:ind w:left="425" w:hanging="425"/>
        <w:rPr>
          <w:lang w:val="en-GB"/>
        </w:rPr>
      </w:pPr>
      <w:proofErr w:type="spellStart"/>
      <w:r w:rsidRPr="003F7850">
        <w:rPr>
          <w:lang w:val="en-GB"/>
        </w:rPr>
        <w:t>Shigunov</w:t>
      </w:r>
      <w:proofErr w:type="spellEnd"/>
      <w:r w:rsidRPr="003F7850">
        <w:rPr>
          <w:lang w:val="en-GB"/>
        </w:rPr>
        <w:t xml:space="preserve"> V, </w:t>
      </w:r>
      <w:proofErr w:type="spellStart"/>
      <w:r w:rsidRPr="003F7850">
        <w:rPr>
          <w:lang w:val="en-GB"/>
        </w:rPr>
        <w:t>Themelis</w:t>
      </w:r>
      <w:proofErr w:type="spellEnd"/>
      <w:r w:rsidRPr="003F7850">
        <w:rPr>
          <w:lang w:val="en-GB"/>
        </w:rPr>
        <w:t xml:space="preserve"> N, Spyrou K. Critical Wave Groups Versus Direct Monte-Carlo Simulations for Typical Stability Failure Modes of a Container Ship. Contemporary Idea on Ship Stability, Springer, Cham, CH2019; 407-412.</w:t>
      </w:r>
    </w:p>
    <w:p w14:paraId="12A106E6" w14:textId="08C16BFD" w:rsidR="006435D2" w:rsidRPr="003F7850" w:rsidRDefault="006435D2" w:rsidP="00AC49CB">
      <w:pPr>
        <w:pStyle w:val="References"/>
        <w:tabs>
          <w:tab w:val="clear" w:pos="85"/>
          <w:tab w:val="clear" w:pos="255"/>
        </w:tabs>
        <w:spacing w:after="60"/>
        <w:ind w:left="425" w:hanging="425"/>
        <w:rPr>
          <w:lang w:val="en-GB"/>
        </w:rPr>
      </w:pPr>
      <w:r w:rsidRPr="003F7850">
        <w:rPr>
          <w:lang w:val="en-GB"/>
        </w:rPr>
        <w:t>Yang SH. Study on the Parametric Rolling of Medium-Sized Containership Based on Nonlinear Time Domain Analysis. Proceeding of the ASME 2020 39th International conference on Offshore Mechanics and Arctic Engineering. 2020; 6b.</w:t>
      </w:r>
    </w:p>
    <w:p w14:paraId="7F5880CE" w14:textId="2CD5C8A6" w:rsidR="006435D2" w:rsidRPr="003F7850" w:rsidRDefault="006435D2" w:rsidP="00AC49CB">
      <w:pPr>
        <w:pStyle w:val="References"/>
        <w:tabs>
          <w:tab w:val="clear" w:pos="85"/>
          <w:tab w:val="clear" w:pos="255"/>
        </w:tabs>
        <w:spacing w:after="60"/>
        <w:ind w:left="425" w:hanging="425"/>
        <w:rPr>
          <w:lang w:val="en-GB"/>
        </w:rPr>
      </w:pPr>
      <w:r w:rsidRPr="003F7850">
        <w:rPr>
          <w:lang w:val="en-GB"/>
        </w:rPr>
        <w:t xml:space="preserve">IMO. </w:t>
      </w:r>
      <w:proofErr w:type="spellStart"/>
      <w:r w:rsidRPr="003F7850">
        <w:rPr>
          <w:lang w:val="en-GB"/>
        </w:rPr>
        <w:t>MSC.Resolution</w:t>
      </w:r>
      <w:proofErr w:type="spellEnd"/>
      <w:r w:rsidRPr="003F7850">
        <w:rPr>
          <w:lang w:val="en-GB"/>
        </w:rPr>
        <w:t xml:space="preserve"> 267(85) - Adoption of the International Code on Intact Stability. 2008; London, UK.</w:t>
      </w:r>
    </w:p>
    <w:p w14:paraId="207F588E" w14:textId="6784A2AC" w:rsidR="006435D2" w:rsidRPr="003F7850" w:rsidRDefault="006435D2" w:rsidP="00AC49CB">
      <w:pPr>
        <w:pStyle w:val="References"/>
        <w:tabs>
          <w:tab w:val="clear" w:pos="85"/>
          <w:tab w:val="clear" w:pos="255"/>
        </w:tabs>
        <w:spacing w:after="60"/>
        <w:ind w:left="425" w:hanging="425"/>
        <w:rPr>
          <w:lang w:val="en-GB"/>
        </w:rPr>
      </w:pPr>
      <w:proofErr w:type="spellStart"/>
      <w:r w:rsidRPr="003F7850">
        <w:rPr>
          <w:lang w:val="en-GB"/>
        </w:rPr>
        <w:t>Rudaković</w:t>
      </w:r>
      <w:proofErr w:type="spellEnd"/>
      <w:r w:rsidRPr="003F7850">
        <w:rPr>
          <w:lang w:val="en-GB"/>
        </w:rPr>
        <w:t xml:space="preserve"> S, </w:t>
      </w:r>
      <w:proofErr w:type="spellStart"/>
      <w:r w:rsidRPr="003F7850">
        <w:rPr>
          <w:lang w:val="en-GB"/>
        </w:rPr>
        <w:t>Bačkalov</w:t>
      </w:r>
      <w:proofErr w:type="spellEnd"/>
      <w:r w:rsidRPr="003F7850">
        <w:rPr>
          <w:lang w:val="en-GB"/>
        </w:rPr>
        <w:t xml:space="preserve"> I. Operational Limitations of a River-Sea Container Vessel in the Framework of </w:t>
      </w:r>
      <w:proofErr w:type="gramStart"/>
      <w:r w:rsidRPr="003F7850">
        <w:rPr>
          <w:lang w:val="en-GB"/>
        </w:rPr>
        <w:t>Second Generation</w:t>
      </w:r>
      <w:proofErr w:type="gramEnd"/>
      <w:r w:rsidRPr="003F7850">
        <w:rPr>
          <w:lang w:val="en-GB"/>
        </w:rPr>
        <w:t xml:space="preserve"> Intact Stability Criteria. Ocean Engineering 2019; 183:409-418.</w:t>
      </w:r>
    </w:p>
    <w:p w14:paraId="6661894F" w14:textId="600A21ED" w:rsidR="006435D2" w:rsidRPr="003F7850" w:rsidRDefault="006435D2" w:rsidP="00AC49CB">
      <w:pPr>
        <w:pStyle w:val="References"/>
        <w:tabs>
          <w:tab w:val="clear" w:pos="85"/>
          <w:tab w:val="clear" w:pos="255"/>
        </w:tabs>
        <w:spacing w:after="60"/>
        <w:ind w:left="425" w:hanging="425"/>
        <w:rPr>
          <w:lang w:val="en-GB"/>
        </w:rPr>
      </w:pPr>
      <w:proofErr w:type="spellStart"/>
      <w:r w:rsidRPr="003F7850">
        <w:rPr>
          <w:lang w:val="en-GB"/>
        </w:rPr>
        <w:t>Liwång</w:t>
      </w:r>
      <w:proofErr w:type="spellEnd"/>
      <w:r w:rsidRPr="003F7850">
        <w:rPr>
          <w:lang w:val="en-GB"/>
        </w:rPr>
        <w:t xml:space="preserve"> H. Exposure, Vulnerability and Recoverability in Relation to a Ship's Intact Stability. Ocean Engineering 2019; 187</w:t>
      </w:r>
    </w:p>
    <w:p w14:paraId="02BD6D23" w14:textId="77472F61" w:rsidR="006435D2" w:rsidRPr="003F7850" w:rsidRDefault="006435D2" w:rsidP="00AC49CB">
      <w:pPr>
        <w:pStyle w:val="References"/>
        <w:tabs>
          <w:tab w:val="clear" w:pos="85"/>
          <w:tab w:val="clear" w:pos="255"/>
        </w:tabs>
        <w:spacing w:after="60"/>
        <w:ind w:left="425" w:hanging="425"/>
        <w:rPr>
          <w:lang w:val="en-GB"/>
        </w:rPr>
      </w:pPr>
      <w:r w:rsidRPr="003F7850">
        <w:rPr>
          <w:lang w:val="en-GB"/>
        </w:rPr>
        <w:t>Petacco N, Gualeni P. IMO Second Generation Intact Stability Criteria: General Overview and Focus on Operational Measures. Journal of Marine Science and Engineering 2020; 8:494</w:t>
      </w:r>
    </w:p>
    <w:p w14:paraId="00F18C43" w14:textId="5FC25F87" w:rsidR="00792D4F" w:rsidRPr="003F7850" w:rsidRDefault="00792D4F" w:rsidP="00AC49CB">
      <w:pPr>
        <w:pStyle w:val="References"/>
        <w:tabs>
          <w:tab w:val="clear" w:pos="85"/>
          <w:tab w:val="clear" w:pos="255"/>
        </w:tabs>
        <w:spacing w:after="60"/>
        <w:ind w:left="425" w:hanging="425"/>
        <w:rPr>
          <w:lang w:val="en-GB"/>
        </w:rPr>
      </w:pPr>
      <w:proofErr w:type="spellStart"/>
      <w:r w:rsidRPr="003F7850">
        <w:rPr>
          <w:lang w:val="en-GB"/>
        </w:rPr>
        <w:t>Rinauro</w:t>
      </w:r>
      <w:proofErr w:type="spellEnd"/>
      <w:r w:rsidRPr="003F7850">
        <w:rPr>
          <w:lang w:val="en-GB"/>
        </w:rPr>
        <w:t xml:space="preserve"> B, </w:t>
      </w:r>
      <w:proofErr w:type="spellStart"/>
      <w:r w:rsidRPr="003F7850">
        <w:rPr>
          <w:lang w:val="en-GB"/>
        </w:rPr>
        <w:t>Begovič</w:t>
      </w:r>
      <w:proofErr w:type="spellEnd"/>
      <w:r w:rsidRPr="003F7850">
        <w:rPr>
          <w:lang w:val="en-GB"/>
        </w:rPr>
        <w:t xml:space="preserve"> E, </w:t>
      </w:r>
      <w:proofErr w:type="spellStart"/>
      <w:r w:rsidRPr="003F7850">
        <w:rPr>
          <w:lang w:val="en-GB"/>
        </w:rPr>
        <w:t>Gatin</w:t>
      </w:r>
      <w:proofErr w:type="spellEnd"/>
      <w:r w:rsidRPr="003F7850">
        <w:rPr>
          <w:lang w:val="en-GB"/>
        </w:rPr>
        <w:t xml:space="preserve"> I, </w:t>
      </w:r>
      <w:proofErr w:type="spellStart"/>
      <w:r w:rsidRPr="003F7850">
        <w:rPr>
          <w:lang w:val="en-GB"/>
        </w:rPr>
        <w:t>Jasak</w:t>
      </w:r>
      <w:proofErr w:type="spellEnd"/>
      <w:r w:rsidRPr="003F7850">
        <w:rPr>
          <w:lang w:val="en-GB"/>
        </w:rPr>
        <w:t xml:space="preserve"> H. Surf-riding Operational Measures for Fast </w:t>
      </w:r>
      <w:proofErr w:type="spellStart"/>
      <w:r w:rsidRPr="003F7850">
        <w:rPr>
          <w:lang w:val="en-GB"/>
        </w:rPr>
        <w:t>Semidisplacement</w:t>
      </w:r>
      <w:proofErr w:type="spellEnd"/>
      <w:r w:rsidRPr="003F7850">
        <w:rPr>
          <w:lang w:val="en-GB"/>
        </w:rPr>
        <w:t xml:space="preserve"> Naval Hull Form. </w:t>
      </w:r>
      <w:proofErr w:type="spellStart"/>
      <w:r w:rsidRPr="003F7850">
        <w:rPr>
          <w:lang w:val="en-GB"/>
        </w:rPr>
        <w:t>InHSMV</w:t>
      </w:r>
      <w:proofErr w:type="spellEnd"/>
      <w:r w:rsidRPr="003F7850">
        <w:rPr>
          <w:lang w:val="en-GB"/>
        </w:rPr>
        <w:t xml:space="preserve"> 2020: Proceedings of the 12th Symposium on High Speed Marine Vehicles 2020 Nov 3; 5:219. IOS Press.</w:t>
      </w:r>
    </w:p>
    <w:p w14:paraId="7517AF27" w14:textId="77777777" w:rsidR="00395585" w:rsidRPr="003F7850" w:rsidRDefault="00395585" w:rsidP="00395585">
      <w:pPr>
        <w:pStyle w:val="References"/>
        <w:tabs>
          <w:tab w:val="clear" w:pos="85"/>
          <w:tab w:val="clear" w:pos="255"/>
        </w:tabs>
        <w:spacing w:after="60"/>
        <w:ind w:left="425" w:hanging="425"/>
        <w:rPr>
          <w:lang w:val="en-GB"/>
        </w:rPr>
      </w:pPr>
      <w:proofErr w:type="spellStart"/>
      <w:r w:rsidRPr="003F7850">
        <w:t>Italian</w:t>
      </w:r>
      <w:proofErr w:type="spellEnd"/>
      <w:r w:rsidRPr="003F7850">
        <w:t xml:space="preserve"> </w:t>
      </w:r>
      <w:proofErr w:type="spellStart"/>
      <w:r w:rsidRPr="003F7850">
        <w:t>Coast</w:t>
      </w:r>
      <w:proofErr w:type="spellEnd"/>
      <w:r w:rsidRPr="003F7850">
        <w:t xml:space="preserve"> Guard. D.750/2005 - Individuazione dei tratti di mare in cui le navi Ro-Ro da passeggeri effettuano servizi di linea e corrispondenti valori d'altezza significativa d'onda. </w:t>
      </w:r>
      <w:r w:rsidRPr="003F7850">
        <w:rPr>
          <w:lang w:val="en-GB"/>
        </w:rPr>
        <w:t>Ministry of Infrastructures and Transport 2005; Rome, Italy.</w:t>
      </w:r>
    </w:p>
    <w:p w14:paraId="28A756EB" w14:textId="77777777" w:rsidR="00395585" w:rsidRPr="003F7850" w:rsidRDefault="00395585" w:rsidP="00395585">
      <w:pPr>
        <w:pStyle w:val="References"/>
        <w:tabs>
          <w:tab w:val="clear" w:pos="85"/>
          <w:tab w:val="clear" w:pos="255"/>
        </w:tabs>
        <w:spacing w:after="60"/>
        <w:ind w:left="425" w:hanging="425"/>
        <w:rPr>
          <w:lang w:val="en-GB"/>
        </w:rPr>
      </w:pPr>
      <w:r w:rsidRPr="003F7850">
        <w:rPr>
          <w:lang w:val="en-GB"/>
        </w:rPr>
        <w:t xml:space="preserve">EU </w:t>
      </w:r>
      <w:proofErr w:type="spellStart"/>
      <w:r w:rsidRPr="003F7850">
        <w:rPr>
          <w:lang w:val="en-GB"/>
        </w:rPr>
        <w:t>Commision</w:t>
      </w:r>
      <w:proofErr w:type="spellEnd"/>
      <w:r w:rsidRPr="003F7850">
        <w:rPr>
          <w:lang w:val="en-GB"/>
        </w:rPr>
        <w:t>. 2009/45/EC - Directive on safety rules and standards for passenger ships. Official Journal of the European Union, 2009 Jun.</w:t>
      </w:r>
    </w:p>
    <w:p w14:paraId="3ED7BA6D" w14:textId="21687FAF" w:rsidR="00395585" w:rsidRPr="003F7850" w:rsidRDefault="00395585" w:rsidP="00395585">
      <w:pPr>
        <w:pStyle w:val="References"/>
        <w:tabs>
          <w:tab w:val="clear" w:pos="85"/>
          <w:tab w:val="clear" w:pos="255"/>
        </w:tabs>
        <w:spacing w:after="60"/>
        <w:ind w:left="425" w:hanging="425"/>
        <w:rPr>
          <w:lang w:val="en-GB"/>
        </w:rPr>
      </w:pPr>
      <w:r w:rsidRPr="003F7850">
        <w:rPr>
          <w:lang w:val="en-GB"/>
        </w:rPr>
        <w:t xml:space="preserve">EU </w:t>
      </w:r>
      <w:proofErr w:type="spellStart"/>
      <w:r w:rsidRPr="003F7850">
        <w:rPr>
          <w:lang w:val="en-GB"/>
        </w:rPr>
        <w:t>Commision</w:t>
      </w:r>
      <w:proofErr w:type="spellEnd"/>
      <w:r w:rsidRPr="003F7850">
        <w:rPr>
          <w:lang w:val="en-GB"/>
        </w:rPr>
        <w:t>. 2010/36/EU - Directive on safety rules and standards for passenger ships - Update. Official Journal of the European Union, 2010 Jun.</w:t>
      </w:r>
    </w:p>
    <w:sectPr w:rsidR="00395585" w:rsidRPr="003F7850">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86C2" w14:textId="77777777" w:rsidR="0033227B" w:rsidRDefault="0033227B">
      <w:r>
        <w:separator/>
      </w:r>
    </w:p>
  </w:endnote>
  <w:endnote w:type="continuationSeparator" w:id="0">
    <w:p w14:paraId="28D5C3EC" w14:textId="77777777" w:rsidR="0033227B" w:rsidRDefault="0033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9E77" w14:textId="77777777" w:rsidR="0033227B" w:rsidRDefault="0033227B">
      <w:r>
        <w:separator/>
      </w:r>
    </w:p>
  </w:footnote>
  <w:footnote w:type="continuationSeparator" w:id="0">
    <w:p w14:paraId="69DF7972" w14:textId="77777777" w:rsidR="0033227B" w:rsidRDefault="0033227B">
      <w:r>
        <w:continuationSeparator/>
      </w:r>
    </w:p>
  </w:footnote>
  <w:footnote w:id="1">
    <w:p w14:paraId="2296D74C" w14:textId="56054EE1" w:rsidR="00B05D6E" w:rsidRPr="006B2423" w:rsidRDefault="00B05D6E">
      <w:pPr>
        <w:pStyle w:val="Testonotaapidipagina"/>
        <w:rPr>
          <w:rStyle w:val="FootnoteChar"/>
          <w:szCs w:val="16"/>
        </w:rPr>
      </w:pPr>
      <w:r>
        <w:rPr>
          <w:rStyle w:val="Rimandonotaapidipagina"/>
        </w:rPr>
        <w:footnoteRef/>
      </w:r>
      <w:r w:rsidRPr="006B2423">
        <w:rPr>
          <w:rStyle w:val="FootnoteChar"/>
        </w:rPr>
        <w:t xml:space="preserve"> </w:t>
      </w:r>
      <w:r w:rsidR="003D32EE" w:rsidRPr="006B2423">
        <w:rPr>
          <w:rStyle w:val="FootnoteChar"/>
        </w:rPr>
        <w:t>Corresponding Author: D</w:t>
      </w:r>
      <w:r w:rsidR="00E46D80" w:rsidRPr="006B2423">
        <w:rPr>
          <w:rStyle w:val="FootnoteChar"/>
        </w:rPr>
        <w:t xml:space="preserve">epartment of Electric, Electronic and Telecommunication Engineering and Naval Architecture (DITEN), Via Montallegro 1, 16145 Genova, Italy; E-mail: </w:t>
      </w:r>
      <w:hyperlink r:id="rId1" w:history="1">
        <w:r w:rsidR="00E46D80" w:rsidRPr="006B2423">
          <w:rPr>
            <w:rStyle w:val="Collegamentoipertestuale"/>
            <w:sz w:val="16"/>
            <w:szCs w:val="24"/>
            <w:lang w:val="en-US"/>
          </w:rPr>
          <w:t>nicola.petacco@unige.it</w:t>
        </w:r>
      </w:hyperlink>
      <w:r w:rsidR="00E46D80" w:rsidRPr="006B2423">
        <w:rPr>
          <w:rStyle w:val="FootnoteChar"/>
        </w:rPr>
        <w:t xml:space="preserve"> </w:t>
      </w:r>
      <w:r w:rsidR="006161C2" w:rsidRPr="006B2423">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0955B8C"/>
    <w:multiLevelType w:val="hybridMultilevel"/>
    <w:tmpl w:val="A4A025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50117"/>
    <w:multiLevelType w:val="hybridMultilevel"/>
    <w:tmpl w:val="F93C3E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F1D7A"/>
    <w:multiLevelType w:val="hybridMultilevel"/>
    <w:tmpl w:val="0D024F66"/>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30D674A"/>
    <w:multiLevelType w:val="hybridMultilevel"/>
    <w:tmpl w:val="A5A67DD2"/>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7497721">
    <w:abstractNumId w:val="9"/>
  </w:num>
  <w:num w:numId="2" w16cid:durableId="361589633">
    <w:abstractNumId w:val="7"/>
  </w:num>
  <w:num w:numId="3" w16cid:durableId="869952833">
    <w:abstractNumId w:val="0"/>
  </w:num>
  <w:num w:numId="4" w16cid:durableId="1483424469">
    <w:abstractNumId w:val="11"/>
  </w:num>
  <w:num w:numId="5" w16cid:durableId="1934363055">
    <w:abstractNumId w:val="6"/>
  </w:num>
  <w:num w:numId="6" w16cid:durableId="2014530618">
    <w:abstractNumId w:val="10"/>
  </w:num>
  <w:num w:numId="7" w16cid:durableId="1191068989">
    <w:abstractNumId w:val="12"/>
  </w:num>
  <w:num w:numId="8" w16cid:durableId="326129177">
    <w:abstractNumId w:val="8"/>
  </w:num>
  <w:num w:numId="9" w16cid:durableId="1971008215">
    <w:abstractNumId w:val="12"/>
  </w:num>
  <w:num w:numId="10" w16cid:durableId="1204638551">
    <w:abstractNumId w:val="5"/>
  </w:num>
  <w:num w:numId="11" w16cid:durableId="818572877">
    <w:abstractNumId w:val="12"/>
    <w:lvlOverride w:ilvl="0">
      <w:startOverride w:val="1"/>
    </w:lvlOverride>
  </w:num>
  <w:num w:numId="12" w16cid:durableId="268701531">
    <w:abstractNumId w:val="2"/>
  </w:num>
  <w:num w:numId="13" w16cid:durableId="802649632">
    <w:abstractNumId w:val="4"/>
  </w:num>
  <w:num w:numId="14" w16cid:durableId="803158484">
    <w:abstractNumId w:val="3"/>
  </w:num>
  <w:num w:numId="15" w16cid:durableId="927806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83"/>
    <w:rsid w:val="00022EEC"/>
    <w:rsid w:val="00033E12"/>
    <w:rsid w:val="00034D1F"/>
    <w:rsid w:val="00037964"/>
    <w:rsid w:val="00046A9A"/>
    <w:rsid w:val="000546ED"/>
    <w:rsid w:val="0006012E"/>
    <w:rsid w:val="000730EC"/>
    <w:rsid w:val="00073326"/>
    <w:rsid w:val="00073457"/>
    <w:rsid w:val="00087265"/>
    <w:rsid w:val="000A0DAD"/>
    <w:rsid w:val="000A19EE"/>
    <w:rsid w:val="000B4648"/>
    <w:rsid w:val="000C1F4A"/>
    <w:rsid w:val="001015F7"/>
    <w:rsid w:val="001520F6"/>
    <w:rsid w:val="001671FB"/>
    <w:rsid w:val="00180D8D"/>
    <w:rsid w:val="00181D1C"/>
    <w:rsid w:val="00185888"/>
    <w:rsid w:val="00190CC7"/>
    <w:rsid w:val="0019650D"/>
    <w:rsid w:val="001A71A1"/>
    <w:rsid w:val="001F115E"/>
    <w:rsid w:val="00200EED"/>
    <w:rsid w:val="00202359"/>
    <w:rsid w:val="002032FE"/>
    <w:rsid w:val="002033AD"/>
    <w:rsid w:val="002123D0"/>
    <w:rsid w:val="0021357F"/>
    <w:rsid w:val="00215487"/>
    <w:rsid w:val="002314F6"/>
    <w:rsid w:val="00231D42"/>
    <w:rsid w:val="00233F07"/>
    <w:rsid w:val="00247038"/>
    <w:rsid w:val="00250E50"/>
    <w:rsid w:val="002676B9"/>
    <w:rsid w:val="00283A15"/>
    <w:rsid w:val="0029457C"/>
    <w:rsid w:val="002A220B"/>
    <w:rsid w:val="002A25CD"/>
    <w:rsid w:val="002B68A2"/>
    <w:rsid w:val="002C39BB"/>
    <w:rsid w:val="002C6FA3"/>
    <w:rsid w:val="002E7BD0"/>
    <w:rsid w:val="002F0766"/>
    <w:rsid w:val="002F130D"/>
    <w:rsid w:val="002F1364"/>
    <w:rsid w:val="002F404A"/>
    <w:rsid w:val="002F6648"/>
    <w:rsid w:val="002F66BC"/>
    <w:rsid w:val="00300459"/>
    <w:rsid w:val="00304BC2"/>
    <w:rsid w:val="003056C8"/>
    <w:rsid w:val="00323F06"/>
    <w:rsid w:val="00330D8D"/>
    <w:rsid w:val="00330F1D"/>
    <w:rsid w:val="00331515"/>
    <w:rsid w:val="00331580"/>
    <w:rsid w:val="0033227B"/>
    <w:rsid w:val="003577C3"/>
    <w:rsid w:val="003610C6"/>
    <w:rsid w:val="0037672A"/>
    <w:rsid w:val="00381049"/>
    <w:rsid w:val="00395585"/>
    <w:rsid w:val="003A63E9"/>
    <w:rsid w:val="003A72EA"/>
    <w:rsid w:val="003B6142"/>
    <w:rsid w:val="003D32EE"/>
    <w:rsid w:val="003D4A50"/>
    <w:rsid w:val="003D7D4B"/>
    <w:rsid w:val="003E5ADD"/>
    <w:rsid w:val="003E6861"/>
    <w:rsid w:val="003F3618"/>
    <w:rsid w:val="003F5074"/>
    <w:rsid w:val="003F7850"/>
    <w:rsid w:val="00400797"/>
    <w:rsid w:val="00400E8E"/>
    <w:rsid w:val="0041199D"/>
    <w:rsid w:val="004120F6"/>
    <w:rsid w:val="00426AB2"/>
    <w:rsid w:val="00460A0B"/>
    <w:rsid w:val="0048018B"/>
    <w:rsid w:val="00480874"/>
    <w:rsid w:val="0048223C"/>
    <w:rsid w:val="0048516F"/>
    <w:rsid w:val="00494C0A"/>
    <w:rsid w:val="0049505C"/>
    <w:rsid w:val="004A0127"/>
    <w:rsid w:val="004A217D"/>
    <w:rsid w:val="004A221D"/>
    <w:rsid w:val="004A25A1"/>
    <w:rsid w:val="004B3278"/>
    <w:rsid w:val="004D0611"/>
    <w:rsid w:val="004E3AF0"/>
    <w:rsid w:val="004E42DD"/>
    <w:rsid w:val="004F0DF1"/>
    <w:rsid w:val="004F6AE8"/>
    <w:rsid w:val="00501051"/>
    <w:rsid w:val="005013CA"/>
    <w:rsid w:val="00504562"/>
    <w:rsid w:val="00510545"/>
    <w:rsid w:val="00510947"/>
    <w:rsid w:val="0053288D"/>
    <w:rsid w:val="00544CCC"/>
    <w:rsid w:val="005560BE"/>
    <w:rsid w:val="00572C2E"/>
    <w:rsid w:val="005733A1"/>
    <w:rsid w:val="005758F5"/>
    <w:rsid w:val="005916E0"/>
    <w:rsid w:val="00591DFC"/>
    <w:rsid w:val="00594C7C"/>
    <w:rsid w:val="005A1555"/>
    <w:rsid w:val="005A2524"/>
    <w:rsid w:val="005B6AC9"/>
    <w:rsid w:val="005B7A9C"/>
    <w:rsid w:val="005C3D5F"/>
    <w:rsid w:val="005D31E6"/>
    <w:rsid w:val="005D4DC8"/>
    <w:rsid w:val="005E0532"/>
    <w:rsid w:val="005E372B"/>
    <w:rsid w:val="0060242C"/>
    <w:rsid w:val="006161C2"/>
    <w:rsid w:val="006242C0"/>
    <w:rsid w:val="00627637"/>
    <w:rsid w:val="00631672"/>
    <w:rsid w:val="006435D2"/>
    <w:rsid w:val="00646FB9"/>
    <w:rsid w:val="00647879"/>
    <w:rsid w:val="0066089E"/>
    <w:rsid w:val="00660D9F"/>
    <w:rsid w:val="00667E41"/>
    <w:rsid w:val="00673E4A"/>
    <w:rsid w:val="00682FB2"/>
    <w:rsid w:val="00683250"/>
    <w:rsid w:val="00691548"/>
    <w:rsid w:val="0069192E"/>
    <w:rsid w:val="006A5383"/>
    <w:rsid w:val="006B2423"/>
    <w:rsid w:val="006B5951"/>
    <w:rsid w:val="006B79C6"/>
    <w:rsid w:val="006C064F"/>
    <w:rsid w:val="006C3F7A"/>
    <w:rsid w:val="006E4912"/>
    <w:rsid w:val="006F1330"/>
    <w:rsid w:val="006F5DF8"/>
    <w:rsid w:val="006F6AD3"/>
    <w:rsid w:val="00700C18"/>
    <w:rsid w:val="007076F4"/>
    <w:rsid w:val="00713B4E"/>
    <w:rsid w:val="00726BCB"/>
    <w:rsid w:val="00732E82"/>
    <w:rsid w:val="00744B08"/>
    <w:rsid w:val="00744D7C"/>
    <w:rsid w:val="00752704"/>
    <w:rsid w:val="00776E6F"/>
    <w:rsid w:val="007778CA"/>
    <w:rsid w:val="00791773"/>
    <w:rsid w:val="00792D4F"/>
    <w:rsid w:val="00793382"/>
    <w:rsid w:val="007B0792"/>
    <w:rsid w:val="007B530A"/>
    <w:rsid w:val="007B696E"/>
    <w:rsid w:val="007C1400"/>
    <w:rsid w:val="007C55FE"/>
    <w:rsid w:val="007C6338"/>
    <w:rsid w:val="007C6E23"/>
    <w:rsid w:val="007E58E0"/>
    <w:rsid w:val="00801134"/>
    <w:rsid w:val="00803AC5"/>
    <w:rsid w:val="008116B5"/>
    <w:rsid w:val="00817352"/>
    <w:rsid w:val="00827809"/>
    <w:rsid w:val="008322CE"/>
    <w:rsid w:val="0084112B"/>
    <w:rsid w:val="00847A2D"/>
    <w:rsid w:val="00853AF9"/>
    <w:rsid w:val="0086733C"/>
    <w:rsid w:val="00892099"/>
    <w:rsid w:val="008A00BF"/>
    <w:rsid w:val="008B7716"/>
    <w:rsid w:val="008C3A3C"/>
    <w:rsid w:val="008D31FB"/>
    <w:rsid w:val="008D46FD"/>
    <w:rsid w:val="008D7C2A"/>
    <w:rsid w:val="008E10E1"/>
    <w:rsid w:val="008F098D"/>
    <w:rsid w:val="008F6077"/>
    <w:rsid w:val="008F6C37"/>
    <w:rsid w:val="009171F7"/>
    <w:rsid w:val="00921A9C"/>
    <w:rsid w:val="00936E55"/>
    <w:rsid w:val="00940C58"/>
    <w:rsid w:val="00947630"/>
    <w:rsid w:val="00950137"/>
    <w:rsid w:val="009521D6"/>
    <w:rsid w:val="00952C57"/>
    <w:rsid w:val="00952FC0"/>
    <w:rsid w:val="00967511"/>
    <w:rsid w:val="00976913"/>
    <w:rsid w:val="00982C25"/>
    <w:rsid w:val="00984C28"/>
    <w:rsid w:val="00994F02"/>
    <w:rsid w:val="00997B17"/>
    <w:rsid w:val="009A1C7A"/>
    <w:rsid w:val="009A5FCD"/>
    <w:rsid w:val="009B0E05"/>
    <w:rsid w:val="009B7EC1"/>
    <w:rsid w:val="009D0242"/>
    <w:rsid w:val="009E4226"/>
    <w:rsid w:val="009E445C"/>
    <w:rsid w:val="009E497D"/>
    <w:rsid w:val="009E5959"/>
    <w:rsid w:val="009F17DD"/>
    <w:rsid w:val="009F4430"/>
    <w:rsid w:val="009F4A91"/>
    <w:rsid w:val="009F7F93"/>
    <w:rsid w:val="00A10588"/>
    <w:rsid w:val="00A12E7F"/>
    <w:rsid w:val="00A15E79"/>
    <w:rsid w:val="00A162EB"/>
    <w:rsid w:val="00A225AD"/>
    <w:rsid w:val="00A2787C"/>
    <w:rsid w:val="00A33B5F"/>
    <w:rsid w:val="00A43CAC"/>
    <w:rsid w:val="00A47184"/>
    <w:rsid w:val="00A512C1"/>
    <w:rsid w:val="00A60363"/>
    <w:rsid w:val="00A607B6"/>
    <w:rsid w:val="00A60BC9"/>
    <w:rsid w:val="00A60C74"/>
    <w:rsid w:val="00A60E18"/>
    <w:rsid w:val="00A6579D"/>
    <w:rsid w:val="00A67781"/>
    <w:rsid w:val="00A8051E"/>
    <w:rsid w:val="00A90E5D"/>
    <w:rsid w:val="00A92A8A"/>
    <w:rsid w:val="00A978D2"/>
    <w:rsid w:val="00AA0682"/>
    <w:rsid w:val="00AA08D5"/>
    <w:rsid w:val="00AA1129"/>
    <w:rsid w:val="00AA3893"/>
    <w:rsid w:val="00AB4687"/>
    <w:rsid w:val="00AC34FF"/>
    <w:rsid w:val="00AC49CB"/>
    <w:rsid w:val="00AC6F54"/>
    <w:rsid w:val="00AC7FCC"/>
    <w:rsid w:val="00AD087F"/>
    <w:rsid w:val="00AD163B"/>
    <w:rsid w:val="00AD16F5"/>
    <w:rsid w:val="00AD4EB5"/>
    <w:rsid w:val="00AE0F9E"/>
    <w:rsid w:val="00AE1751"/>
    <w:rsid w:val="00AF34F0"/>
    <w:rsid w:val="00B002CF"/>
    <w:rsid w:val="00B01DA3"/>
    <w:rsid w:val="00B026C4"/>
    <w:rsid w:val="00B05D6E"/>
    <w:rsid w:val="00B15CC4"/>
    <w:rsid w:val="00B17D77"/>
    <w:rsid w:val="00B22353"/>
    <w:rsid w:val="00B23E2D"/>
    <w:rsid w:val="00B27025"/>
    <w:rsid w:val="00B30621"/>
    <w:rsid w:val="00B42CDB"/>
    <w:rsid w:val="00B43072"/>
    <w:rsid w:val="00B529AB"/>
    <w:rsid w:val="00B532E9"/>
    <w:rsid w:val="00B62F86"/>
    <w:rsid w:val="00B637CB"/>
    <w:rsid w:val="00B67332"/>
    <w:rsid w:val="00B72591"/>
    <w:rsid w:val="00B930E7"/>
    <w:rsid w:val="00B978F2"/>
    <w:rsid w:val="00BA01BE"/>
    <w:rsid w:val="00BA408D"/>
    <w:rsid w:val="00BA438A"/>
    <w:rsid w:val="00BA66E9"/>
    <w:rsid w:val="00BB7EE2"/>
    <w:rsid w:val="00BC53F6"/>
    <w:rsid w:val="00BD4698"/>
    <w:rsid w:val="00BD574E"/>
    <w:rsid w:val="00BD751F"/>
    <w:rsid w:val="00BE0E56"/>
    <w:rsid w:val="00BF5596"/>
    <w:rsid w:val="00C002F2"/>
    <w:rsid w:val="00C26207"/>
    <w:rsid w:val="00C570F8"/>
    <w:rsid w:val="00C730D4"/>
    <w:rsid w:val="00C74AB4"/>
    <w:rsid w:val="00C83961"/>
    <w:rsid w:val="00C84276"/>
    <w:rsid w:val="00C9123C"/>
    <w:rsid w:val="00C97AB7"/>
    <w:rsid w:val="00C97D11"/>
    <w:rsid w:val="00CA206C"/>
    <w:rsid w:val="00CA3958"/>
    <w:rsid w:val="00CB0F31"/>
    <w:rsid w:val="00CC52A0"/>
    <w:rsid w:val="00CD1FA1"/>
    <w:rsid w:val="00CD34FC"/>
    <w:rsid w:val="00CE23E7"/>
    <w:rsid w:val="00CF5C91"/>
    <w:rsid w:val="00D118A1"/>
    <w:rsid w:val="00D15E89"/>
    <w:rsid w:val="00D206B7"/>
    <w:rsid w:val="00D41D95"/>
    <w:rsid w:val="00D45997"/>
    <w:rsid w:val="00D73084"/>
    <w:rsid w:val="00D8283F"/>
    <w:rsid w:val="00D82BC9"/>
    <w:rsid w:val="00D85983"/>
    <w:rsid w:val="00D94906"/>
    <w:rsid w:val="00DB683B"/>
    <w:rsid w:val="00DC4FFD"/>
    <w:rsid w:val="00DC6271"/>
    <w:rsid w:val="00DC7F9E"/>
    <w:rsid w:val="00DE1033"/>
    <w:rsid w:val="00DE3291"/>
    <w:rsid w:val="00DE5B75"/>
    <w:rsid w:val="00DF61C6"/>
    <w:rsid w:val="00DF7580"/>
    <w:rsid w:val="00E02F91"/>
    <w:rsid w:val="00E23B2A"/>
    <w:rsid w:val="00E23C3F"/>
    <w:rsid w:val="00E2625B"/>
    <w:rsid w:val="00E31131"/>
    <w:rsid w:val="00E3259F"/>
    <w:rsid w:val="00E35AEA"/>
    <w:rsid w:val="00E3718D"/>
    <w:rsid w:val="00E411D3"/>
    <w:rsid w:val="00E42B0A"/>
    <w:rsid w:val="00E46D80"/>
    <w:rsid w:val="00E52BD7"/>
    <w:rsid w:val="00E55286"/>
    <w:rsid w:val="00E57620"/>
    <w:rsid w:val="00E61BF0"/>
    <w:rsid w:val="00E7408F"/>
    <w:rsid w:val="00E84164"/>
    <w:rsid w:val="00E91EA2"/>
    <w:rsid w:val="00EB2A85"/>
    <w:rsid w:val="00EB5583"/>
    <w:rsid w:val="00EC01DB"/>
    <w:rsid w:val="00EC4BF7"/>
    <w:rsid w:val="00EE07FC"/>
    <w:rsid w:val="00EE3E85"/>
    <w:rsid w:val="00F07FC3"/>
    <w:rsid w:val="00F22EE9"/>
    <w:rsid w:val="00F36059"/>
    <w:rsid w:val="00F41AE0"/>
    <w:rsid w:val="00F43192"/>
    <w:rsid w:val="00F4732B"/>
    <w:rsid w:val="00F502D8"/>
    <w:rsid w:val="00F533AD"/>
    <w:rsid w:val="00F56DEA"/>
    <w:rsid w:val="00F61BBE"/>
    <w:rsid w:val="00F65D95"/>
    <w:rsid w:val="00F77A30"/>
    <w:rsid w:val="00F8616F"/>
    <w:rsid w:val="00F90100"/>
    <w:rsid w:val="00F916A5"/>
    <w:rsid w:val="00F95A80"/>
    <w:rsid w:val="00FC36E2"/>
    <w:rsid w:val="00FC4EF0"/>
    <w:rsid w:val="00FD4A12"/>
    <w:rsid w:val="00FE33F6"/>
    <w:rsid w:val="00FE4E85"/>
    <w:rsid w:val="00FF2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53692"/>
  <w15:chartTrackingRefBased/>
  <w15:docId w15:val="{7F7FEA8E-65D7-AD49-8251-DBF0A55C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8F2"/>
    <w:pPr>
      <w:jc w:val="both"/>
    </w:pPr>
    <w:rPr>
      <w:rFonts w:eastAsia="Times New Roman"/>
      <w:sz w:val="24"/>
      <w:szCs w:val="24"/>
      <w:lang w:val="it-IT" w:eastAsia="it-IT"/>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pPr>
    <w:rPr>
      <w:sz w:val="16"/>
    </w:rPr>
  </w:style>
  <w:style w:type="paragraph" w:customStyle="1" w:styleId="Affiliation">
    <w:name w:val="Affiliation"/>
    <w:basedOn w:val="Normale"/>
    <w:pPr>
      <w:jc w:val="center"/>
    </w:pPr>
    <w:rPr>
      <w:i/>
    </w:rPr>
  </w:style>
  <w:style w:type="paragraph" w:customStyle="1" w:styleId="Equation">
    <w:name w:val="Equation"/>
    <w:basedOn w:val="Normale"/>
    <w:pPr>
      <w:tabs>
        <w:tab w:val="left" w:pos="6781"/>
      </w:tabs>
      <w:spacing w:before="240" w:after="240"/>
      <w:ind w:left="454"/>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jc w:val="left"/>
    </w:pPr>
    <w:rPr>
      <w:sz w:val="16"/>
    </w:rPr>
  </w:style>
  <w:style w:type="paragraph" w:styleId="Titolo">
    <w:name w:val="Title"/>
    <w:basedOn w:val="Normale"/>
    <w:next w:val="Normale"/>
    <w:qFormat/>
    <w:pPr>
      <w:spacing w:before="480" w:after="320"/>
      <w:jc w:val="center"/>
    </w:pPr>
    <w:rPr>
      <w:noProof/>
      <w:kern w:val="28"/>
      <w:sz w:val="40"/>
    </w:rPr>
  </w:style>
  <w:style w:type="paragraph" w:customStyle="1" w:styleId="Author">
    <w:name w:val="Author"/>
    <w:basedOn w:val="Normale"/>
    <w:pPr>
      <w:jc w:val="center"/>
    </w:pPr>
  </w:style>
  <w:style w:type="paragraph" w:styleId="Didascalia">
    <w:name w:val="caption"/>
    <w:basedOn w:val="Normale"/>
    <w:next w:val="Normale"/>
    <w:qFormat/>
    <w:pPr>
      <w:spacing w:before="80" w:after="8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aragrafoelenco">
    <w:name w:val="List Paragraph"/>
    <w:basedOn w:val="Normale"/>
    <w:uiPriority w:val="34"/>
    <w:qFormat/>
    <w:rsid w:val="00FE4E85"/>
    <w:pPr>
      <w:ind w:left="720"/>
      <w:contextualSpacing/>
    </w:pPr>
  </w:style>
  <w:style w:type="table" w:styleId="Grigliatabella">
    <w:name w:val="Table Grid"/>
    <w:basedOn w:val="Tabellanormale"/>
    <w:uiPriority w:val="59"/>
    <w:rsid w:val="00231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6D80"/>
    <w:rPr>
      <w:color w:val="0563C1" w:themeColor="hyperlink"/>
      <w:u w:val="single"/>
    </w:rPr>
  </w:style>
  <w:style w:type="character" w:styleId="Menzionenonrisolta">
    <w:name w:val="Unresolved Mention"/>
    <w:basedOn w:val="Carpredefinitoparagrafo"/>
    <w:uiPriority w:val="99"/>
    <w:semiHidden/>
    <w:unhideWhenUsed/>
    <w:rsid w:val="00E46D80"/>
    <w:rPr>
      <w:color w:val="605E5C"/>
      <w:shd w:val="clear" w:color="auto" w:fill="E1DFDD"/>
    </w:rPr>
  </w:style>
  <w:style w:type="character" w:styleId="Testosegnaposto">
    <w:name w:val="Placeholder Text"/>
    <w:basedOn w:val="Carpredefinitoparagrafo"/>
    <w:uiPriority w:val="99"/>
    <w:semiHidden/>
    <w:rsid w:val="005B7A9C"/>
    <w:rPr>
      <w:color w:val="808080"/>
    </w:rPr>
  </w:style>
  <w:style w:type="character" w:styleId="Rimandocommento">
    <w:name w:val="annotation reference"/>
    <w:basedOn w:val="Carpredefinitoparagrafo"/>
    <w:uiPriority w:val="99"/>
    <w:semiHidden/>
    <w:unhideWhenUsed/>
    <w:rsid w:val="00647879"/>
    <w:rPr>
      <w:sz w:val="16"/>
      <w:szCs w:val="16"/>
    </w:rPr>
  </w:style>
  <w:style w:type="paragraph" w:styleId="Testocommento">
    <w:name w:val="annotation text"/>
    <w:basedOn w:val="Normale"/>
    <w:link w:val="TestocommentoCarattere"/>
    <w:uiPriority w:val="99"/>
    <w:semiHidden/>
    <w:unhideWhenUsed/>
    <w:rsid w:val="00647879"/>
    <w:rPr>
      <w:szCs w:val="20"/>
    </w:rPr>
  </w:style>
  <w:style w:type="character" w:customStyle="1" w:styleId="TestocommentoCarattere">
    <w:name w:val="Testo commento Carattere"/>
    <w:basedOn w:val="Carpredefinitoparagrafo"/>
    <w:link w:val="Testocommento"/>
    <w:uiPriority w:val="99"/>
    <w:semiHidden/>
    <w:rsid w:val="00647879"/>
    <w:rPr>
      <w:lang w:val="en-US" w:eastAsia="ja-JP"/>
    </w:rPr>
  </w:style>
  <w:style w:type="paragraph" w:styleId="Soggettocommento">
    <w:name w:val="annotation subject"/>
    <w:basedOn w:val="Testocommento"/>
    <w:next w:val="Testocommento"/>
    <w:link w:val="SoggettocommentoCarattere"/>
    <w:uiPriority w:val="99"/>
    <w:semiHidden/>
    <w:unhideWhenUsed/>
    <w:rsid w:val="00647879"/>
    <w:rPr>
      <w:b/>
      <w:bCs/>
    </w:rPr>
  </w:style>
  <w:style w:type="character" w:customStyle="1" w:styleId="SoggettocommentoCarattere">
    <w:name w:val="Soggetto commento Carattere"/>
    <w:basedOn w:val="TestocommentoCarattere"/>
    <w:link w:val="Soggettocommento"/>
    <w:uiPriority w:val="99"/>
    <w:semiHidden/>
    <w:rsid w:val="00647879"/>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892">
      <w:bodyDiv w:val="1"/>
      <w:marLeft w:val="0"/>
      <w:marRight w:val="0"/>
      <w:marTop w:val="0"/>
      <w:marBottom w:val="0"/>
      <w:divBdr>
        <w:top w:val="none" w:sz="0" w:space="0" w:color="auto"/>
        <w:left w:val="none" w:sz="0" w:space="0" w:color="auto"/>
        <w:bottom w:val="none" w:sz="0" w:space="0" w:color="auto"/>
        <w:right w:val="none" w:sz="0" w:space="0" w:color="auto"/>
      </w:divBdr>
    </w:div>
    <w:div w:id="495608111">
      <w:bodyDiv w:val="1"/>
      <w:marLeft w:val="0"/>
      <w:marRight w:val="0"/>
      <w:marTop w:val="0"/>
      <w:marBottom w:val="0"/>
      <w:divBdr>
        <w:top w:val="none" w:sz="0" w:space="0" w:color="auto"/>
        <w:left w:val="none" w:sz="0" w:space="0" w:color="auto"/>
        <w:bottom w:val="none" w:sz="0" w:space="0" w:color="auto"/>
        <w:right w:val="none" w:sz="0" w:space="0" w:color="auto"/>
      </w:divBdr>
    </w:div>
    <w:div w:id="1340693170">
      <w:bodyDiv w:val="1"/>
      <w:marLeft w:val="0"/>
      <w:marRight w:val="0"/>
      <w:marTop w:val="0"/>
      <w:marBottom w:val="0"/>
      <w:divBdr>
        <w:top w:val="none" w:sz="0" w:space="0" w:color="auto"/>
        <w:left w:val="none" w:sz="0" w:space="0" w:color="auto"/>
        <w:bottom w:val="none" w:sz="0" w:space="0" w:color="auto"/>
        <w:right w:val="none" w:sz="0" w:space="0" w:color="auto"/>
      </w:divBdr>
      <w:divsChild>
        <w:div w:id="1400903223">
          <w:marLeft w:val="0"/>
          <w:marRight w:val="0"/>
          <w:marTop w:val="0"/>
          <w:marBottom w:val="0"/>
          <w:divBdr>
            <w:top w:val="none" w:sz="0" w:space="0" w:color="auto"/>
            <w:left w:val="none" w:sz="0" w:space="0" w:color="auto"/>
            <w:bottom w:val="none" w:sz="0" w:space="0" w:color="auto"/>
            <w:right w:val="none" w:sz="0" w:space="0" w:color="auto"/>
          </w:divBdr>
          <w:divsChild>
            <w:div w:id="58479167">
              <w:marLeft w:val="0"/>
              <w:marRight w:val="0"/>
              <w:marTop w:val="0"/>
              <w:marBottom w:val="0"/>
              <w:divBdr>
                <w:top w:val="none" w:sz="0" w:space="0" w:color="auto"/>
                <w:left w:val="none" w:sz="0" w:space="0" w:color="auto"/>
                <w:bottom w:val="none" w:sz="0" w:space="0" w:color="auto"/>
                <w:right w:val="none" w:sz="0" w:space="0" w:color="auto"/>
              </w:divBdr>
              <w:divsChild>
                <w:div w:id="716317695">
                  <w:marLeft w:val="0"/>
                  <w:marRight w:val="0"/>
                  <w:marTop w:val="0"/>
                  <w:marBottom w:val="0"/>
                  <w:divBdr>
                    <w:top w:val="none" w:sz="0" w:space="0" w:color="auto"/>
                    <w:left w:val="none" w:sz="0" w:space="0" w:color="auto"/>
                    <w:bottom w:val="none" w:sz="0" w:space="0" w:color="auto"/>
                    <w:right w:val="none" w:sz="0" w:space="0" w:color="auto"/>
                  </w:divBdr>
                </w:div>
                <w:div w:id="121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9184">
      <w:bodyDiv w:val="1"/>
      <w:marLeft w:val="0"/>
      <w:marRight w:val="0"/>
      <w:marTop w:val="0"/>
      <w:marBottom w:val="0"/>
      <w:divBdr>
        <w:top w:val="none" w:sz="0" w:space="0" w:color="auto"/>
        <w:left w:val="none" w:sz="0" w:space="0" w:color="auto"/>
        <w:bottom w:val="none" w:sz="0" w:space="0" w:color="auto"/>
        <w:right w:val="none" w:sz="0" w:space="0" w:color="auto"/>
      </w:divBdr>
    </w:div>
    <w:div w:id="2130198601">
      <w:bodyDiv w:val="1"/>
      <w:marLeft w:val="0"/>
      <w:marRight w:val="0"/>
      <w:marTop w:val="0"/>
      <w:marBottom w:val="0"/>
      <w:divBdr>
        <w:top w:val="none" w:sz="0" w:space="0" w:color="auto"/>
        <w:left w:val="none" w:sz="0" w:space="0" w:color="auto"/>
        <w:bottom w:val="none" w:sz="0" w:space="0" w:color="auto"/>
        <w:right w:val="none" w:sz="0" w:space="0" w:color="auto"/>
      </w:divBdr>
      <w:divsChild>
        <w:div w:id="211905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icola.petacco@unige.i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A74F-7056-4546-87C1-ED097EE1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2806</Words>
  <Characters>15997</Characters>
  <Application>Microsoft Office Word</Application>
  <DocSecurity>0</DocSecurity>
  <Lines>133</Lines>
  <Paragraphs>37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Nicola Petacco</dc:creator>
  <cp:keywords/>
  <cp:lastModifiedBy>Nicola Petacco</cp:lastModifiedBy>
  <cp:revision>3</cp:revision>
  <cp:lastPrinted>2008-10-24T08:15:00Z</cp:lastPrinted>
  <dcterms:created xsi:type="dcterms:W3CDTF">2022-04-14T15:16:00Z</dcterms:created>
  <dcterms:modified xsi:type="dcterms:W3CDTF">2022-04-14T21:58:00Z</dcterms:modified>
</cp:coreProperties>
</file>