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65B7C" w14:textId="77777777" w:rsidR="00B05D6E" w:rsidRDefault="00FE7CC6" w:rsidP="00B90B6B">
      <w:pPr>
        <w:pStyle w:val="Titolo"/>
      </w:pPr>
      <w:r w:rsidRPr="00FE7CC6">
        <w:t>Sensitivity analysis of a marine gasoline engine: from power to emissions</w:t>
      </w:r>
    </w:p>
    <w:p w14:paraId="650060F6" w14:textId="77777777" w:rsidR="00B05D6E" w:rsidRPr="00FE7CC6" w:rsidRDefault="00FE7CC6" w:rsidP="00B90B6B">
      <w:pPr>
        <w:pStyle w:val="Author"/>
        <w:rPr>
          <w:lang w:val="it-IT"/>
        </w:rPr>
      </w:pPr>
      <w:r w:rsidRPr="00FE7CC6">
        <w:rPr>
          <w:lang w:val="it-IT"/>
        </w:rPr>
        <w:t xml:space="preserve">Luigia </w:t>
      </w:r>
      <w:proofErr w:type="spellStart"/>
      <w:r w:rsidRPr="00FE7CC6">
        <w:rPr>
          <w:lang w:val="it-IT"/>
        </w:rPr>
        <w:t>MOCERINO</w:t>
      </w:r>
      <w:r w:rsidR="00B05D6E" w:rsidRPr="00FE7CC6">
        <w:rPr>
          <w:vertAlign w:val="superscript"/>
          <w:lang w:val="it-IT"/>
        </w:rPr>
        <w:t>a</w:t>
      </w:r>
      <w:proofErr w:type="spellEnd"/>
      <w:r w:rsidR="00B05D6E" w:rsidRPr="00FE7CC6">
        <w:rPr>
          <w:vertAlign w:val="superscript"/>
          <w:lang w:val="it-IT"/>
        </w:rPr>
        <w:t>,</w:t>
      </w:r>
      <w:r w:rsidR="00B05D6E">
        <w:rPr>
          <w:rStyle w:val="Rimandonotaapidipagina"/>
        </w:rPr>
        <w:footnoteReference w:id="1"/>
      </w:r>
      <w:r w:rsidRPr="00FE7CC6">
        <w:rPr>
          <w:lang w:val="it-IT"/>
        </w:rPr>
        <w:t xml:space="preserve">, Vincenzo </w:t>
      </w:r>
      <w:proofErr w:type="spellStart"/>
      <w:r w:rsidRPr="00FE7CC6">
        <w:rPr>
          <w:lang w:val="it-IT"/>
        </w:rPr>
        <w:t>PISCOPO</w:t>
      </w:r>
      <w:r w:rsidRPr="00FE7CC6">
        <w:rPr>
          <w:vertAlign w:val="superscript"/>
          <w:lang w:val="it-IT"/>
        </w:rPr>
        <w:t>a</w:t>
      </w:r>
      <w:proofErr w:type="spellEnd"/>
      <w:r w:rsidRPr="00FE7CC6">
        <w:rPr>
          <w:lang w:val="it-IT"/>
        </w:rPr>
        <w:t>, and A</w:t>
      </w:r>
      <w:r>
        <w:rPr>
          <w:lang w:val="it-IT"/>
        </w:rPr>
        <w:t xml:space="preserve">ntonio </w:t>
      </w:r>
      <w:proofErr w:type="spellStart"/>
      <w:r>
        <w:rPr>
          <w:lang w:val="it-IT"/>
        </w:rPr>
        <w:t>SCAMARDELLA</w:t>
      </w:r>
      <w:r w:rsidRPr="00FE7CC6">
        <w:rPr>
          <w:vertAlign w:val="superscript"/>
          <w:lang w:val="it-IT"/>
        </w:rPr>
        <w:t>a</w:t>
      </w:r>
      <w:proofErr w:type="spellEnd"/>
    </w:p>
    <w:p w14:paraId="2E959929" w14:textId="77777777" w:rsidR="007320BB" w:rsidRDefault="00B05D6E" w:rsidP="00B90B6B">
      <w:pPr>
        <w:pStyle w:val="Affiliation"/>
      </w:pPr>
      <w:r>
        <w:rPr>
          <w:vertAlign w:val="superscript"/>
        </w:rPr>
        <w:t>a</w:t>
      </w:r>
      <w:r>
        <w:rPr>
          <w:sz w:val="8"/>
          <w:szCs w:val="8"/>
        </w:rPr>
        <w:t xml:space="preserve"> </w:t>
      </w:r>
      <w:r w:rsidR="00FE7CC6" w:rsidRPr="00FE7CC6">
        <w:t>University of Naples “Parthenope”, Depart</w:t>
      </w:r>
      <w:r w:rsidR="00FE7CC6">
        <w:t>ment of Science and Technology,</w:t>
      </w:r>
      <w:r w:rsidR="00FE7CC6" w:rsidRPr="00FE7CC6">
        <w:t xml:space="preserve"> </w:t>
      </w:r>
    </w:p>
    <w:p w14:paraId="5A94B10E" w14:textId="643DB6AB" w:rsidR="00B05D6E" w:rsidRPr="007320BB" w:rsidRDefault="007320BB" w:rsidP="00B90B6B">
      <w:pPr>
        <w:pStyle w:val="Affiliation"/>
        <w:rPr>
          <w:lang w:val="it-IT"/>
        </w:rPr>
      </w:pPr>
      <w:r w:rsidRPr="007320BB">
        <w:rPr>
          <w:lang w:val="it-IT"/>
        </w:rPr>
        <w:t xml:space="preserve">Centro Direzionale Isola C4 </w:t>
      </w:r>
      <w:r w:rsidR="00FE7CC6" w:rsidRPr="007320BB">
        <w:rPr>
          <w:lang w:val="it-IT"/>
        </w:rPr>
        <w:t>80143,</w:t>
      </w:r>
      <w:r w:rsidRPr="007320BB">
        <w:rPr>
          <w:lang w:val="it-IT"/>
        </w:rPr>
        <w:t xml:space="preserve"> </w:t>
      </w:r>
      <w:proofErr w:type="spellStart"/>
      <w:r w:rsidRPr="007320BB">
        <w:rPr>
          <w:lang w:val="it-IT"/>
        </w:rPr>
        <w:t>Naples</w:t>
      </w:r>
      <w:proofErr w:type="spellEnd"/>
      <w:r w:rsidRPr="007320BB">
        <w:rPr>
          <w:lang w:val="it-IT"/>
        </w:rPr>
        <w:t>,</w:t>
      </w:r>
      <w:r w:rsidR="00FE7CC6" w:rsidRPr="007320BB">
        <w:rPr>
          <w:lang w:val="it-IT"/>
        </w:rPr>
        <w:t xml:space="preserve"> </w:t>
      </w:r>
      <w:proofErr w:type="spellStart"/>
      <w:r w:rsidR="00FE7CC6" w:rsidRPr="007320BB">
        <w:rPr>
          <w:lang w:val="it-IT"/>
        </w:rPr>
        <w:t>Italy</w:t>
      </w:r>
      <w:proofErr w:type="spellEnd"/>
    </w:p>
    <w:p w14:paraId="15595150" w14:textId="434B209E" w:rsidR="00B05D6E" w:rsidRDefault="00B05D6E" w:rsidP="00B90B6B">
      <w:pPr>
        <w:pStyle w:val="Abstract"/>
      </w:pPr>
      <w:r>
        <w:rPr>
          <w:b/>
        </w:rPr>
        <w:t>Abstract.</w:t>
      </w:r>
      <w:r>
        <w:t xml:space="preserve"> </w:t>
      </w:r>
      <w:r w:rsidR="00657CF7" w:rsidRPr="00657CF7">
        <w:t xml:space="preserve">Numerical simulations currently represent a valid aid to assess the performance of marine engines. Anyway, most </w:t>
      </w:r>
      <w:r w:rsidR="005C39CB">
        <w:t xml:space="preserve">of </w:t>
      </w:r>
      <w:r w:rsidR="00657CF7" w:rsidRPr="00657CF7">
        <w:t xml:space="preserve">past applications generally focused on large supercharged 4-stroke diesel engines, while few results are available </w:t>
      </w:r>
      <w:r w:rsidR="005C39CB">
        <w:t xml:space="preserve">in the </w:t>
      </w:r>
      <w:r w:rsidR="00657CF7" w:rsidRPr="00657CF7">
        <w:t>literature for fast outboard engine</w:t>
      </w:r>
      <w:r w:rsidR="00D75E7E">
        <w:t>s, generally installed onboard</w:t>
      </w:r>
      <w:r w:rsidR="00657CF7" w:rsidRPr="00657CF7">
        <w:t xml:space="preserve"> recreational crafts. Therefore, a case study on a fast outboard diesel engine (4T, 6300 rpm, 350 hp) is currently provided and discussed. The simulations are performed in the Ricardo Wave environment</w:t>
      </w:r>
      <w:r w:rsidR="007320BB">
        <w:t>, where</w:t>
      </w:r>
      <w:r w:rsidR="00657CF7" w:rsidRPr="00657CF7">
        <w:t xml:space="preserve"> NO</w:t>
      </w:r>
      <w:r w:rsidR="00657CF7" w:rsidRPr="00010C5B">
        <w:rPr>
          <w:vertAlign w:val="subscript"/>
        </w:rPr>
        <w:t>X</w:t>
      </w:r>
      <w:r w:rsidR="00657CF7" w:rsidRPr="00657CF7">
        <w:t xml:space="preserve"> and CO emissions are estimated, in addition to the typical engine performances. The data, required for the model calibration, were obtained from the engine manufacturer datasheets, as well as from a set of available sea trials. Nevertheless, not all parameters were available, so as some of them </w:t>
      </w:r>
      <w:r w:rsidR="007320BB">
        <w:t>were</w:t>
      </w:r>
      <w:r w:rsidR="00657CF7" w:rsidRPr="00657CF7">
        <w:t xml:space="preserve"> selected based on past experience or in accordance with similarly sized diesel engines, after performing a preliminary sensitivity analysis. As concerns the assessment of NO</w:t>
      </w:r>
      <w:r w:rsidR="00657CF7" w:rsidRPr="00010C5B">
        <w:rPr>
          <w:vertAlign w:val="subscript"/>
        </w:rPr>
        <w:t>X</w:t>
      </w:r>
      <w:r w:rsidR="00657CF7" w:rsidRPr="00657CF7">
        <w:t xml:space="preserve"> and CO emissions,</w:t>
      </w:r>
      <w:r w:rsidR="005C39CB">
        <w:t xml:space="preserve"> </w:t>
      </w:r>
      <w:r w:rsidR="00657CF7" w:rsidRPr="00657CF7">
        <w:t>different simulation methods are embodied to assess the chemical equilibrium in the combustion chamber and investigate the relevant incidence in terms of time effort amount</w:t>
      </w:r>
      <w:r w:rsidR="00A605D9">
        <w:t>,</w:t>
      </w:r>
      <w:r w:rsidR="00657CF7" w:rsidRPr="00657CF7">
        <w:t xml:space="preserve"> and estimated results. Current simulations reveal to be also useful to model dual fuel (gasoline/natural gas) engines and evaluate the impact of this type of alternative plant on </w:t>
      </w:r>
      <w:r w:rsidR="00D75E7E">
        <w:t>consumption</w:t>
      </w:r>
      <w:r w:rsidR="00657CF7" w:rsidRPr="00657CF7">
        <w:t xml:space="preserve"> and air emissions.</w:t>
      </w:r>
    </w:p>
    <w:p w14:paraId="1E911AC5" w14:textId="77777777" w:rsidR="00B05D6E" w:rsidRDefault="00B05D6E" w:rsidP="00B90B6B">
      <w:pPr>
        <w:pStyle w:val="Keywords"/>
      </w:pPr>
      <w:r>
        <w:rPr>
          <w:b/>
        </w:rPr>
        <w:t>Keywords.</w:t>
      </w:r>
      <w:r>
        <w:t xml:space="preserve"> </w:t>
      </w:r>
      <w:r w:rsidR="00657CF7">
        <w:t>Outboard engine, simulation, emissions, dual fuel</w:t>
      </w:r>
    </w:p>
    <w:p w14:paraId="3FBCAD97" w14:textId="77777777" w:rsidR="00B05D6E" w:rsidRDefault="00B05D6E" w:rsidP="00B90B6B">
      <w:pPr>
        <w:pStyle w:val="Titolo1"/>
      </w:pPr>
      <w:r>
        <w:t>Introduction</w:t>
      </w:r>
    </w:p>
    <w:p w14:paraId="288E7E68" w14:textId="4B5E347B" w:rsidR="00061A99" w:rsidRDefault="00D75E7E" w:rsidP="00BB51C8">
      <w:r>
        <w:t>The maritime</w:t>
      </w:r>
      <w:r w:rsidR="00AA2AF9" w:rsidRPr="007E3263">
        <w:t xml:space="preserve"> sector greatly contributes to the emission of air pollutants such as </w:t>
      </w:r>
      <w:r w:rsidR="00BB51C8">
        <w:t>S</w:t>
      </w:r>
      <w:r w:rsidR="00AA2AF9" w:rsidRPr="007E3263">
        <w:t xml:space="preserve">ulphur </w:t>
      </w:r>
      <w:r w:rsidR="00A605D9">
        <w:t>Oxide</w:t>
      </w:r>
      <w:r w:rsidR="00AA2AF9" w:rsidRPr="007E3263">
        <w:t xml:space="preserve"> (SO</w:t>
      </w:r>
      <w:r w:rsidR="00AA2AF9" w:rsidRPr="007E3263">
        <w:rPr>
          <w:vertAlign w:val="subscript"/>
        </w:rPr>
        <w:t>X</w:t>
      </w:r>
      <w:r w:rsidR="00C63873">
        <w:t xml:space="preserve">), </w:t>
      </w:r>
      <w:r w:rsidR="00BB51C8">
        <w:t>N</w:t>
      </w:r>
      <w:r w:rsidR="00AA2AF9" w:rsidRPr="007E3263">
        <w:t xml:space="preserve">itrogen </w:t>
      </w:r>
      <w:r w:rsidR="00A605D9">
        <w:t>Oxide</w:t>
      </w:r>
      <w:r w:rsidR="00AA2AF9" w:rsidRPr="007E3263">
        <w:t xml:space="preserve"> (NO</w:t>
      </w:r>
      <w:r w:rsidR="00AA2AF9" w:rsidRPr="007E3263">
        <w:rPr>
          <w:vertAlign w:val="subscript"/>
        </w:rPr>
        <w:t>X</w:t>
      </w:r>
      <w:r w:rsidR="00AA2AF9" w:rsidRPr="007E3263">
        <w:t>),</w:t>
      </w:r>
      <w:r w:rsidR="00C63873">
        <w:t xml:space="preserve"> Carbon monoxide (CO),</w:t>
      </w:r>
      <w:r w:rsidR="00AA2AF9" w:rsidRPr="007E3263">
        <w:t xml:space="preserve"> </w:t>
      </w:r>
      <w:r w:rsidR="00BB51C8">
        <w:t>water</w:t>
      </w:r>
      <w:r w:rsidR="00AA2AF9" w:rsidRPr="007E3263">
        <w:t xml:space="preserve"> pollutants (noise, thermal, discharges), and greenhouse gases (GHG) </w:t>
      </w:r>
      <w:r w:rsidR="00AA2AF9" w:rsidRPr="007E3263">
        <w:fldChar w:fldCharType="begin"/>
      </w:r>
      <w:r w:rsidR="00AA2AF9" w:rsidRPr="007E3263">
        <w:instrText xml:space="preserve"> REF _Ref97819198 \r \h </w:instrText>
      </w:r>
      <w:r w:rsidR="007E3263">
        <w:instrText xml:space="preserve"> \* MERGEFORMAT </w:instrText>
      </w:r>
      <w:r w:rsidR="00AA2AF9" w:rsidRPr="007E3263">
        <w:fldChar w:fldCharType="separate"/>
      </w:r>
      <w:r w:rsidR="002C50A2">
        <w:t>[1]</w:t>
      </w:r>
      <w:r w:rsidR="00AA2AF9" w:rsidRPr="007E3263">
        <w:fldChar w:fldCharType="end"/>
      </w:r>
      <w:r w:rsidR="005C145A">
        <w:t>-</w:t>
      </w:r>
      <w:r w:rsidR="005C145A">
        <w:fldChar w:fldCharType="begin"/>
      </w:r>
      <w:r w:rsidR="005C145A">
        <w:instrText xml:space="preserve"> REF _Ref97820037 \r \h </w:instrText>
      </w:r>
      <w:r w:rsidR="005C145A">
        <w:fldChar w:fldCharType="separate"/>
      </w:r>
      <w:r w:rsidR="002C50A2">
        <w:t>[4]</w:t>
      </w:r>
      <w:r w:rsidR="005C145A">
        <w:fldChar w:fldCharType="end"/>
      </w:r>
      <w:r w:rsidR="00AA2AF9" w:rsidRPr="007E3263">
        <w:t>.</w:t>
      </w:r>
      <w:r w:rsidR="009A6172">
        <w:t xml:space="preserve"> In this respect, in the </w:t>
      </w:r>
      <w:proofErr w:type="gramStart"/>
      <w:r w:rsidR="009A6172">
        <w:t>last</w:t>
      </w:r>
      <w:proofErr w:type="gramEnd"/>
      <w:r w:rsidR="009A6172">
        <w:t xml:space="preserve"> decade</w:t>
      </w:r>
      <w:r w:rsidR="00A605D9">
        <w:t>,</w:t>
      </w:r>
      <w:r w:rsidR="00C56C0D" w:rsidRPr="007E3263">
        <w:t xml:space="preserve"> several solutions have been </w:t>
      </w:r>
      <w:r w:rsidR="00CF1981">
        <w:t>considered</w:t>
      </w:r>
      <w:r w:rsidR="00CF1981" w:rsidRPr="007E3263">
        <w:t xml:space="preserve"> </w:t>
      </w:r>
      <w:r w:rsidR="009A6172">
        <w:t xml:space="preserve">to reduce harmful emissions and </w:t>
      </w:r>
      <w:r w:rsidR="008F0346" w:rsidRPr="007E3263">
        <w:t xml:space="preserve">obtain </w:t>
      </w:r>
      <w:r w:rsidR="009A6172">
        <w:t xml:space="preserve">possible </w:t>
      </w:r>
      <w:r w:rsidR="008F0346" w:rsidRPr="007E3263">
        <w:t>improvements</w:t>
      </w:r>
      <w:r w:rsidR="00C56C0D" w:rsidRPr="007E3263">
        <w:t xml:space="preserve"> </w:t>
      </w:r>
      <w:r w:rsidR="005C39CB">
        <w:t>in</w:t>
      </w:r>
      <w:r w:rsidR="005C39CB" w:rsidRPr="007E3263">
        <w:t xml:space="preserve"> </w:t>
      </w:r>
      <w:r w:rsidR="00C56C0D" w:rsidRPr="007E3263">
        <w:t>engine and ship performances</w:t>
      </w:r>
      <w:r w:rsidR="00FE707B">
        <w:t xml:space="preserve"> </w:t>
      </w:r>
      <w:r w:rsidR="005C145A">
        <w:fldChar w:fldCharType="begin"/>
      </w:r>
      <w:r w:rsidR="005C145A">
        <w:instrText xml:space="preserve"> REF _Ref100043590 \r \h </w:instrText>
      </w:r>
      <w:r w:rsidR="005C145A">
        <w:fldChar w:fldCharType="separate"/>
      </w:r>
      <w:r w:rsidR="002C50A2">
        <w:t>[5]</w:t>
      </w:r>
      <w:r w:rsidR="005C145A">
        <w:fldChar w:fldCharType="end"/>
      </w:r>
      <w:r w:rsidR="005C145A">
        <w:t>-</w:t>
      </w:r>
      <w:r w:rsidR="005C145A">
        <w:fldChar w:fldCharType="begin"/>
      </w:r>
      <w:r w:rsidR="005C145A">
        <w:instrText xml:space="preserve"> REF _Ref97820917 \r \h </w:instrText>
      </w:r>
      <w:r w:rsidR="005C145A">
        <w:fldChar w:fldCharType="separate"/>
      </w:r>
      <w:r w:rsidR="002C50A2">
        <w:t>[8]</w:t>
      </w:r>
      <w:r w:rsidR="005C145A">
        <w:fldChar w:fldCharType="end"/>
      </w:r>
      <w:r w:rsidR="00C56C0D" w:rsidRPr="007E3263">
        <w:t>.</w:t>
      </w:r>
      <w:r w:rsidR="00A605D9">
        <w:t xml:space="preserve"> </w:t>
      </w:r>
      <w:r w:rsidR="00061A99">
        <w:t xml:space="preserve">The approach to </w:t>
      </w:r>
      <w:r w:rsidR="00C63873">
        <w:t>this problem</w:t>
      </w:r>
      <w:r w:rsidR="00061A99">
        <w:t xml:space="preserve"> can be of two types: experimental and simulative. </w:t>
      </w:r>
    </w:p>
    <w:p w14:paraId="7668B1F9" w14:textId="10DD5D83" w:rsidR="00614BB5" w:rsidRDefault="00FE7CC6" w:rsidP="00BB51C8">
      <w:r>
        <w:t>Simulation has been used in engineering for decades as a support for design and engineering. Marine propulsion system simulations can be used for many purposes such as ship performance and maneuvering analysis and control systems</w:t>
      </w:r>
      <w:r w:rsidR="00082172">
        <w:t xml:space="preserve"> </w:t>
      </w:r>
      <w:r w:rsidR="005C145A">
        <w:fldChar w:fldCharType="begin"/>
      </w:r>
      <w:r w:rsidR="005C145A">
        <w:instrText xml:space="preserve"> REF _Ref100043622 \r \h </w:instrText>
      </w:r>
      <w:r w:rsidR="005C145A">
        <w:fldChar w:fldCharType="separate"/>
      </w:r>
      <w:r w:rsidR="002C50A2">
        <w:t>[9]</w:t>
      </w:r>
      <w:r w:rsidR="005C145A">
        <w:fldChar w:fldCharType="end"/>
      </w:r>
      <w:r w:rsidR="005C145A">
        <w:t>-</w:t>
      </w:r>
      <w:r w:rsidR="005C145A">
        <w:fldChar w:fldCharType="begin"/>
      </w:r>
      <w:r w:rsidR="005C145A">
        <w:instrText xml:space="preserve"> REF _Ref100043624 \r \h </w:instrText>
      </w:r>
      <w:r w:rsidR="005C145A">
        <w:fldChar w:fldCharType="separate"/>
      </w:r>
      <w:r w:rsidR="002C50A2">
        <w:t>[13]</w:t>
      </w:r>
      <w:r w:rsidR="005C145A">
        <w:fldChar w:fldCharType="end"/>
      </w:r>
      <w:r>
        <w:t>. Engine simulation models can be ordered into three classes, 0D</w:t>
      </w:r>
      <w:r w:rsidR="003B2161">
        <w:t xml:space="preserve"> (or </w:t>
      </w:r>
      <w:r>
        <w:t>single-zone</w:t>
      </w:r>
      <w:r w:rsidR="003B2161">
        <w:t>)</w:t>
      </w:r>
      <w:r>
        <w:t>,</w:t>
      </w:r>
      <w:r w:rsidR="003B2161">
        <w:t xml:space="preserve"> </w:t>
      </w:r>
      <w:r>
        <w:t>quasi-dimensional</w:t>
      </w:r>
      <w:r w:rsidR="003B2161">
        <w:t xml:space="preserve"> (or</w:t>
      </w:r>
      <w:r>
        <w:t xml:space="preserve"> multi-zone</w:t>
      </w:r>
      <w:r w:rsidR="003B2161">
        <w:t>)</w:t>
      </w:r>
      <w:r w:rsidR="00242510">
        <w:t>,</w:t>
      </w:r>
      <w:r>
        <w:t xml:space="preserve"> and multidimensional models</w:t>
      </w:r>
      <w:r w:rsidR="00D67BD7">
        <w:t xml:space="preserve"> </w:t>
      </w:r>
      <w:r w:rsidR="00D67BD7">
        <w:fldChar w:fldCharType="begin"/>
      </w:r>
      <w:r w:rsidR="00D67BD7">
        <w:instrText xml:space="preserve"> REF _Ref97820054 \r \h </w:instrText>
      </w:r>
      <w:r w:rsidR="00D67BD7">
        <w:fldChar w:fldCharType="separate"/>
      </w:r>
      <w:r w:rsidR="002C50A2">
        <w:t>[14]</w:t>
      </w:r>
      <w:r w:rsidR="00D67BD7">
        <w:fldChar w:fldCharType="end"/>
      </w:r>
      <w:r>
        <w:t xml:space="preserve">. Although </w:t>
      </w:r>
      <w:r w:rsidR="00972F84">
        <w:t xml:space="preserve">the </w:t>
      </w:r>
      <w:r w:rsidR="003B2161">
        <w:t>first model</w:t>
      </w:r>
      <w:r>
        <w:t xml:space="preserve"> has the capability of predicting engine performance accurately, it is lacking in the prediction of exhaust emissions. Multi-dimensional models,</w:t>
      </w:r>
      <w:r w:rsidR="00C615AD">
        <w:t xml:space="preserve"> instead,</w:t>
      </w:r>
      <w:r>
        <w:t xml:space="preserve"> </w:t>
      </w:r>
      <w:r w:rsidR="00972F84">
        <w:t>provide</w:t>
      </w:r>
      <w:r>
        <w:t xml:space="preserve"> a considerable amount of information</w:t>
      </w:r>
      <w:r w:rsidR="003B2161">
        <w:t xml:space="preserve"> but</w:t>
      </w:r>
      <w:r>
        <w:t xml:space="preserve"> the results may vary according to the formulation </w:t>
      </w:r>
      <w:r>
        <w:lastRenderedPageBreak/>
        <w:t>of initial or boundary conditions</w:t>
      </w:r>
      <w:r w:rsidR="00D67BD7">
        <w:t xml:space="preserve"> </w:t>
      </w:r>
      <w:r w:rsidR="00D67BD7">
        <w:fldChar w:fldCharType="begin"/>
      </w:r>
      <w:r w:rsidR="00D67BD7">
        <w:instrText xml:space="preserve"> REF _Ref97820199 \r \h </w:instrText>
      </w:r>
      <w:r w:rsidR="00D67BD7">
        <w:fldChar w:fldCharType="separate"/>
      </w:r>
      <w:r w:rsidR="002C50A2">
        <w:t>[14]</w:t>
      </w:r>
      <w:r w:rsidR="00D67BD7">
        <w:fldChar w:fldCharType="end"/>
      </w:r>
      <w:r w:rsidR="00972F84">
        <w:t xml:space="preserve">. </w:t>
      </w:r>
      <w:r>
        <w:t xml:space="preserve">The quasi-dimensional models combine some of the </w:t>
      </w:r>
      <w:r w:rsidR="00972F84">
        <w:t>benefits</w:t>
      </w:r>
      <w:r>
        <w:t xml:space="preserve"> of </w:t>
      </w:r>
      <w:r w:rsidR="00972F84">
        <w:t xml:space="preserve">simple 0D </w:t>
      </w:r>
      <w:r>
        <w:t xml:space="preserve">models and multi-dimensional models. </w:t>
      </w:r>
      <w:r w:rsidR="00242510">
        <w:t>These</w:t>
      </w:r>
      <w:r w:rsidR="003B2161">
        <w:t xml:space="preserve"> models solve</w:t>
      </w:r>
      <w:r>
        <w:t xml:space="preserve"> mass</w:t>
      </w:r>
      <w:r w:rsidR="003B2161">
        <w:t xml:space="preserve"> and</w:t>
      </w:r>
      <w:r>
        <w:t xml:space="preserve"> energy </w:t>
      </w:r>
      <w:r w:rsidR="003B2161">
        <w:t>e</w:t>
      </w:r>
      <w:r>
        <w:t xml:space="preserve">quations and require </w:t>
      </w:r>
      <w:r w:rsidR="003B2161">
        <w:t>drastically</w:t>
      </w:r>
      <w:r>
        <w:t xml:space="preserve"> less computing resources compared to multi-dimensional models.</w:t>
      </w:r>
      <w:r w:rsidR="005C39CB">
        <w:t xml:space="preserve"> </w:t>
      </w:r>
      <w:r w:rsidR="008F0346">
        <w:t>The t</w:t>
      </w:r>
      <w:r w:rsidR="003B2161">
        <w:t>wo-zone model is the</w:t>
      </w:r>
      <w:r>
        <w:t xml:space="preserve"> most </w:t>
      </w:r>
      <w:r w:rsidR="003B2161">
        <w:t>useful</w:t>
      </w:r>
      <w:r>
        <w:t xml:space="preserve"> multi-zone model</w:t>
      </w:r>
      <w:r w:rsidR="003B2161">
        <w:t>; in this model</w:t>
      </w:r>
      <w:r w:rsidR="00242510">
        <w:t>,</w:t>
      </w:r>
      <w:r w:rsidR="003B2161">
        <w:t xml:space="preserve"> </w:t>
      </w:r>
      <w:r>
        <w:t xml:space="preserve">the cylinder contents </w:t>
      </w:r>
      <w:r w:rsidR="003B2161">
        <w:t xml:space="preserve">are split </w:t>
      </w:r>
      <w:r>
        <w:t xml:space="preserve">into a non-burning zone of air and another homogeneous zone where fuel </w:t>
      </w:r>
      <w:r w:rsidR="00D75E7E">
        <w:t xml:space="preserve">is </w:t>
      </w:r>
      <w:r>
        <w:t xml:space="preserve">burned. This combustion model, </w:t>
      </w:r>
      <w:r w:rsidR="00850380">
        <w:t xml:space="preserve">unlike the </w:t>
      </w:r>
      <w:r w:rsidR="003B2161">
        <w:t>0</w:t>
      </w:r>
      <w:r w:rsidR="00850380">
        <w:t>D ones,</w:t>
      </w:r>
      <w:r>
        <w:t xml:space="preserve"> allows </w:t>
      </w:r>
      <w:r w:rsidR="00C95EDC">
        <w:t xml:space="preserve">the </w:t>
      </w:r>
      <w:r w:rsidR="00D02770">
        <w:t>evaluation</w:t>
      </w:r>
      <w:r>
        <w:t xml:space="preserve"> </w:t>
      </w:r>
      <w:r w:rsidR="00A605D9">
        <w:t xml:space="preserve">of </w:t>
      </w:r>
      <w:r>
        <w:t xml:space="preserve">gaseous emissions with the </w:t>
      </w:r>
      <w:r w:rsidR="00242510">
        <w:t>semi-empirical</w:t>
      </w:r>
      <w:r>
        <w:t xml:space="preserve"> equations and is used for predicting the performance and emission characteristics of a conventional engine</w:t>
      </w:r>
      <w:r w:rsidR="00D67BD7">
        <w:t xml:space="preserve"> </w:t>
      </w:r>
      <w:r w:rsidR="00D67BD7">
        <w:fldChar w:fldCharType="begin"/>
      </w:r>
      <w:r w:rsidR="00D67BD7">
        <w:instrText xml:space="preserve"> REF _Ref97820199 \r \h </w:instrText>
      </w:r>
      <w:r w:rsidR="00D67BD7">
        <w:fldChar w:fldCharType="separate"/>
      </w:r>
      <w:r w:rsidR="002C50A2">
        <w:t>[14]</w:t>
      </w:r>
      <w:r w:rsidR="00D67BD7">
        <w:fldChar w:fldCharType="end"/>
      </w:r>
      <w:r>
        <w:t>.</w:t>
      </w:r>
      <w:r w:rsidR="004F7BBA">
        <w:t xml:space="preserve"> </w:t>
      </w:r>
      <w:r w:rsidR="00BB51C8" w:rsidRPr="00657CF7">
        <w:t xml:space="preserve">The gasoline or spark-ignition (SI) internal combustion engine </w:t>
      </w:r>
      <w:r w:rsidR="00C0337B">
        <w:t xml:space="preserve">is based on </w:t>
      </w:r>
      <w:r w:rsidR="00BB51C8" w:rsidRPr="00657CF7">
        <w:t xml:space="preserve">the Otto cycle and </w:t>
      </w:r>
      <w:r w:rsidR="00C0337B">
        <w:t xml:space="preserve">an </w:t>
      </w:r>
      <w:r w:rsidR="00BB51C8" w:rsidRPr="00657CF7">
        <w:t>externally supplied ignition. It burns an air/fuel mixture and in the process</w:t>
      </w:r>
      <w:r w:rsidR="00A605D9">
        <w:t>,</w:t>
      </w:r>
      <w:r w:rsidR="00C0337B">
        <w:t xml:space="preserve"> it </w:t>
      </w:r>
      <w:r w:rsidR="00BB51C8" w:rsidRPr="00657CF7">
        <w:t xml:space="preserve">transforms the </w:t>
      </w:r>
      <w:r w:rsidR="00C0337B">
        <w:t xml:space="preserve">fuel </w:t>
      </w:r>
      <w:r w:rsidR="00BB51C8" w:rsidRPr="00657CF7">
        <w:t>chemical energy into kinetic energy</w:t>
      </w:r>
      <w:r w:rsidR="00BB51C8">
        <w:t xml:space="preserve"> </w:t>
      </w:r>
      <w:r w:rsidR="00BB51C8">
        <w:fldChar w:fldCharType="begin"/>
      </w:r>
      <w:r w:rsidR="00BB51C8">
        <w:instrText xml:space="preserve"> REF _Ref97821085 \r \h </w:instrText>
      </w:r>
      <w:r w:rsidR="00BB51C8">
        <w:fldChar w:fldCharType="separate"/>
      </w:r>
      <w:r w:rsidR="002C50A2">
        <w:t>[15]</w:t>
      </w:r>
      <w:r w:rsidR="00BB51C8">
        <w:fldChar w:fldCharType="end"/>
      </w:r>
      <w:r w:rsidR="00BB51C8" w:rsidRPr="00657CF7">
        <w:t>. The engine compression ratio can be different</w:t>
      </w:r>
      <w:r w:rsidR="00C0337B">
        <w:t>,</w:t>
      </w:r>
      <w:r w:rsidR="00BB51C8" w:rsidRPr="00657CF7">
        <w:t xml:space="preserve"> according to design configuration but it </w:t>
      </w:r>
      <w:r w:rsidR="00C0337B">
        <w:t xml:space="preserve">generally lies </w:t>
      </w:r>
      <w:r w:rsidR="00BB51C8" w:rsidRPr="00657CF7">
        <w:t xml:space="preserve">between 7 </w:t>
      </w:r>
      <w:r w:rsidR="00C0337B">
        <w:t>and</w:t>
      </w:r>
      <w:r w:rsidR="00BB51C8" w:rsidRPr="00657CF7">
        <w:t xml:space="preserve"> 13</w:t>
      </w:r>
      <w:r w:rsidR="00C0337B">
        <w:t xml:space="preserve"> bar</w:t>
      </w:r>
      <w:r w:rsidR="00BB51C8" w:rsidRPr="00657CF7">
        <w:t>. Because the knock resistance of the fuel is limited,</w:t>
      </w:r>
      <w:r w:rsidR="00BB51C8">
        <w:t xml:space="preserve"> </w:t>
      </w:r>
      <w:r w:rsidR="00BB51C8" w:rsidRPr="00657CF7">
        <w:t>extreme compression pressures and high temperature</w:t>
      </w:r>
      <w:r w:rsidR="00C7462D">
        <w:t>s</w:t>
      </w:r>
      <w:r w:rsidR="00BB51C8" w:rsidRPr="00657CF7">
        <w:t xml:space="preserve"> in the combustion chamber must be avoided </w:t>
      </w:r>
      <w:r w:rsidR="00D75E7E">
        <w:t>to</w:t>
      </w:r>
      <w:r w:rsidR="00BB51C8" w:rsidRPr="00657CF7">
        <w:t xml:space="preserve"> prevent the spontaneous and uncontrolled detonation of the air/fuel mixture</w:t>
      </w:r>
      <w:r w:rsidR="00BB51C8">
        <w:t xml:space="preserve"> </w:t>
      </w:r>
      <w:r w:rsidR="00BB51C8">
        <w:fldChar w:fldCharType="begin"/>
      </w:r>
      <w:r w:rsidR="00BB51C8">
        <w:instrText xml:space="preserve"> REF _Ref97821085 \r \h </w:instrText>
      </w:r>
      <w:r w:rsidR="00BB51C8">
        <w:fldChar w:fldCharType="separate"/>
      </w:r>
      <w:r w:rsidR="002C50A2">
        <w:t>[15]</w:t>
      </w:r>
      <w:r w:rsidR="00BB51C8">
        <w:fldChar w:fldCharType="end"/>
      </w:r>
      <w:r w:rsidR="00EF796A">
        <w:t>,</w:t>
      </w:r>
      <w:r w:rsidR="00777B08">
        <w:t xml:space="preserve"> </w:t>
      </w:r>
      <w:r w:rsidR="00082172">
        <w:fldChar w:fldCharType="begin"/>
      </w:r>
      <w:r w:rsidR="00082172">
        <w:instrText xml:space="preserve"> REF _Ref100043993 \r \h </w:instrText>
      </w:r>
      <w:r w:rsidR="00082172">
        <w:fldChar w:fldCharType="separate"/>
      </w:r>
      <w:r w:rsidR="002C50A2">
        <w:t>[17]</w:t>
      </w:r>
      <w:r w:rsidR="00082172">
        <w:fldChar w:fldCharType="end"/>
      </w:r>
      <w:r w:rsidR="00C7462D">
        <w:t>.</w:t>
      </w:r>
      <w:r w:rsidR="00BB51C8" w:rsidRPr="00657CF7">
        <w:t xml:space="preserve"> </w:t>
      </w:r>
    </w:p>
    <w:p w14:paraId="1971E3FA" w14:textId="75D04352" w:rsidR="00BB51C8" w:rsidRPr="00190DD5" w:rsidRDefault="0087781E" w:rsidP="0087781E">
      <w:r>
        <w:t>Based on previous remarks, the</w:t>
      </w:r>
      <w:r w:rsidR="00BB51C8" w:rsidRPr="007E3263">
        <w:t xml:space="preserve"> paper explores the </w:t>
      </w:r>
      <w:r>
        <w:t xml:space="preserve">employment of engine simulation to investigate the performance and emissions of pleasure craft equipped with outboard engines. </w:t>
      </w:r>
      <w:r w:rsidR="00BB51C8" w:rsidRPr="007E3263">
        <w:t>After framing an introduction on the engine simulation</w:t>
      </w:r>
      <w:r w:rsidR="00BB51C8">
        <w:t xml:space="preserve">, </w:t>
      </w:r>
      <w:r w:rsidR="00BB51C8" w:rsidRPr="007E3263">
        <w:t xml:space="preserve">the engine case test and the engine model </w:t>
      </w:r>
      <w:r>
        <w:t>are</w:t>
      </w:r>
      <w:r w:rsidR="00BB51C8" w:rsidRPr="007E3263">
        <w:t xml:space="preserve"> presented. After </w:t>
      </w:r>
      <w:r w:rsidR="00C63873">
        <w:t>the</w:t>
      </w:r>
      <w:r w:rsidR="00BB51C8">
        <w:t xml:space="preserve"> </w:t>
      </w:r>
      <w:r w:rsidR="00BB51C8" w:rsidRPr="007E3263">
        <w:t xml:space="preserve">first phase of construction and validation of the simulation model, the engine model </w:t>
      </w:r>
      <w:r>
        <w:t>is</w:t>
      </w:r>
      <w:r w:rsidR="00BB51C8" w:rsidRPr="007E3263">
        <w:t xml:space="preserve"> analyzed in </w:t>
      </w:r>
      <w:r w:rsidR="00BB51C8">
        <w:t>terms</w:t>
      </w:r>
      <w:r w:rsidR="00BB51C8" w:rsidRPr="007E3263">
        <w:t xml:space="preserve"> of NO</w:t>
      </w:r>
      <w:r w:rsidR="00BB51C8" w:rsidRPr="007E3263">
        <w:rPr>
          <w:vertAlign w:val="subscript"/>
        </w:rPr>
        <w:t>X</w:t>
      </w:r>
      <w:r w:rsidR="00BB51C8" w:rsidRPr="007E3263">
        <w:t xml:space="preserve"> and CO</w:t>
      </w:r>
      <w:r>
        <w:t xml:space="preserve"> emissions</w:t>
      </w:r>
      <w:r w:rsidR="00BB51C8" w:rsidRPr="007E3263">
        <w:t xml:space="preserve">. </w:t>
      </w:r>
      <w:r>
        <w:t>Finally, as</w:t>
      </w:r>
      <w:r w:rsidR="00BB51C8" w:rsidRPr="007E3263">
        <w:t xml:space="preserve"> some </w:t>
      </w:r>
      <w:r w:rsidR="00BB51C8">
        <w:t>parameters</w:t>
      </w:r>
      <w:r w:rsidR="00BB51C8" w:rsidRPr="007E3263">
        <w:t xml:space="preserve"> </w:t>
      </w:r>
      <w:r>
        <w:t>required</w:t>
      </w:r>
      <w:r w:rsidR="00BB51C8" w:rsidRPr="007E3263">
        <w:t xml:space="preserve"> for the construction of the model were unavailable</w:t>
      </w:r>
      <w:r>
        <w:t>,</w:t>
      </w:r>
      <w:r w:rsidR="00BB51C8" w:rsidRPr="007E3263">
        <w:t xml:space="preserve"> a sensitivity analysis </w:t>
      </w:r>
      <w:r>
        <w:t>is carried out to investigate the relevant impact in terms of emissions of air pollutants</w:t>
      </w:r>
      <w:r w:rsidR="00BB51C8" w:rsidRPr="007E3263">
        <w:t>.</w:t>
      </w:r>
      <w:r w:rsidR="00BB51C8">
        <w:t xml:space="preserve"> </w:t>
      </w:r>
    </w:p>
    <w:p w14:paraId="7B537CD2" w14:textId="7AA5077F" w:rsidR="00190DD5" w:rsidRPr="00190DD5" w:rsidRDefault="00B05D6E" w:rsidP="00B90B6B">
      <w:pPr>
        <w:pStyle w:val="Titolo1"/>
        <w:rPr>
          <w:lang w:eastAsia="en-US"/>
        </w:rPr>
      </w:pPr>
      <w:r>
        <w:rPr>
          <w:lang w:eastAsia="en-US"/>
        </w:rPr>
        <w:t xml:space="preserve"> </w:t>
      </w:r>
      <w:r w:rsidR="004459E5">
        <w:rPr>
          <w:lang w:eastAsia="en-US"/>
        </w:rPr>
        <w:t xml:space="preserve">Case </w:t>
      </w:r>
      <w:r w:rsidR="00190DD5" w:rsidRPr="00190DD5">
        <w:rPr>
          <w:lang w:eastAsia="en-US"/>
        </w:rPr>
        <w:t>study: data sheet and sea trials</w:t>
      </w:r>
    </w:p>
    <w:p w14:paraId="0A0665D1" w14:textId="59D18A81" w:rsidR="00247AC9" w:rsidRDefault="00BB51C8" w:rsidP="00D84AB4">
      <w:r w:rsidRPr="00190DD5">
        <w:t xml:space="preserve">The </w:t>
      </w:r>
      <w:r w:rsidR="00BF0F42">
        <w:t>engine used as a case study is the</w:t>
      </w:r>
      <w:r w:rsidR="008532D8">
        <w:t xml:space="preserve"> 4 stroke Suzuki</w:t>
      </w:r>
      <w:r w:rsidR="00BF0F42">
        <w:t xml:space="preserve"> </w:t>
      </w:r>
      <w:r w:rsidRPr="00190DD5">
        <w:t>DF350A</w:t>
      </w:r>
      <w:r>
        <w:t xml:space="preserve"> </w:t>
      </w:r>
      <w:r>
        <w:fldChar w:fldCharType="begin"/>
      </w:r>
      <w:r>
        <w:instrText xml:space="preserve"> REF _Ref97821273 \r \h </w:instrText>
      </w:r>
      <w:r>
        <w:fldChar w:fldCharType="separate"/>
      </w:r>
      <w:r w:rsidR="002C50A2">
        <w:t>[18]</w:t>
      </w:r>
      <w:r>
        <w:fldChar w:fldCharType="end"/>
      </w:r>
      <w:r w:rsidRPr="00190DD5">
        <w:t>. The technical datasheet of the engine is shown below (</w:t>
      </w:r>
      <w:r>
        <w:t>Table 1</w:t>
      </w:r>
      <w:r w:rsidRPr="00190DD5">
        <w:t>).</w:t>
      </w:r>
      <w:r w:rsidR="00D84AB4">
        <w:t xml:space="preserve"> </w:t>
      </w:r>
      <w:r w:rsidR="00D84AB4" w:rsidRPr="004E2EBD">
        <w:t xml:space="preserve">The boat </w:t>
      </w:r>
      <w:r w:rsidR="00D84AB4">
        <w:t>has a length of 9</w:t>
      </w:r>
      <w:proofErr w:type="gramStart"/>
      <w:r w:rsidR="00824A04">
        <w:t>,</w:t>
      </w:r>
      <w:r w:rsidR="00D84AB4">
        <w:t>6</w:t>
      </w:r>
      <w:proofErr w:type="gramEnd"/>
      <w:r w:rsidR="00D84AB4">
        <w:t xml:space="preserve"> m and is</w:t>
      </w:r>
      <w:r w:rsidR="00D84AB4" w:rsidRPr="004E2EBD">
        <w:t xml:space="preserve"> </w:t>
      </w:r>
      <w:r w:rsidR="00D84AB4">
        <w:t xml:space="preserve">equipped with </w:t>
      </w:r>
      <w:r w:rsidR="00D84AB4" w:rsidRPr="004E2EBD">
        <w:t>two Suzuki DF350 outboards</w:t>
      </w:r>
      <w:r w:rsidR="00D84AB4">
        <w:t xml:space="preserve">. The maximum speed is 54 </w:t>
      </w:r>
      <w:proofErr w:type="spellStart"/>
      <w:proofErr w:type="gramStart"/>
      <w:r w:rsidR="00D84AB4">
        <w:t>kn</w:t>
      </w:r>
      <w:proofErr w:type="spellEnd"/>
      <w:proofErr w:type="gramEnd"/>
      <w:r w:rsidR="00D84AB4" w:rsidRPr="004E2EBD">
        <w:t xml:space="preserve"> </w:t>
      </w:r>
      <w:r w:rsidR="00D84AB4">
        <w:t xml:space="preserve">combined with a </w:t>
      </w:r>
      <w:r w:rsidR="00D84AB4" w:rsidRPr="004E2EBD">
        <w:t>displacement</w:t>
      </w:r>
      <w:r w:rsidR="00D84AB4">
        <w:t xml:space="preserve"> equal to 2500 kg</w:t>
      </w:r>
      <w:r w:rsidR="00D84AB4" w:rsidRPr="004E2EBD">
        <w:t>, without the engines</w:t>
      </w:r>
      <w:r w:rsidR="00D84AB4">
        <w:t xml:space="preserve"> </w:t>
      </w:r>
      <w:r w:rsidR="00D84AB4">
        <w:fldChar w:fldCharType="begin"/>
      </w:r>
      <w:r w:rsidR="00D84AB4">
        <w:instrText xml:space="preserve"> REF _Ref77000263 \r \h </w:instrText>
      </w:r>
      <w:r w:rsidR="00D84AB4">
        <w:fldChar w:fldCharType="separate"/>
      </w:r>
      <w:r w:rsidR="002C50A2">
        <w:t>[19]</w:t>
      </w:r>
      <w:r w:rsidR="00D84AB4">
        <w:fldChar w:fldCharType="end"/>
      </w:r>
      <w:r w:rsidR="00D84AB4" w:rsidRPr="004E2EBD">
        <w:t>.</w:t>
      </w:r>
      <w:r w:rsidR="00D84AB4">
        <w:t xml:space="preserve"> According to the </w:t>
      </w:r>
      <w:r w:rsidR="00247AC9" w:rsidRPr="0035562E">
        <w:t xml:space="preserve">sea trials </w:t>
      </w:r>
      <w:r w:rsidR="00D84AB4">
        <w:t xml:space="preserve">available in </w:t>
      </w:r>
      <w:r w:rsidR="005C39CB">
        <w:t xml:space="preserve">the </w:t>
      </w:r>
      <w:r w:rsidR="00D84AB4">
        <w:t>literature</w:t>
      </w:r>
      <w:r w:rsidR="00247AC9" w:rsidRPr="0035562E">
        <w:t xml:space="preserve"> </w:t>
      </w:r>
      <w:r w:rsidR="00247AC9" w:rsidRPr="0035562E">
        <w:fldChar w:fldCharType="begin"/>
      </w:r>
      <w:r w:rsidR="00247AC9" w:rsidRPr="0035562E">
        <w:instrText xml:space="preserve"> REF _Ref77000263 \r \h </w:instrText>
      </w:r>
      <w:r w:rsidR="00247AC9">
        <w:instrText xml:space="preserve"> \* MERGEFORMAT </w:instrText>
      </w:r>
      <w:r w:rsidR="00247AC9" w:rsidRPr="0035562E">
        <w:fldChar w:fldCharType="separate"/>
      </w:r>
      <w:r w:rsidR="002C50A2">
        <w:t>[19]</w:t>
      </w:r>
      <w:r w:rsidR="00247AC9" w:rsidRPr="0035562E">
        <w:fldChar w:fldCharType="end"/>
      </w:r>
      <w:r w:rsidR="00D84AB4">
        <w:t xml:space="preserve">, Figure 1 provides the consumption and speed curves as </w:t>
      </w:r>
      <w:r w:rsidR="00247AC9">
        <w:t xml:space="preserve">a function of </w:t>
      </w:r>
      <w:r w:rsidR="00D84AB4">
        <w:t>the engine revolutions per minute</w:t>
      </w:r>
      <w:r w:rsidR="00247AC9">
        <w:t xml:space="preserve">. </w:t>
      </w:r>
    </w:p>
    <w:p w14:paraId="5E70CE06" w14:textId="618F291C" w:rsidR="00B24230" w:rsidRPr="00B24230" w:rsidRDefault="00B24230" w:rsidP="00B24230">
      <w:pPr>
        <w:pStyle w:val="CaptionLong"/>
        <w:jc w:val="center"/>
        <w:rPr>
          <w:b/>
        </w:rPr>
      </w:pPr>
      <w:r w:rsidRPr="00B24230">
        <w:rPr>
          <w:b/>
        </w:rPr>
        <w:t xml:space="preserve">Table </w:t>
      </w:r>
      <w:r w:rsidRPr="00B24230">
        <w:rPr>
          <w:b/>
        </w:rPr>
        <w:fldChar w:fldCharType="begin"/>
      </w:r>
      <w:r w:rsidRPr="00B24230">
        <w:rPr>
          <w:b/>
        </w:rPr>
        <w:instrText xml:space="preserve"> SEQ Table \* ARABIC </w:instrText>
      </w:r>
      <w:r w:rsidRPr="00B24230">
        <w:rPr>
          <w:b/>
        </w:rPr>
        <w:fldChar w:fldCharType="separate"/>
      </w:r>
      <w:r w:rsidR="002C50A2">
        <w:rPr>
          <w:b/>
          <w:noProof/>
        </w:rPr>
        <w:t>1</w:t>
      </w:r>
      <w:r w:rsidRPr="00B24230">
        <w:rPr>
          <w:b/>
        </w:rPr>
        <w:fldChar w:fldCharType="end"/>
      </w:r>
      <w:r>
        <w:rPr>
          <w:b/>
        </w:rPr>
        <w:t xml:space="preserve">. </w:t>
      </w:r>
      <w:r w:rsidRPr="00B24230">
        <w:t>Engine datasheet</w:t>
      </w:r>
      <w:r w:rsidR="007D45CE">
        <w:t xml:space="preserve"> </w:t>
      </w:r>
      <w:r w:rsidR="007D45CE">
        <w:fldChar w:fldCharType="begin"/>
      </w:r>
      <w:r w:rsidR="007D45CE">
        <w:instrText xml:space="preserve"> REF _Ref97821273 \r \h </w:instrText>
      </w:r>
      <w:r w:rsidR="007D45CE">
        <w:fldChar w:fldCharType="separate"/>
      </w:r>
      <w:r w:rsidR="002C50A2">
        <w:t>[18]</w:t>
      </w:r>
      <w:r w:rsidR="007D45CE">
        <w:fldChar w:fldCharType="end"/>
      </w:r>
    </w:p>
    <w:tbl>
      <w:tblPr>
        <w:tblStyle w:val="Grigliatabella"/>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316"/>
        <w:gridCol w:w="4715"/>
      </w:tblGrid>
      <w:tr w:rsidR="00C367A7" w:rsidRPr="00C367A7" w14:paraId="3815A84C" w14:textId="77777777" w:rsidTr="0063508D">
        <w:trPr>
          <w:jc w:val="center"/>
        </w:trPr>
        <w:tc>
          <w:tcPr>
            <w:tcW w:w="1647" w:type="pct"/>
          </w:tcPr>
          <w:p w14:paraId="70BF6029" w14:textId="2892E933" w:rsidR="00C367A7" w:rsidRPr="00C367A7" w:rsidRDefault="00C367A7" w:rsidP="0063508D">
            <w:pPr>
              <w:ind w:firstLine="0"/>
              <w:rPr>
                <w:b/>
                <w:bCs/>
                <w:sz w:val="16"/>
                <w:szCs w:val="16"/>
              </w:rPr>
            </w:pPr>
            <w:r w:rsidRPr="00C367A7">
              <w:rPr>
                <w:b/>
                <w:bCs/>
                <w:sz w:val="16"/>
                <w:szCs w:val="16"/>
              </w:rPr>
              <w:t xml:space="preserve">Datasheet </w:t>
            </w:r>
          </w:p>
        </w:tc>
        <w:tc>
          <w:tcPr>
            <w:tcW w:w="3353" w:type="pct"/>
          </w:tcPr>
          <w:p w14:paraId="78D90159" w14:textId="6FD73FC5" w:rsidR="00C367A7" w:rsidRPr="00C367A7" w:rsidRDefault="00C367A7" w:rsidP="0063508D">
            <w:pPr>
              <w:ind w:firstLine="0"/>
              <w:jc w:val="center"/>
              <w:rPr>
                <w:b/>
                <w:bCs/>
                <w:sz w:val="16"/>
                <w:szCs w:val="16"/>
              </w:rPr>
            </w:pPr>
            <w:r w:rsidRPr="00C367A7">
              <w:rPr>
                <w:b/>
                <w:bCs/>
                <w:sz w:val="16"/>
                <w:szCs w:val="16"/>
              </w:rPr>
              <w:t xml:space="preserve">4T </w:t>
            </w:r>
            <w:r w:rsidR="00235062" w:rsidRPr="00235062">
              <w:rPr>
                <w:b/>
                <w:bCs/>
                <w:sz w:val="16"/>
                <w:szCs w:val="16"/>
              </w:rPr>
              <w:t>Double overhead camshaft</w:t>
            </w:r>
            <w:r w:rsidR="00235062">
              <w:rPr>
                <w:b/>
                <w:bCs/>
                <w:sz w:val="16"/>
                <w:szCs w:val="16"/>
              </w:rPr>
              <w:t>/</w:t>
            </w:r>
            <w:r w:rsidRPr="00C367A7">
              <w:rPr>
                <w:b/>
                <w:bCs/>
                <w:sz w:val="16"/>
                <w:szCs w:val="16"/>
              </w:rPr>
              <w:t xml:space="preserve">6 </w:t>
            </w:r>
            <w:proofErr w:type="spellStart"/>
            <w:r w:rsidRPr="00C367A7">
              <w:rPr>
                <w:b/>
                <w:bCs/>
                <w:sz w:val="16"/>
                <w:szCs w:val="16"/>
              </w:rPr>
              <w:t>cyl</w:t>
            </w:r>
            <w:proofErr w:type="spellEnd"/>
            <w:r w:rsidRPr="00C367A7">
              <w:rPr>
                <w:b/>
                <w:bCs/>
                <w:sz w:val="16"/>
                <w:szCs w:val="16"/>
              </w:rPr>
              <w:t xml:space="preserve"> (V 55°)</w:t>
            </w:r>
            <w:r w:rsidR="00235062">
              <w:rPr>
                <w:b/>
                <w:bCs/>
                <w:sz w:val="16"/>
                <w:szCs w:val="16"/>
              </w:rPr>
              <w:t>/</w:t>
            </w:r>
            <w:r w:rsidRPr="00C367A7">
              <w:rPr>
                <w:b/>
                <w:bCs/>
                <w:sz w:val="16"/>
                <w:szCs w:val="16"/>
              </w:rPr>
              <w:t>4 valves</w:t>
            </w:r>
          </w:p>
        </w:tc>
      </w:tr>
      <w:tr w:rsidR="00C367A7" w:rsidRPr="00195C5F" w14:paraId="485730C0" w14:textId="77777777" w:rsidTr="0063508D">
        <w:trPr>
          <w:jc w:val="center"/>
        </w:trPr>
        <w:tc>
          <w:tcPr>
            <w:tcW w:w="1647" w:type="pct"/>
          </w:tcPr>
          <w:p w14:paraId="31E633EB" w14:textId="0B3F6B59" w:rsidR="00C367A7" w:rsidRPr="00C367A7" w:rsidRDefault="00C367A7" w:rsidP="0063508D">
            <w:pPr>
              <w:ind w:firstLine="0"/>
              <w:rPr>
                <w:sz w:val="16"/>
                <w:szCs w:val="16"/>
              </w:rPr>
            </w:pPr>
            <w:r>
              <w:rPr>
                <w:sz w:val="16"/>
                <w:szCs w:val="16"/>
              </w:rPr>
              <w:t>Displacement</w:t>
            </w:r>
          </w:p>
        </w:tc>
        <w:tc>
          <w:tcPr>
            <w:tcW w:w="3353" w:type="pct"/>
          </w:tcPr>
          <w:p w14:paraId="67627CB6" w14:textId="77777777" w:rsidR="00C367A7" w:rsidRPr="00C367A7" w:rsidRDefault="00C367A7" w:rsidP="0063508D">
            <w:pPr>
              <w:ind w:firstLine="0"/>
              <w:jc w:val="center"/>
              <w:rPr>
                <w:sz w:val="16"/>
                <w:szCs w:val="16"/>
              </w:rPr>
            </w:pPr>
            <w:r w:rsidRPr="00C367A7">
              <w:rPr>
                <w:sz w:val="16"/>
                <w:szCs w:val="16"/>
              </w:rPr>
              <w:t>4390 cc</w:t>
            </w:r>
          </w:p>
        </w:tc>
      </w:tr>
      <w:tr w:rsidR="00C367A7" w:rsidRPr="00195C5F" w14:paraId="643B8C5C" w14:textId="77777777" w:rsidTr="0063508D">
        <w:trPr>
          <w:jc w:val="center"/>
        </w:trPr>
        <w:tc>
          <w:tcPr>
            <w:tcW w:w="1647" w:type="pct"/>
          </w:tcPr>
          <w:p w14:paraId="53F61F66" w14:textId="0136C9E1" w:rsidR="00C367A7" w:rsidRPr="00C367A7" w:rsidRDefault="00C367A7" w:rsidP="0063508D">
            <w:pPr>
              <w:ind w:firstLine="0"/>
              <w:rPr>
                <w:sz w:val="16"/>
                <w:szCs w:val="16"/>
              </w:rPr>
            </w:pPr>
            <w:r>
              <w:rPr>
                <w:sz w:val="16"/>
                <w:szCs w:val="16"/>
              </w:rPr>
              <w:t>Power</w:t>
            </w:r>
          </w:p>
        </w:tc>
        <w:tc>
          <w:tcPr>
            <w:tcW w:w="3353" w:type="pct"/>
          </w:tcPr>
          <w:p w14:paraId="241F6A3E" w14:textId="263FB8A4" w:rsidR="00C367A7" w:rsidRPr="00C367A7" w:rsidRDefault="00C367A7" w:rsidP="0063508D">
            <w:pPr>
              <w:ind w:firstLine="0"/>
              <w:jc w:val="center"/>
              <w:rPr>
                <w:sz w:val="16"/>
                <w:szCs w:val="16"/>
              </w:rPr>
            </w:pPr>
            <w:r w:rsidRPr="00C367A7">
              <w:rPr>
                <w:sz w:val="16"/>
                <w:szCs w:val="16"/>
              </w:rPr>
              <w:t>257</w:t>
            </w:r>
            <w:r w:rsidR="00EF796A">
              <w:rPr>
                <w:sz w:val="16"/>
                <w:szCs w:val="16"/>
              </w:rPr>
              <w:t>,</w:t>
            </w:r>
            <w:r w:rsidRPr="00C367A7">
              <w:rPr>
                <w:sz w:val="16"/>
                <w:szCs w:val="16"/>
              </w:rPr>
              <w:t>4 kW</w:t>
            </w:r>
          </w:p>
        </w:tc>
      </w:tr>
      <w:tr w:rsidR="00C367A7" w:rsidRPr="00195C5F" w14:paraId="67866D0E" w14:textId="77777777" w:rsidTr="0063508D">
        <w:trPr>
          <w:jc w:val="center"/>
        </w:trPr>
        <w:tc>
          <w:tcPr>
            <w:tcW w:w="1647" w:type="pct"/>
          </w:tcPr>
          <w:p w14:paraId="5B849C55" w14:textId="59CD7502" w:rsidR="00C367A7" w:rsidRPr="00C367A7" w:rsidRDefault="00C367A7" w:rsidP="0063508D">
            <w:pPr>
              <w:ind w:firstLine="0"/>
              <w:rPr>
                <w:sz w:val="16"/>
                <w:szCs w:val="16"/>
              </w:rPr>
            </w:pPr>
            <w:r>
              <w:rPr>
                <w:sz w:val="16"/>
                <w:szCs w:val="16"/>
              </w:rPr>
              <w:t>Compression ratio</w:t>
            </w:r>
          </w:p>
        </w:tc>
        <w:tc>
          <w:tcPr>
            <w:tcW w:w="3353" w:type="pct"/>
          </w:tcPr>
          <w:p w14:paraId="096E4CD6" w14:textId="77777777" w:rsidR="00C367A7" w:rsidRPr="00C367A7" w:rsidRDefault="00C367A7" w:rsidP="0063508D">
            <w:pPr>
              <w:ind w:firstLine="0"/>
              <w:jc w:val="center"/>
              <w:rPr>
                <w:sz w:val="16"/>
                <w:szCs w:val="16"/>
              </w:rPr>
            </w:pPr>
            <w:r w:rsidRPr="00C367A7">
              <w:rPr>
                <w:sz w:val="16"/>
                <w:szCs w:val="16"/>
              </w:rPr>
              <w:t>1:12</w:t>
            </w:r>
          </w:p>
        </w:tc>
      </w:tr>
      <w:tr w:rsidR="00C367A7" w:rsidRPr="00195C5F" w14:paraId="220261BC" w14:textId="77777777" w:rsidTr="0063508D">
        <w:trPr>
          <w:trHeight w:val="77"/>
          <w:jc w:val="center"/>
        </w:trPr>
        <w:tc>
          <w:tcPr>
            <w:tcW w:w="1647" w:type="pct"/>
          </w:tcPr>
          <w:p w14:paraId="2B129E95" w14:textId="32EBCAB9" w:rsidR="00C367A7" w:rsidRPr="00C367A7" w:rsidRDefault="00C367A7" w:rsidP="0063508D">
            <w:pPr>
              <w:ind w:firstLine="0"/>
              <w:rPr>
                <w:sz w:val="16"/>
                <w:szCs w:val="16"/>
              </w:rPr>
            </w:pPr>
            <w:r w:rsidRPr="00C367A7">
              <w:rPr>
                <w:sz w:val="16"/>
                <w:szCs w:val="16"/>
              </w:rPr>
              <w:t>Optimal use regime</w:t>
            </w:r>
          </w:p>
        </w:tc>
        <w:tc>
          <w:tcPr>
            <w:tcW w:w="3353" w:type="pct"/>
          </w:tcPr>
          <w:p w14:paraId="045A9492" w14:textId="0894A1B3" w:rsidR="00C367A7" w:rsidRPr="00C367A7" w:rsidRDefault="00EF796A" w:rsidP="0063508D">
            <w:pPr>
              <w:ind w:firstLine="0"/>
              <w:jc w:val="center"/>
              <w:rPr>
                <w:sz w:val="16"/>
                <w:szCs w:val="16"/>
              </w:rPr>
            </w:pPr>
            <w:r>
              <w:rPr>
                <w:sz w:val="16"/>
                <w:szCs w:val="16"/>
              </w:rPr>
              <w:t>5700 – 6</w:t>
            </w:r>
            <w:r w:rsidR="00C367A7" w:rsidRPr="00C367A7">
              <w:rPr>
                <w:sz w:val="16"/>
                <w:szCs w:val="16"/>
              </w:rPr>
              <w:t>300 rpm</w:t>
            </w:r>
          </w:p>
        </w:tc>
      </w:tr>
      <w:tr w:rsidR="00C367A7" w:rsidRPr="00195C5F" w14:paraId="35854023" w14:textId="77777777" w:rsidTr="0063508D">
        <w:trPr>
          <w:jc w:val="center"/>
        </w:trPr>
        <w:tc>
          <w:tcPr>
            <w:tcW w:w="1647" w:type="pct"/>
          </w:tcPr>
          <w:p w14:paraId="37A328DA" w14:textId="1B05FAB8" w:rsidR="00C367A7" w:rsidRPr="00C367A7" w:rsidRDefault="00C367A7" w:rsidP="0063508D">
            <w:pPr>
              <w:ind w:firstLine="0"/>
              <w:rPr>
                <w:sz w:val="16"/>
                <w:szCs w:val="16"/>
              </w:rPr>
            </w:pPr>
            <w:r>
              <w:rPr>
                <w:sz w:val="16"/>
                <w:szCs w:val="16"/>
              </w:rPr>
              <w:t>Bore x stroke</w:t>
            </w:r>
            <w:r w:rsidRPr="00C367A7">
              <w:rPr>
                <w:sz w:val="16"/>
                <w:szCs w:val="16"/>
              </w:rPr>
              <w:t xml:space="preserve"> </w:t>
            </w:r>
          </w:p>
        </w:tc>
        <w:tc>
          <w:tcPr>
            <w:tcW w:w="3353" w:type="pct"/>
          </w:tcPr>
          <w:p w14:paraId="0962FCB4" w14:textId="77777777" w:rsidR="00C367A7" w:rsidRPr="00C367A7" w:rsidRDefault="00C367A7" w:rsidP="0063508D">
            <w:pPr>
              <w:ind w:firstLine="0"/>
              <w:jc w:val="center"/>
              <w:rPr>
                <w:sz w:val="16"/>
                <w:szCs w:val="16"/>
              </w:rPr>
            </w:pPr>
            <w:r w:rsidRPr="00C367A7">
              <w:rPr>
                <w:sz w:val="16"/>
                <w:szCs w:val="16"/>
              </w:rPr>
              <w:t>98 x 97 mm</w:t>
            </w:r>
          </w:p>
        </w:tc>
      </w:tr>
      <w:tr w:rsidR="00C367A7" w:rsidRPr="00195C5F" w14:paraId="3A3CC4E9" w14:textId="77777777" w:rsidTr="0063508D">
        <w:trPr>
          <w:jc w:val="center"/>
        </w:trPr>
        <w:tc>
          <w:tcPr>
            <w:tcW w:w="1647" w:type="pct"/>
          </w:tcPr>
          <w:p w14:paraId="49AAA8BB" w14:textId="1B870646" w:rsidR="00C367A7" w:rsidRPr="00C367A7" w:rsidRDefault="00C367A7" w:rsidP="0063508D">
            <w:pPr>
              <w:ind w:firstLine="0"/>
              <w:rPr>
                <w:sz w:val="16"/>
                <w:szCs w:val="16"/>
              </w:rPr>
            </w:pPr>
            <w:r>
              <w:rPr>
                <w:sz w:val="16"/>
                <w:szCs w:val="16"/>
              </w:rPr>
              <w:t>Fuel/ Recommended fuel</w:t>
            </w:r>
          </w:p>
        </w:tc>
        <w:tc>
          <w:tcPr>
            <w:tcW w:w="3353" w:type="pct"/>
          </w:tcPr>
          <w:p w14:paraId="3317FC74" w14:textId="7AA47770" w:rsidR="00C367A7" w:rsidRPr="00C367A7" w:rsidRDefault="00C367A7" w:rsidP="0063508D">
            <w:pPr>
              <w:ind w:firstLine="0"/>
              <w:jc w:val="center"/>
              <w:rPr>
                <w:sz w:val="16"/>
                <w:szCs w:val="16"/>
              </w:rPr>
            </w:pPr>
            <w:r>
              <w:rPr>
                <w:sz w:val="16"/>
                <w:szCs w:val="16"/>
              </w:rPr>
              <w:t>Unleaded fuel/</w:t>
            </w:r>
            <w:r w:rsidRPr="00C367A7">
              <w:rPr>
                <w:sz w:val="16"/>
                <w:szCs w:val="16"/>
              </w:rPr>
              <w:t xml:space="preserve"> RON94/AK189</w:t>
            </w:r>
          </w:p>
        </w:tc>
      </w:tr>
      <w:tr w:rsidR="00C367A7" w:rsidRPr="00195C5F" w14:paraId="06416331" w14:textId="77777777" w:rsidTr="0063508D">
        <w:trPr>
          <w:jc w:val="center"/>
        </w:trPr>
        <w:tc>
          <w:tcPr>
            <w:tcW w:w="1647" w:type="pct"/>
          </w:tcPr>
          <w:p w14:paraId="485ADF28" w14:textId="28E5BCD6" w:rsidR="00C367A7" w:rsidRPr="00C367A7" w:rsidRDefault="00C367A7" w:rsidP="0063508D">
            <w:pPr>
              <w:ind w:firstLine="0"/>
              <w:rPr>
                <w:sz w:val="16"/>
                <w:szCs w:val="16"/>
              </w:rPr>
            </w:pPr>
            <w:r>
              <w:rPr>
                <w:sz w:val="16"/>
                <w:szCs w:val="16"/>
              </w:rPr>
              <w:t>Starting</w:t>
            </w:r>
          </w:p>
        </w:tc>
        <w:tc>
          <w:tcPr>
            <w:tcW w:w="3353" w:type="pct"/>
          </w:tcPr>
          <w:p w14:paraId="612FEA6E" w14:textId="2967AAE6" w:rsidR="00C367A7" w:rsidRPr="00C367A7" w:rsidRDefault="00C367A7" w:rsidP="0063508D">
            <w:pPr>
              <w:ind w:firstLine="0"/>
              <w:jc w:val="center"/>
              <w:rPr>
                <w:sz w:val="16"/>
                <w:szCs w:val="16"/>
              </w:rPr>
            </w:pPr>
            <w:r w:rsidRPr="00C367A7">
              <w:rPr>
                <w:sz w:val="16"/>
                <w:szCs w:val="16"/>
              </w:rPr>
              <w:t>Ele</w:t>
            </w:r>
            <w:r>
              <w:rPr>
                <w:sz w:val="16"/>
                <w:szCs w:val="16"/>
              </w:rPr>
              <w:t>ctric start</w:t>
            </w:r>
          </w:p>
        </w:tc>
      </w:tr>
      <w:tr w:rsidR="00C367A7" w:rsidRPr="00195C5F" w14:paraId="320566D4" w14:textId="77777777" w:rsidTr="0063508D">
        <w:trPr>
          <w:jc w:val="center"/>
        </w:trPr>
        <w:tc>
          <w:tcPr>
            <w:tcW w:w="1647" w:type="pct"/>
          </w:tcPr>
          <w:p w14:paraId="3B59AEFF" w14:textId="41C53AD6" w:rsidR="00C367A7" w:rsidRPr="00C367A7" w:rsidRDefault="00C367A7" w:rsidP="0063508D">
            <w:pPr>
              <w:ind w:firstLine="0"/>
              <w:rPr>
                <w:sz w:val="16"/>
                <w:szCs w:val="16"/>
              </w:rPr>
            </w:pPr>
            <w:r>
              <w:rPr>
                <w:sz w:val="16"/>
                <w:szCs w:val="16"/>
              </w:rPr>
              <w:t>Weight</w:t>
            </w:r>
          </w:p>
        </w:tc>
        <w:tc>
          <w:tcPr>
            <w:tcW w:w="3353" w:type="pct"/>
          </w:tcPr>
          <w:p w14:paraId="7A9B4726" w14:textId="77777777" w:rsidR="00C367A7" w:rsidRPr="00C367A7" w:rsidRDefault="00C367A7" w:rsidP="0063508D">
            <w:pPr>
              <w:ind w:firstLine="0"/>
              <w:jc w:val="center"/>
              <w:rPr>
                <w:sz w:val="16"/>
                <w:szCs w:val="16"/>
              </w:rPr>
            </w:pPr>
            <w:r w:rsidRPr="00C367A7">
              <w:rPr>
                <w:sz w:val="16"/>
                <w:szCs w:val="16"/>
              </w:rPr>
              <w:t>339 kg</w:t>
            </w:r>
          </w:p>
        </w:tc>
      </w:tr>
      <w:tr w:rsidR="00C367A7" w:rsidRPr="00195C5F" w14:paraId="74A65C84" w14:textId="77777777" w:rsidTr="0063508D">
        <w:trPr>
          <w:jc w:val="center"/>
        </w:trPr>
        <w:tc>
          <w:tcPr>
            <w:tcW w:w="1647" w:type="pct"/>
          </w:tcPr>
          <w:p w14:paraId="56AE7662" w14:textId="790A76DB" w:rsidR="00C367A7" w:rsidRPr="00C367A7" w:rsidRDefault="00C367A7" w:rsidP="0063508D">
            <w:pPr>
              <w:ind w:firstLine="0"/>
              <w:rPr>
                <w:sz w:val="16"/>
                <w:szCs w:val="16"/>
              </w:rPr>
            </w:pPr>
            <w:r>
              <w:rPr>
                <w:sz w:val="16"/>
                <w:szCs w:val="16"/>
              </w:rPr>
              <w:t>Exhaust</w:t>
            </w:r>
          </w:p>
        </w:tc>
        <w:tc>
          <w:tcPr>
            <w:tcW w:w="3353" w:type="pct"/>
          </w:tcPr>
          <w:p w14:paraId="7E0082C9" w14:textId="3045560D" w:rsidR="00C367A7" w:rsidRPr="00C367A7" w:rsidRDefault="00C367A7" w:rsidP="0063508D">
            <w:pPr>
              <w:ind w:firstLine="0"/>
              <w:jc w:val="center"/>
              <w:rPr>
                <w:sz w:val="16"/>
                <w:szCs w:val="16"/>
              </w:rPr>
            </w:pPr>
            <w:r w:rsidRPr="00C367A7">
              <w:rPr>
                <w:sz w:val="16"/>
                <w:szCs w:val="16"/>
              </w:rPr>
              <w:t>Through propeller shaft</w:t>
            </w:r>
          </w:p>
        </w:tc>
      </w:tr>
      <w:tr w:rsidR="00C367A7" w:rsidRPr="00195C5F" w14:paraId="48839465" w14:textId="77777777" w:rsidTr="0063508D">
        <w:trPr>
          <w:jc w:val="center"/>
        </w:trPr>
        <w:tc>
          <w:tcPr>
            <w:tcW w:w="1647" w:type="pct"/>
          </w:tcPr>
          <w:p w14:paraId="2D382BC4" w14:textId="2D7714AC" w:rsidR="00C367A7" w:rsidRPr="00C367A7" w:rsidRDefault="00C367A7" w:rsidP="0063508D">
            <w:pPr>
              <w:ind w:firstLine="0"/>
              <w:rPr>
                <w:sz w:val="16"/>
                <w:szCs w:val="16"/>
              </w:rPr>
            </w:pPr>
            <w:r>
              <w:rPr>
                <w:sz w:val="16"/>
                <w:szCs w:val="16"/>
              </w:rPr>
              <w:t>Propeller</w:t>
            </w:r>
          </w:p>
        </w:tc>
        <w:tc>
          <w:tcPr>
            <w:tcW w:w="3353" w:type="pct"/>
          </w:tcPr>
          <w:p w14:paraId="5EF3C2C3" w14:textId="77777777" w:rsidR="00C367A7" w:rsidRPr="00C367A7" w:rsidRDefault="00C367A7" w:rsidP="0063508D">
            <w:pPr>
              <w:ind w:firstLine="0"/>
              <w:jc w:val="center"/>
              <w:rPr>
                <w:sz w:val="16"/>
                <w:szCs w:val="16"/>
              </w:rPr>
            </w:pPr>
            <w:r w:rsidRPr="00C367A7">
              <w:rPr>
                <w:sz w:val="16"/>
                <w:szCs w:val="16"/>
              </w:rPr>
              <w:t>12”-31.5”</w:t>
            </w:r>
          </w:p>
        </w:tc>
      </w:tr>
    </w:tbl>
    <w:p w14:paraId="397BA5DF" w14:textId="4CEA30BC" w:rsidR="00F47DDE" w:rsidRPr="00614BB5" w:rsidRDefault="00247AC9" w:rsidP="00614BB5">
      <w:pPr>
        <w:jc w:val="center"/>
        <w:rPr>
          <w:sz w:val="16"/>
        </w:rPr>
      </w:pPr>
      <w:r w:rsidRPr="00614BB5">
        <w:rPr>
          <w:noProof/>
          <w:sz w:val="16"/>
          <w:lang w:val="it-IT" w:eastAsia="it-IT"/>
        </w:rPr>
        <w:lastRenderedPageBreak/>
        <w:drawing>
          <wp:anchor distT="0" distB="0" distL="114300" distR="114300" simplePos="0" relativeHeight="251658240" behindDoc="0" locked="0" layoutInCell="1" allowOverlap="1" wp14:anchorId="613343D1" wp14:editId="1821C983">
            <wp:simplePos x="0" y="0"/>
            <wp:positionH relativeFrom="margin">
              <wp:posOffset>728345</wp:posOffset>
            </wp:positionH>
            <wp:positionV relativeFrom="paragraph">
              <wp:posOffset>635</wp:posOffset>
            </wp:positionV>
            <wp:extent cx="3067685" cy="1143000"/>
            <wp:effectExtent l="0" t="0" r="0" b="0"/>
            <wp:wrapTopAndBottom/>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F47DDE" w:rsidRPr="00614BB5">
        <w:rPr>
          <w:b/>
          <w:bCs/>
          <w:sz w:val="16"/>
        </w:rPr>
        <w:t>Figure 1.</w:t>
      </w:r>
      <w:r w:rsidR="00F47DDE" w:rsidRPr="00614BB5">
        <w:rPr>
          <w:sz w:val="16"/>
        </w:rPr>
        <w:t xml:space="preserve"> Engine simulation model</w:t>
      </w:r>
      <w:r w:rsidR="00EF796A">
        <w:rPr>
          <w:sz w:val="16"/>
        </w:rPr>
        <w:t>.</w:t>
      </w:r>
    </w:p>
    <w:p w14:paraId="7900323A" w14:textId="0F7C9563" w:rsidR="00B05D6E" w:rsidRDefault="005E6C64" w:rsidP="00B90B6B">
      <w:pPr>
        <w:pStyle w:val="Titolo1"/>
        <w:rPr>
          <w:lang w:eastAsia="en-US"/>
        </w:rPr>
      </w:pPr>
      <w:r>
        <w:rPr>
          <w:lang w:eastAsia="en-US"/>
        </w:rPr>
        <w:t>Construction of the model</w:t>
      </w:r>
    </w:p>
    <w:p w14:paraId="441D644D" w14:textId="4595346B" w:rsidR="0035562E" w:rsidRDefault="0035562E" w:rsidP="0035562E">
      <w:pPr>
        <w:pStyle w:val="NoindentNormal"/>
      </w:pPr>
      <w:r w:rsidRPr="0035562E">
        <w:t xml:space="preserve">The engine </w:t>
      </w:r>
      <w:r w:rsidR="00092C64">
        <w:t xml:space="preserve">has been </w:t>
      </w:r>
      <w:r w:rsidR="00D02770">
        <w:t>modeled</w:t>
      </w:r>
      <w:r w:rsidRPr="0035562E">
        <w:t xml:space="preserve"> in </w:t>
      </w:r>
      <w:r w:rsidR="00D84AB4">
        <w:t>the</w:t>
      </w:r>
      <w:r w:rsidRPr="0035562E">
        <w:t xml:space="preserve"> simulation environment </w:t>
      </w:r>
      <w:r w:rsidR="00D84AB4">
        <w:t>considering</w:t>
      </w:r>
      <w:r w:rsidRPr="0035562E">
        <w:t xml:space="preserve"> its main parts</w:t>
      </w:r>
      <w:r w:rsidR="00D84AB4">
        <w:t>, namely</w:t>
      </w:r>
      <w:r w:rsidRPr="0035562E">
        <w:t xml:space="preserve"> </w:t>
      </w:r>
      <w:r w:rsidR="00D84AB4">
        <w:t xml:space="preserve">the </w:t>
      </w:r>
      <w:r w:rsidRPr="0035562E">
        <w:t>cylinders, injectors, inlet/outlet duct</w:t>
      </w:r>
      <w:r w:rsidR="00D84AB4">
        <w:t>s</w:t>
      </w:r>
      <w:r w:rsidR="00D02770">
        <w:t>,</w:t>
      </w:r>
      <w:r w:rsidRPr="0035562E">
        <w:t xml:space="preserve"> and valves.</w:t>
      </w:r>
      <w:r>
        <w:t xml:space="preserve"> </w:t>
      </w:r>
      <w:r w:rsidRPr="0035562E">
        <w:t xml:space="preserve">Each block </w:t>
      </w:r>
      <w:r w:rsidR="00092C64">
        <w:t>has been</w:t>
      </w:r>
      <w:r w:rsidRPr="0035562E">
        <w:t xml:space="preserve"> characterized </w:t>
      </w:r>
      <w:r w:rsidR="00D02770">
        <w:t>by</w:t>
      </w:r>
      <w:r w:rsidRPr="0035562E">
        <w:t xml:space="preserve"> </w:t>
      </w:r>
      <w:r w:rsidR="00D84AB4">
        <w:t xml:space="preserve">the relevant </w:t>
      </w:r>
      <w:r w:rsidRPr="0035562E">
        <w:t>main dimensions, initial conditions</w:t>
      </w:r>
      <w:r w:rsidR="00D02770">
        <w:t>,</w:t>
      </w:r>
      <w:r w:rsidRPr="0035562E">
        <w:t xml:space="preserve"> and characteristics of the fluid present within.</w:t>
      </w:r>
      <w:r w:rsidR="00092C64" w:rsidRPr="00092C64">
        <w:t xml:space="preserve"> </w:t>
      </w:r>
      <w:r w:rsidR="00092C64" w:rsidRPr="004459E5">
        <w:t xml:space="preserve">Both the </w:t>
      </w:r>
      <w:r w:rsidR="00092C64" w:rsidRPr="004459E5">
        <w:rPr>
          <w:i/>
          <w:iCs/>
        </w:rPr>
        <w:t>in</w:t>
      </w:r>
      <w:r w:rsidR="00092C64" w:rsidRPr="004459E5">
        <w:t xml:space="preserve"> and </w:t>
      </w:r>
      <w:r w:rsidR="00092C64" w:rsidRPr="004459E5">
        <w:rPr>
          <w:i/>
          <w:iCs/>
        </w:rPr>
        <w:t>out</w:t>
      </w:r>
      <w:r w:rsidR="00092C64" w:rsidRPr="004459E5">
        <w:t xml:space="preserve"> of the engine are connected with the environment</w:t>
      </w:r>
      <w:r w:rsidR="00DF582C">
        <w:t>,</w:t>
      </w:r>
      <w:r w:rsidR="00092C64" w:rsidRPr="004459E5">
        <w:t xml:space="preserve"> initially under standard pressure and temperature conditions, </w:t>
      </w:r>
      <w:r w:rsidR="00092C64">
        <w:t xml:space="preserve">so </w:t>
      </w:r>
      <w:r w:rsidR="00D75E7E">
        <w:t xml:space="preserve">the </w:t>
      </w:r>
      <w:r w:rsidR="00092C64" w:rsidRPr="004459E5">
        <w:t xml:space="preserve">air </w:t>
      </w:r>
      <w:r w:rsidR="00DF582C">
        <w:t xml:space="preserve">pressure and temperature are equal to </w:t>
      </w:r>
      <w:r w:rsidR="00092C64" w:rsidRPr="004459E5">
        <w:t>1 bar and 300</w:t>
      </w:r>
      <w:r w:rsidR="00247AC9">
        <w:t xml:space="preserve"> </w:t>
      </w:r>
      <w:r w:rsidR="00092C64" w:rsidRPr="004459E5">
        <w:t>K</w:t>
      </w:r>
      <w:r w:rsidR="00DF582C">
        <w:t>, respectively</w:t>
      </w:r>
      <w:r w:rsidR="00092C64" w:rsidRPr="004459E5">
        <w:t>.</w:t>
      </w:r>
      <w:r w:rsidR="00092C64" w:rsidRPr="00092C64">
        <w:t xml:space="preserve"> </w:t>
      </w:r>
      <w:r w:rsidR="00092C64">
        <w:t xml:space="preserve">As </w:t>
      </w:r>
      <w:r w:rsidR="00C63873">
        <w:t>regards</w:t>
      </w:r>
      <w:r w:rsidR="00092C64">
        <w:t xml:space="preserve"> the fuel </w:t>
      </w:r>
      <w:r w:rsidR="00DF582C">
        <w:t xml:space="preserve">type </w:t>
      </w:r>
      <w:r w:rsidR="00092C64">
        <w:t>used during the simulation</w:t>
      </w:r>
      <w:r w:rsidR="00DF582C">
        <w:t>,</w:t>
      </w:r>
      <w:r w:rsidR="00092C64">
        <w:t xml:space="preserve"> the technical datasheet of the engine </w:t>
      </w:r>
      <w:r w:rsidR="00DF582C">
        <w:t>declares the RON94 (Table 1)</w:t>
      </w:r>
      <w:r w:rsidR="00082172">
        <w:t xml:space="preserve"> </w:t>
      </w:r>
      <w:r w:rsidR="00DF582C">
        <w:fldChar w:fldCharType="begin"/>
      </w:r>
      <w:r w:rsidR="00DF582C">
        <w:instrText xml:space="preserve"> REF _Ref97826871 \r \h </w:instrText>
      </w:r>
      <w:r w:rsidR="00DF582C">
        <w:fldChar w:fldCharType="separate"/>
      </w:r>
      <w:r w:rsidR="002C50A2">
        <w:t>[18]</w:t>
      </w:r>
      <w:r w:rsidR="00DF582C">
        <w:fldChar w:fldCharType="end"/>
      </w:r>
      <w:r w:rsidR="00092C64">
        <w:t xml:space="preserve"> as recommended fuel. Since the RON94 </w:t>
      </w:r>
      <w:r w:rsidR="00AC2CE6">
        <w:t>(</w:t>
      </w:r>
      <w:r w:rsidR="00AC2CE6" w:rsidRPr="008A25AE">
        <w:t>Research Octane</w:t>
      </w:r>
      <w:r w:rsidR="00AC2CE6">
        <w:t xml:space="preserve"> </w:t>
      </w:r>
      <w:r w:rsidR="00AC2CE6" w:rsidRPr="008A25AE">
        <w:t>Number</w:t>
      </w:r>
      <w:r w:rsidR="00AC2CE6">
        <w:t xml:space="preserve">) </w:t>
      </w:r>
      <w:r w:rsidR="00092C64">
        <w:t xml:space="preserve">has not </w:t>
      </w:r>
      <w:r w:rsidR="00C63873">
        <w:t xml:space="preserve">been </w:t>
      </w:r>
      <w:r w:rsidR="00092C64">
        <w:t>available in our library of pre-characterized fuel</w:t>
      </w:r>
      <w:r w:rsidR="00DF582C">
        <w:t>s, the</w:t>
      </w:r>
      <w:r w:rsidR="00092C64">
        <w:t xml:space="preserve"> RON95 has been used. </w:t>
      </w:r>
    </w:p>
    <w:p w14:paraId="6D3D1BF4" w14:textId="11D56F59" w:rsidR="004459E5" w:rsidRDefault="00B90B6B" w:rsidP="0035562E">
      <w:pPr>
        <w:pStyle w:val="NoindentNormal"/>
        <w:jc w:val="center"/>
      </w:pPr>
      <w:r w:rsidRPr="0035562E">
        <w:rPr>
          <w:noProof/>
          <w:lang w:val="it-IT" w:eastAsia="it-IT"/>
        </w:rPr>
        <w:drawing>
          <wp:inline distT="0" distB="0" distL="0" distR="0" wp14:anchorId="61F460C4" wp14:editId="1E73E77A">
            <wp:extent cx="2533036" cy="1667714"/>
            <wp:effectExtent l="0" t="0" r="635"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19" t="5778"/>
                    <a:stretch/>
                  </pic:blipFill>
                  <pic:spPr bwMode="auto">
                    <a:xfrm>
                      <a:off x="0" y="0"/>
                      <a:ext cx="2567546" cy="1690435"/>
                    </a:xfrm>
                    <a:prstGeom prst="rect">
                      <a:avLst/>
                    </a:prstGeom>
                    <a:ln>
                      <a:noFill/>
                    </a:ln>
                    <a:extLst>
                      <a:ext uri="{53640926-AAD7-44D8-BBD7-CCE9431645EC}">
                        <a14:shadowObscured xmlns:a14="http://schemas.microsoft.com/office/drawing/2010/main"/>
                      </a:ext>
                    </a:extLst>
                  </pic:spPr>
                </pic:pic>
              </a:graphicData>
            </a:graphic>
          </wp:inline>
        </w:drawing>
      </w:r>
    </w:p>
    <w:p w14:paraId="5C666204" w14:textId="370B7091" w:rsidR="004459E5" w:rsidRDefault="004459E5" w:rsidP="00B90B6B">
      <w:pPr>
        <w:pStyle w:val="CaptionShort"/>
      </w:pPr>
      <w:r w:rsidRPr="0042593B">
        <w:rPr>
          <w:b/>
          <w:bCs/>
        </w:rPr>
        <w:t xml:space="preserve">Figure </w:t>
      </w:r>
      <w:r w:rsidRPr="0042593B">
        <w:rPr>
          <w:b/>
          <w:bCs/>
        </w:rPr>
        <w:fldChar w:fldCharType="begin"/>
      </w:r>
      <w:r w:rsidRPr="0042593B">
        <w:rPr>
          <w:b/>
          <w:bCs/>
        </w:rPr>
        <w:instrText xml:space="preserve"> SEQ Figure \* ARABIC </w:instrText>
      </w:r>
      <w:r w:rsidRPr="0042593B">
        <w:rPr>
          <w:b/>
          <w:bCs/>
        </w:rPr>
        <w:fldChar w:fldCharType="separate"/>
      </w:r>
      <w:r w:rsidR="002C50A2">
        <w:rPr>
          <w:b/>
          <w:bCs/>
          <w:noProof/>
        </w:rPr>
        <w:t>1</w:t>
      </w:r>
      <w:r w:rsidRPr="0042593B">
        <w:rPr>
          <w:b/>
          <w:bCs/>
        </w:rPr>
        <w:fldChar w:fldCharType="end"/>
      </w:r>
      <w:r w:rsidRPr="0042593B">
        <w:rPr>
          <w:b/>
          <w:bCs/>
        </w:rPr>
        <w:t>.</w:t>
      </w:r>
      <w:r>
        <w:t xml:space="preserve"> </w:t>
      </w:r>
      <w:r w:rsidRPr="00490636">
        <w:t>Engine simulation model</w:t>
      </w:r>
      <w:r w:rsidR="00EF796A">
        <w:t>.</w:t>
      </w:r>
    </w:p>
    <w:p w14:paraId="5ECB0F63" w14:textId="5FEB7232" w:rsidR="004459E5" w:rsidRDefault="004459E5" w:rsidP="0063508D">
      <w:r w:rsidRPr="004459E5">
        <w:t xml:space="preserve">The model reflects the structure of the </w:t>
      </w:r>
      <w:r>
        <w:t>real</w:t>
      </w:r>
      <w:r w:rsidRPr="004459E5">
        <w:t xml:space="preserve"> engine and therefore has </w:t>
      </w:r>
      <w:r w:rsidR="0035562E">
        <w:t>six</w:t>
      </w:r>
      <w:r w:rsidRPr="004459E5">
        <w:t xml:space="preserve"> cylinders</w:t>
      </w:r>
      <w:r w:rsidR="00DF582C">
        <w:t>,</w:t>
      </w:r>
      <w:r w:rsidRPr="004459E5">
        <w:t xml:space="preserve"> each</w:t>
      </w:r>
      <w:r w:rsidR="00DF582C">
        <w:t xml:space="preserve"> one</w:t>
      </w:r>
      <w:r w:rsidRPr="004459E5">
        <w:t xml:space="preserve"> with four valves</w:t>
      </w:r>
      <w:r w:rsidR="00DF582C">
        <w:t>,</w:t>
      </w:r>
      <w:r w:rsidRPr="004459E5">
        <w:t xml:space="preserve"> as well as the whole structure including pipes and injectors</w:t>
      </w:r>
      <w:r w:rsidR="008532D8">
        <w:t xml:space="preserve">. </w:t>
      </w:r>
      <w:r w:rsidR="00DF582C">
        <w:t>T</w:t>
      </w:r>
      <w:r w:rsidR="00E15D6B">
        <w:t>he main geometric characteristics of the cylinders</w:t>
      </w:r>
      <w:r w:rsidR="00DF582C">
        <w:t xml:space="preserve"> are reported in Table 2. </w:t>
      </w:r>
    </w:p>
    <w:p w14:paraId="1F70ED86" w14:textId="75D45D32" w:rsidR="00B24230" w:rsidRDefault="00B24230" w:rsidP="00B24230">
      <w:pPr>
        <w:pStyle w:val="CaptionLong"/>
        <w:jc w:val="center"/>
      </w:pPr>
      <w:r w:rsidRPr="00B24230">
        <w:rPr>
          <w:b/>
        </w:rPr>
        <w:t xml:space="preserve">Table </w:t>
      </w:r>
      <w:r w:rsidRPr="00B24230">
        <w:rPr>
          <w:b/>
        </w:rPr>
        <w:fldChar w:fldCharType="begin"/>
      </w:r>
      <w:r w:rsidRPr="00B24230">
        <w:rPr>
          <w:b/>
        </w:rPr>
        <w:instrText xml:space="preserve"> SEQ Table \* ARABIC </w:instrText>
      </w:r>
      <w:r w:rsidRPr="00B24230">
        <w:rPr>
          <w:b/>
        </w:rPr>
        <w:fldChar w:fldCharType="separate"/>
      </w:r>
      <w:r w:rsidR="002C50A2">
        <w:rPr>
          <w:b/>
          <w:noProof/>
        </w:rPr>
        <w:t>2</w:t>
      </w:r>
      <w:r w:rsidRPr="00B24230">
        <w:rPr>
          <w:b/>
        </w:rPr>
        <w:fldChar w:fldCharType="end"/>
      </w:r>
      <w:r w:rsidRPr="00B24230">
        <w:rPr>
          <w:b/>
        </w:rPr>
        <w:t xml:space="preserve">. </w:t>
      </w:r>
      <w:r w:rsidRPr="00B24230">
        <w:rPr>
          <w:bCs/>
        </w:rPr>
        <w:t>Main geometric characteristics of the cylinders</w:t>
      </w:r>
    </w:p>
    <w:tbl>
      <w:tblPr>
        <w:tblStyle w:val="Grigliatabella"/>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833"/>
      </w:tblGrid>
      <w:tr w:rsidR="005E6C64" w:rsidRPr="00B90B6B" w14:paraId="78F62A72" w14:textId="77777777" w:rsidTr="0063508D">
        <w:trPr>
          <w:jc w:val="center"/>
        </w:trPr>
        <w:tc>
          <w:tcPr>
            <w:tcW w:w="2274" w:type="pct"/>
            <w:tcBorders>
              <w:top w:val="single" w:sz="4" w:space="0" w:color="auto"/>
              <w:bottom w:val="single" w:sz="4" w:space="0" w:color="auto"/>
            </w:tcBorders>
            <w:vAlign w:val="center"/>
          </w:tcPr>
          <w:p w14:paraId="5CEAC396" w14:textId="3AE99BD5" w:rsidR="005E6C64" w:rsidRPr="00B90B6B" w:rsidRDefault="005E6C64" w:rsidP="0063508D">
            <w:pPr>
              <w:ind w:firstLine="0"/>
              <w:jc w:val="center"/>
              <w:rPr>
                <w:b/>
                <w:sz w:val="16"/>
              </w:rPr>
            </w:pPr>
            <w:r w:rsidRPr="00B90B6B">
              <w:rPr>
                <w:b/>
                <w:sz w:val="16"/>
              </w:rPr>
              <w:t>Geometry</w:t>
            </w:r>
          </w:p>
        </w:tc>
        <w:tc>
          <w:tcPr>
            <w:tcW w:w="2726" w:type="pct"/>
            <w:tcBorders>
              <w:top w:val="single" w:sz="4" w:space="0" w:color="auto"/>
              <w:bottom w:val="single" w:sz="4" w:space="0" w:color="auto"/>
            </w:tcBorders>
            <w:vAlign w:val="center"/>
          </w:tcPr>
          <w:p w14:paraId="355E2D21" w14:textId="2A7817A1" w:rsidR="005E6C64" w:rsidRPr="00B90B6B" w:rsidRDefault="005E6C64" w:rsidP="0063508D">
            <w:pPr>
              <w:ind w:firstLine="0"/>
              <w:jc w:val="center"/>
              <w:rPr>
                <w:b/>
                <w:sz w:val="16"/>
              </w:rPr>
            </w:pPr>
            <w:r w:rsidRPr="00B90B6B">
              <w:rPr>
                <w:b/>
                <w:sz w:val="16"/>
              </w:rPr>
              <w:t>Value</w:t>
            </w:r>
          </w:p>
        </w:tc>
      </w:tr>
      <w:tr w:rsidR="005E6C64" w:rsidRPr="00B90B6B" w14:paraId="41DBF2D2" w14:textId="77777777" w:rsidTr="0063508D">
        <w:trPr>
          <w:jc w:val="center"/>
        </w:trPr>
        <w:tc>
          <w:tcPr>
            <w:tcW w:w="2274" w:type="pct"/>
            <w:tcBorders>
              <w:top w:val="single" w:sz="4" w:space="0" w:color="auto"/>
              <w:bottom w:val="single" w:sz="4" w:space="0" w:color="auto"/>
            </w:tcBorders>
            <w:vAlign w:val="center"/>
          </w:tcPr>
          <w:p w14:paraId="16C740FE" w14:textId="0E052ECA" w:rsidR="005E6C64" w:rsidRPr="00B90B6B" w:rsidRDefault="005E6C64" w:rsidP="0063508D">
            <w:pPr>
              <w:ind w:firstLine="0"/>
              <w:jc w:val="center"/>
              <w:rPr>
                <w:sz w:val="16"/>
              </w:rPr>
            </w:pPr>
            <w:r w:rsidRPr="00B90B6B">
              <w:rPr>
                <w:sz w:val="16"/>
              </w:rPr>
              <w:t>Stroke</w:t>
            </w:r>
            <w:r w:rsidR="00C367A7">
              <w:rPr>
                <w:sz w:val="16"/>
              </w:rPr>
              <w:t>/Bore</w:t>
            </w:r>
            <w:r w:rsidRPr="00B90B6B">
              <w:rPr>
                <w:sz w:val="16"/>
              </w:rPr>
              <w:t xml:space="preserve"> [mm]</w:t>
            </w:r>
          </w:p>
        </w:tc>
        <w:tc>
          <w:tcPr>
            <w:tcW w:w="2726" w:type="pct"/>
            <w:tcBorders>
              <w:top w:val="single" w:sz="4" w:space="0" w:color="auto"/>
              <w:bottom w:val="single" w:sz="4" w:space="0" w:color="auto"/>
            </w:tcBorders>
            <w:vAlign w:val="center"/>
          </w:tcPr>
          <w:p w14:paraId="75150133" w14:textId="49D93DE2" w:rsidR="005E6C64" w:rsidRPr="00B90B6B" w:rsidRDefault="005E6C64" w:rsidP="0063508D">
            <w:pPr>
              <w:ind w:firstLine="0"/>
              <w:jc w:val="center"/>
              <w:rPr>
                <w:sz w:val="16"/>
              </w:rPr>
            </w:pPr>
            <w:r w:rsidRPr="00B90B6B">
              <w:rPr>
                <w:sz w:val="16"/>
              </w:rPr>
              <w:t>97</w:t>
            </w:r>
            <w:r w:rsidR="00C367A7">
              <w:rPr>
                <w:sz w:val="16"/>
              </w:rPr>
              <w:t>/98</w:t>
            </w:r>
          </w:p>
        </w:tc>
      </w:tr>
      <w:tr w:rsidR="005E6C64" w:rsidRPr="00B90B6B" w14:paraId="21A203E7" w14:textId="77777777" w:rsidTr="0063508D">
        <w:trPr>
          <w:jc w:val="center"/>
        </w:trPr>
        <w:tc>
          <w:tcPr>
            <w:tcW w:w="2274" w:type="pct"/>
            <w:tcBorders>
              <w:top w:val="single" w:sz="4" w:space="0" w:color="auto"/>
              <w:bottom w:val="single" w:sz="4" w:space="0" w:color="auto"/>
            </w:tcBorders>
            <w:vAlign w:val="center"/>
          </w:tcPr>
          <w:p w14:paraId="2DFF2E58" w14:textId="4272732F" w:rsidR="005E6C64" w:rsidRPr="00B90B6B" w:rsidRDefault="005E6C64" w:rsidP="0063508D">
            <w:pPr>
              <w:ind w:firstLine="0"/>
              <w:jc w:val="center"/>
              <w:rPr>
                <w:sz w:val="16"/>
              </w:rPr>
            </w:pPr>
            <w:r w:rsidRPr="00B90B6B">
              <w:rPr>
                <w:sz w:val="16"/>
              </w:rPr>
              <w:t>Head area Multiplier</w:t>
            </w:r>
          </w:p>
        </w:tc>
        <w:tc>
          <w:tcPr>
            <w:tcW w:w="2726" w:type="pct"/>
            <w:tcBorders>
              <w:top w:val="single" w:sz="4" w:space="0" w:color="auto"/>
              <w:bottom w:val="single" w:sz="4" w:space="0" w:color="auto"/>
            </w:tcBorders>
            <w:vAlign w:val="center"/>
          </w:tcPr>
          <w:p w14:paraId="31A1A775" w14:textId="5BEC0348" w:rsidR="005E6C64" w:rsidRPr="00B90B6B" w:rsidRDefault="005E6C64" w:rsidP="0063508D">
            <w:pPr>
              <w:ind w:firstLine="0"/>
              <w:jc w:val="center"/>
              <w:rPr>
                <w:sz w:val="16"/>
              </w:rPr>
            </w:pPr>
            <w:r w:rsidRPr="00B90B6B">
              <w:rPr>
                <w:sz w:val="16"/>
              </w:rPr>
              <w:t>1</w:t>
            </w:r>
            <w:r w:rsidR="00EF796A">
              <w:rPr>
                <w:sz w:val="16"/>
              </w:rPr>
              <w:t>,</w:t>
            </w:r>
            <w:r w:rsidRPr="00B90B6B">
              <w:rPr>
                <w:sz w:val="16"/>
              </w:rPr>
              <w:t>1</w:t>
            </w:r>
            <w:r w:rsidR="00EF4156">
              <w:rPr>
                <w:sz w:val="16"/>
              </w:rPr>
              <w:t>0</w:t>
            </w:r>
          </w:p>
        </w:tc>
      </w:tr>
      <w:tr w:rsidR="005E6C64" w:rsidRPr="00B90B6B" w14:paraId="18BCC4C6" w14:textId="77777777" w:rsidTr="0063508D">
        <w:trPr>
          <w:jc w:val="center"/>
        </w:trPr>
        <w:tc>
          <w:tcPr>
            <w:tcW w:w="2274" w:type="pct"/>
            <w:tcBorders>
              <w:top w:val="single" w:sz="4" w:space="0" w:color="auto"/>
              <w:bottom w:val="single" w:sz="4" w:space="0" w:color="auto"/>
            </w:tcBorders>
            <w:vAlign w:val="center"/>
          </w:tcPr>
          <w:p w14:paraId="5F7C8AEF" w14:textId="3BB9B2F5" w:rsidR="005E6C64" w:rsidRPr="00B90B6B" w:rsidRDefault="005E6C64" w:rsidP="0063508D">
            <w:pPr>
              <w:ind w:firstLine="0"/>
              <w:jc w:val="center"/>
              <w:rPr>
                <w:sz w:val="16"/>
              </w:rPr>
            </w:pPr>
            <w:r w:rsidRPr="00B90B6B">
              <w:rPr>
                <w:sz w:val="16"/>
              </w:rPr>
              <w:t>Compression ratio</w:t>
            </w:r>
          </w:p>
        </w:tc>
        <w:tc>
          <w:tcPr>
            <w:tcW w:w="2726" w:type="pct"/>
            <w:tcBorders>
              <w:top w:val="single" w:sz="4" w:space="0" w:color="auto"/>
              <w:bottom w:val="single" w:sz="4" w:space="0" w:color="auto"/>
            </w:tcBorders>
            <w:vAlign w:val="center"/>
          </w:tcPr>
          <w:p w14:paraId="47EAE0BE" w14:textId="296D9E47" w:rsidR="005E6C64" w:rsidRPr="00B90B6B" w:rsidRDefault="005E6C64" w:rsidP="0063508D">
            <w:pPr>
              <w:ind w:firstLine="0"/>
              <w:jc w:val="center"/>
              <w:rPr>
                <w:sz w:val="16"/>
              </w:rPr>
            </w:pPr>
            <w:r w:rsidRPr="00B90B6B">
              <w:rPr>
                <w:sz w:val="16"/>
              </w:rPr>
              <w:t>12</w:t>
            </w:r>
          </w:p>
        </w:tc>
      </w:tr>
      <w:tr w:rsidR="005E6C64" w:rsidRPr="00B90B6B" w14:paraId="7C125271" w14:textId="77777777" w:rsidTr="0063508D">
        <w:trPr>
          <w:jc w:val="center"/>
        </w:trPr>
        <w:tc>
          <w:tcPr>
            <w:tcW w:w="2274" w:type="pct"/>
            <w:tcBorders>
              <w:top w:val="single" w:sz="4" w:space="0" w:color="auto"/>
              <w:bottom w:val="single" w:sz="4" w:space="0" w:color="auto"/>
            </w:tcBorders>
            <w:vAlign w:val="center"/>
          </w:tcPr>
          <w:p w14:paraId="4D282CB5" w14:textId="56B6FB50" w:rsidR="005E6C64" w:rsidRPr="00B90B6B" w:rsidRDefault="00E15D6B" w:rsidP="0063508D">
            <w:pPr>
              <w:ind w:firstLine="0"/>
              <w:jc w:val="center"/>
              <w:rPr>
                <w:sz w:val="16"/>
              </w:rPr>
            </w:pPr>
            <w:r w:rsidRPr="00B90B6B">
              <w:rPr>
                <w:sz w:val="16"/>
              </w:rPr>
              <w:t>Clearance</w:t>
            </w:r>
            <w:r w:rsidR="005E6C64" w:rsidRPr="00B90B6B">
              <w:rPr>
                <w:sz w:val="16"/>
              </w:rPr>
              <w:t xml:space="preserve"> Height [mm]</w:t>
            </w:r>
          </w:p>
        </w:tc>
        <w:tc>
          <w:tcPr>
            <w:tcW w:w="2726" w:type="pct"/>
            <w:tcBorders>
              <w:top w:val="single" w:sz="4" w:space="0" w:color="auto"/>
              <w:bottom w:val="single" w:sz="4" w:space="0" w:color="auto"/>
            </w:tcBorders>
            <w:vAlign w:val="center"/>
          </w:tcPr>
          <w:p w14:paraId="19480C73" w14:textId="2B9B053C" w:rsidR="005E6C64" w:rsidRPr="00B90B6B" w:rsidRDefault="005E6C64" w:rsidP="0063508D">
            <w:pPr>
              <w:ind w:firstLine="0"/>
              <w:jc w:val="center"/>
              <w:rPr>
                <w:sz w:val="16"/>
              </w:rPr>
            </w:pPr>
            <w:r w:rsidRPr="00B90B6B">
              <w:rPr>
                <w:sz w:val="16"/>
              </w:rPr>
              <w:t>1</w:t>
            </w:r>
            <w:r w:rsidR="00EF796A">
              <w:rPr>
                <w:sz w:val="16"/>
              </w:rPr>
              <w:t>,</w:t>
            </w:r>
            <w:r w:rsidRPr="00B90B6B">
              <w:rPr>
                <w:sz w:val="16"/>
              </w:rPr>
              <w:t>45</w:t>
            </w:r>
          </w:p>
        </w:tc>
      </w:tr>
      <w:tr w:rsidR="005E6C64" w:rsidRPr="00B90B6B" w14:paraId="408FEF29" w14:textId="77777777" w:rsidTr="0063508D">
        <w:trPr>
          <w:jc w:val="center"/>
        </w:trPr>
        <w:tc>
          <w:tcPr>
            <w:tcW w:w="2274" w:type="pct"/>
            <w:tcBorders>
              <w:top w:val="single" w:sz="4" w:space="0" w:color="auto"/>
              <w:bottom w:val="single" w:sz="4" w:space="0" w:color="auto"/>
            </w:tcBorders>
            <w:vAlign w:val="center"/>
          </w:tcPr>
          <w:p w14:paraId="41087CF8" w14:textId="6EFFDA3A" w:rsidR="005E6C64" w:rsidRPr="00B90B6B" w:rsidRDefault="005E6C64" w:rsidP="0063508D">
            <w:pPr>
              <w:ind w:firstLine="0"/>
              <w:jc w:val="center"/>
              <w:rPr>
                <w:sz w:val="16"/>
              </w:rPr>
            </w:pPr>
            <w:r w:rsidRPr="00B90B6B">
              <w:rPr>
                <w:sz w:val="16"/>
              </w:rPr>
              <w:t>Connecting rod length [mm]</w:t>
            </w:r>
          </w:p>
        </w:tc>
        <w:tc>
          <w:tcPr>
            <w:tcW w:w="2726" w:type="pct"/>
            <w:tcBorders>
              <w:top w:val="single" w:sz="4" w:space="0" w:color="auto"/>
              <w:bottom w:val="single" w:sz="4" w:space="0" w:color="auto"/>
            </w:tcBorders>
            <w:vAlign w:val="center"/>
          </w:tcPr>
          <w:p w14:paraId="7DAF139A" w14:textId="70A65E32" w:rsidR="005E6C64" w:rsidRPr="00B90B6B" w:rsidRDefault="005E6C64" w:rsidP="0063508D">
            <w:pPr>
              <w:ind w:firstLine="0"/>
              <w:jc w:val="center"/>
              <w:rPr>
                <w:sz w:val="16"/>
              </w:rPr>
            </w:pPr>
            <w:r w:rsidRPr="00B90B6B">
              <w:rPr>
                <w:sz w:val="16"/>
              </w:rPr>
              <w:t>143</w:t>
            </w:r>
          </w:p>
        </w:tc>
      </w:tr>
    </w:tbl>
    <w:p w14:paraId="3BCA0744" w14:textId="4303260E" w:rsidR="00256794" w:rsidRDefault="004F7BBA" w:rsidP="00BF0F42">
      <w:r w:rsidRPr="00044D3A">
        <w:rPr>
          <w:noProof/>
          <w:lang w:val="it-IT" w:eastAsia="it-IT"/>
        </w:rPr>
        <w:lastRenderedPageBreak/>
        <w:drawing>
          <wp:anchor distT="0" distB="0" distL="114300" distR="114300" simplePos="0" relativeHeight="251659264" behindDoc="0" locked="0" layoutInCell="1" allowOverlap="1" wp14:anchorId="30380231" wp14:editId="689DF800">
            <wp:simplePos x="0" y="0"/>
            <wp:positionH relativeFrom="margin">
              <wp:posOffset>699770</wp:posOffset>
            </wp:positionH>
            <wp:positionV relativeFrom="paragraph">
              <wp:posOffset>1505585</wp:posOffset>
            </wp:positionV>
            <wp:extent cx="1571625" cy="1082040"/>
            <wp:effectExtent l="0" t="0" r="9525" b="3810"/>
            <wp:wrapTopAndBottom/>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1625" cy="1082040"/>
                    </a:xfrm>
                    <a:prstGeom prst="rect">
                      <a:avLst/>
                    </a:prstGeom>
                  </pic:spPr>
                </pic:pic>
              </a:graphicData>
            </a:graphic>
            <wp14:sizeRelH relativeFrom="margin">
              <wp14:pctWidth>0</wp14:pctWidth>
            </wp14:sizeRelH>
            <wp14:sizeRelV relativeFrom="margin">
              <wp14:pctHeight>0</wp14:pctHeight>
            </wp14:sizeRelV>
          </wp:anchor>
        </w:drawing>
      </w:r>
      <w:r w:rsidRPr="00044D3A">
        <w:rPr>
          <w:noProof/>
          <w:lang w:val="it-IT" w:eastAsia="it-IT"/>
        </w:rPr>
        <w:drawing>
          <wp:anchor distT="0" distB="0" distL="114300" distR="114300" simplePos="0" relativeHeight="251661312" behindDoc="0" locked="0" layoutInCell="1" allowOverlap="1" wp14:anchorId="6686989C" wp14:editId="6AD7B83B">
            <wp:simplePos x="0" y="0"/>
            <wp:positionH relativeFrom="margin">
              <wp:posOffset>2357120</wp:posOffset>
            </wp:positionH>
            <wp:positionV relativeFrom="paragraph">
              <wp:posOffset>1505585</wp:posOffset>
            </wp:positionV>
            <wp:extent cx="1323975" cy="1026795"/>
            <wp:effectExtent l="0" t="0" r="9525" b="1905"/>
            <wp:wrapTopAndBottom/>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975" cy="1026795"/>
                    </a:xfrm>
                    <a:prstGeom prst="rect">
                      <a:avLst/>
                    </a:prstGeom>
                  </pic:spPr>
                </pic:pic>
              </a:graphicData>
            </a:graphic>
            <wp14:sizeRelH relativeFrom="margin">
              <wp14:pctWidth>0</wp14:pctWidth>
            </wp14:sizeRelH>
            <wp14:sizeRelV relativeFrom="margin">
              <wp14:pctHeight>0</wp14:pctHeight>
            </wp14:sizeRelV>
          </wp:anchor>
        </w:drawing>
      </w:r>
      <w:r w:rsidR="00225860">
        <w:t>In addition to these constructive and geometric quantities, the following</w:t>
      </w:r>
      <w:r w:rsidR="00E15D6B">
        <w:t xml:space="preserve"> parameter</w:t>
      </w:r>
      <w:r w:rsidR="00482178">
        <w:t>s</w:t>
      </w:r>
      <w:r w:rsidR="00225860">
        <w:t xml:space="preserve"> </w:t>
      </w:r>
      <w:r w:rsidR="00E15D6B">
        <w:t>should</w:t>
      </w:r>
      <w:r w:rsidR="00225860">
        <w:t xml:space="preserve"> be set:</w:t>
      </w:r>
      <w:r w:rsidR="00092C64">
        <w:t xml:space="preserve"> </w:t>
      </w:r>
      <w:r w:rsidR="00482178">
        <w:t>(</w:t>
      </w:r>
      <w:proofErr w:type="spellStart"/>
      <w:r w:rsidR="00482178">
        <w:t>i</w:t>
      </w:r>
      <w:proofErr w:type="spellEnd"/>
      <w:r w:rsidR="00482178">
        <w:t>) i</w:t>
      </w:r>
      <w:r w:rsidR="00225860">
        <w:t>nitial average surface temperature of the top of the piston (</w:t>
      </w:r>
      <w:proofErr w:type="spellStart"/>
      <w:r w:rsidR="00225860">
        <w:t>T</w:t>
      </w:r>
      <w:r w:rsidR="00225860" w:rsidRPr="00225860">
        <w:rPr>
          <w:vertAlign w:val="subscript"/>
        </w:rPr>
        <w:t>piston</w:t>
      </w:r>
      <w:proofErr w:type="spellEnd"/>
      <w:r w:rsidR="00E15D6B">
        <w:rPr>
          <w:vertAlign w:val="subscript"/>
        </w:rPr>
        <w:t xml:space="preserve"> </w:t>
      </w:r>
      <w:r w:rsidR="00E15D6B">
        <w:t>set to 520 K</w:t>
      </w:r>
      <w:r w:rsidR="00225860">
        <w:t>)</w:t>
      </w:r>
      <w:r w:rsidR="00482178">
        <w:t>; (ii)</w:t>
      </w:r>
      <w:r w:rsidR="00E56BD5">
        <w:t xml:space="preserve"> </w:t>
      </w:r>
      <w:r w:rsidR="00482178">
        <w:t>i</w:t>
      </w:r>
      <w:r w:rsidR="00225860">
        <w:t>nitial average surface temperature of the cylinder liner (</w:t>
      </w:r>
      <w:proofErr w:type="spellStart"/>
      <w:r w:rsidR="00225860">
        <w:t>T</w:t>
      </w:r>
      <w:r w:rsidR="00225860" w:rsidRPr="00225860">
        <w:rPr>
          <w:vertAlign w:val="subscript"/>
        </w:rPr>
        <w:t>liner</w:t>
      </w:r>
      <w:proofErr w:type="spellEnd"/>
      <w:r w:rsidR="00E15D6B">
        <w:t xml:space="preserve"> set to 430 K</w:t>
      </w:r>
      <w:r w:rsidR="00225860">
        <w:t>);</w:t>
      </w:r>
      <w:r w:rsidR="00482178">
        <w:t xml:space="preserve"> (iii)</w:t>
      </w:r>
      <w:r w:rsidR="00E56BD5">
        <w:t xml:space="preserve"> </w:t>
      </w:r>
      <w:r w:rsidR="00482178">
        <w:t>a</w:t>
      </w:r>
      <w:r w:rsidR="00225860">
        <w:t>verage initial surface temperature of the head (</w:t>
      </w:r>
      <w:proofErr w:type="spellStart"/>
      <w:r w:rsidR="00225860">
        <w:t>T</w:t>
      </w:r>
      <w:r w:rsidR="00225860" w:rsidRPr="00225860">
        <w:rPr>
          <w:vertAlign w:val="subscript"/>
        </w:rPr>
        <w:t>head</w:t>
      </w:r>
      <w:proofErr w:type="spellEnd"/>
      <w:r w:rsidR="00E15D6B">
        <w:t xml:space="preserve"> set to 520 K</w:t>
      </w:r>
      <w:r w:rsidR="00225860">
        <w:t>);</w:t>
      </w:r>
      <w:r w:rsidR="00482178">
        <w:t xml:space="preserve"> (iv)</w:t>
      </w:r>
      <w:r w:rsidR="00E56BD5">
        <w:t xml:space="preserve"> </w:t>
      </w:r>
      <w:r w:rsidR="00482178">
        <w:t>a</w:t>
      </w:r>
      <w:r w:rsidR="00225860">
        <w:t>verage initial surface temperature of the intake valve</w:t>
      </w:r>
      <w:r w:rsidR="00482178">
        <w:t>s</w:t>
      </w:r>
      <w:r w:rsidR="00E56BD5">
        <w:t xml:space="preserve"> </w:t>
      </w:r>
      <w:r w:rsidR="00225860">
        <w:t>(</w:t>
      </w:r>
      <w:proofErr w:type="spellStart"/>
      <w:r w:rsidR="00225860">
        <w:t>T</w:t>
      </w:r>
      <w:r w:rsidR="00225860" w:rsidRPr="00225860">
        <w:rPr>
          <w:vertAlign w:val="subscript"/>
        </w:rPr>
        <w:t>intake</w:t>
      </w:r>
      <w:proofErr w:type="spellEnd"/>
      <w:r w:rsidR="00E15D6B">
        <w:t xml:space="preserve"> </w:t>
      </w:r>
      <w:r w:rsidR="00225860">
        <w:t xml:space="preserve">and </w:t>
      </w:r>
      <w:proofErr w:type="spellStart"/>
      <w:r w:rsidR="00225860">
        <w:t>T</w:t>
      </w:r>
      <w:r w:rsidR="00225860" w:rsidRPr="00225860">
        <w:rPr>
          <w:vertAlign w:val="subscript"/>
        </w:rPr>
        <w:t>exhaust</w:t>
      </w:r>
      <w:proofErr w:type="spellEnd"/>
      <w:r w:rsidR="00E15D6B">
        <w:t xml:space="preserve"> set to 520 K</w:t>
      </w:r>
      <w:r w:rsidR="00225860">
        <w:t>)</w:t>
      </w:r>
      <w:r w:rsidR="00E56BD5">
        <w:t xml:space="preserve">. </w:t>
      </w:r>
      <w:r w:rsidR="00AC2CE6" w:rsidRPr="00AC2CE6">
        <w:t>The valves</w:t>
      </w:r>
      <w:r w:rsidR="00482178">
        <w:t>,</w:t>
      </w:r>
      <w:r w:rsidR="00AC2CE6" w:rsidRPr="00AC2CE6">
        <w:t xml:space="preserve"> schematized </w:t>
      </w:r>
      <w:r w:rsidR="00AC2CE6" w:rsidRPr="00247AC9">
        <w:t xml:space="preserve">as in Figure </w:t>
      </w:r>
      <w:r w:rsidR="00247AC9">
        <w:t>2</w:t>
      </w:r>
      <w:r w:rsidR="00AC2CE6" w:rsidRPr="00247AC9">
        <w:t>, have been</w:t>
      </w:r>
      <w:r w:rsidR="00AC2CE6" w:rsidRPr="00AC2CE6">
        <w:t xml:space="preserve"> characterized </w:t>
      </w:r>
      <w:r w:rsidR="00D75E7E">
        <w:t>based on</w:t>
      </w:r>
      <w:r w:rsidR="00AC2CE6" w:rsidRPr="00AC2CE6">
        <w:t xml:space="preserve"> the type, the reference diameter</w:t>
      </w:r>
      <w:r w:rsidR="00D75E7E">
        <w:t>,</w:t>
      </w:r>
      <w:r w:rsidR="00AC2CE6" w:rsidRPr="00AC2CE6">
        <w:t xml:space="preserve"> and the lift and flow profile. In this application, in the absence of true data, typical profiles were used</w:t>
      </w:r>
      <w:r w:rsidR="008532D8">
        <w:t>. Fig</w:t>
      </w:r>
      <w:r w:rsidR="00247AC9">
        <w:t>ure</w:t>
      </w:r>
      <w:r w:rsidR="008532D8">
        <w:t xml:space="preserve"> </w:t>
      </w:r>
      <w:r w:rsidR="00247AC9">
        <w:t>3 (left</w:t>
      </w:r>
      <w:r w:rsidR="00482178">
        <w:t xml:space="preserve"> side</w:t>
      </w:r>
      <w:r w:rsidR="00247AC9">
        <w:t xml:space="preserve">) </w:t>
      </w:r>
      <w:r w:rsidR="00D75E7E">
        <w:t>shows</w:t>
      </w:r>
      <w:r w:rsidR="008532D8">
        <w:t xml:space="preserve"> the lift profile as </w:t>
      </w:r>
      <w:r w:rsidR="00D75E7E">
        <w:t xml:space="preserve">a </w:t>
      </w:r>
      <w:r w:rsidR="008532D8">
        <w:t>function of the crank angle</w:t>
      </w:r>
      <w:r w:rsidR="00482178">
        <w:t>, while</w:t>
      </w:r>
      <w:r w:rsidR="008532D8">
        <w:t xml:space="preserve"> </w:t>
      </w:r>
      <w:r w:rsidR="00247AC9">
        <w:t>Figure 3 (right</w:t>
      </w:r>
      <w:r w:rsidR="00482178">
        <w:t xml:space="preserve"> side</w:t>
      </w:r>
      <w:r w:rsidR="00247AC9">
        <w:t xml:space="preserve">) </w:t>
      </w:r>
      <w:r w:rsidR="00D75E7E">
        <w:t>shows</w:t>
      </w:r>
      <w:r w:rsidR="008532D8">
        <w:t xml:space="preserve"> the flow coefficient profile as </w:t>
      </w:r>
      <w:r w:rsidR="00D75E7E">
        <w:t xml:space="preserve">a </w:t>
      </w:r>
      <w:r w:rsidR="008532D8">
        <w:t xml:space="preserve">function of </w:t>
      </w:r>
      <w:r w:rsidR="00482178">
        <w:t xml:space="preserve">the </w:t>
      </w:r>
      <w:r w:rsidR="008532D8">
        <w:t xml:space="preserve">lift/diameter ratio. </w:t>
      </w:r>
      <w:bookmarkStart w:id="0" w:name="_Ref87281521"/>
    </w:p>
    <w:p w14:paraId="120217E1" w14:textId="6CB00061" w:rsidR="00AC2CE6" w:rsidRPr="008532D8" w:rsidRDefault="00AC2CE6" w:rsidP="008532D8">
      <w:pPr>
        <w:pStyle w:val="CaptionShort"/>
      </w:pPr>
      <w:r w:rsidRPr="00F47DDE">
        <w:rPr>
          <w:b/>
          <w:bCs/>
        </w:rPr>
        <w:t>Figur</w:t>
      </w:r>
      <w:r w:rsidR="008532D8" w:rsidRPr="00F47DDE">
        <w:rPr>
          <w:b/>
          <w:bCs/>
        </w:rPr>
        <w:t>e</w:t>
      </w:r>
      <w:r w:rsidRPr="00F47DDE">
        <w:rPr>
          <w:b/>
          <w:bCs/>
        </w:rPr>
        <w:t xml:space="preserve"> </w:t>
      </w:r>
      <w:bookmarkEnd w:id="0"/>
      <w:r w:rsidR="00F47DDE">
        <w:rPr>
          <w:b/>
          <w:bCs/>
        </w:rPr>
        <w:t>3.</w:t>
      </w:r>
      <w:r>
        <w:t xml:space="preserve"> </w:t>
      </w:r>
      <w:r w:rsidR="00256794" w:rsidRPr="008532D8">
        <w:t xml:space="preserve">Lift </w:t>
      </w:r>
      <w:r w:rsidR="008532D8">
        <w:t xml:space="preserve">(left) </w:t>
      </w:r>
      <w:r w:rsidR="00256794" w:rsidRPr="008532D8">
        <w:t xml:space="preserve">and flow coefficient profile </w:t>
      </w:r>
      <w:r w:rsidR="008532D8">
        <w:t>(right)</w:t>
      </w:r>
      <w:r w:rsidR="00EF796A">
        <w:t>.</w:t>
      </w:r>
    </w:p>
    <w:p w14:paraId="5930C53C" w14:textId="0B922B02" w:rsidR="002659D7" w:rsidRPr="002659D7" w:rsidRDefault="00BF0F42" w:rsidP="0063508D">
      <w:r>
        <w:t>I</w:t>
      </w:r>
      <w:r w:rsidRPr="00225860">
        <w:t xml:space="preserve">n </w:t>
      </w:r>
      <w:r w:rsidR="006D653B">
        <w:t>absence</w:t>
      </w:r>
      <w:r>
        <w:t xml:space="preserve"> of </w:t>
      </w:r>
      <w:r w:rsidRPr="00225860">
        <w:t xml:space="preserve">more detailed information, </w:t>
      </w:r>
      <w:r>
        <w:t>a</w:t>
      </w:r>
      <w:r w:rsidRPr="00225860">
        <w:t xml:space="preserve"> proportional type </w:t>
      </w:r>
      <w:r>
        <w:t xml:space="preserve">of </w:t>
      </w:r>
      <w:r w:rsidRPr="00BF0F42">
        <w:t xml:space="preserve">injectors </w:t>
      </w:r>
      <w:r w:rsidR="00D75E7E">
        <w:t>has</w:t>
      </w:r>
      <w:r w:rsidRPr="00BF0F42">
        <w:t xml:space="preserve"> been used.</w:t>
      </w:r>
      <w:r>
        <w:rPr>
          <w:b/>
        </w:rPr>
        <w:t xml:space="preserve"> </w:t>
      </w:r>
      <w:r w:rsidRPr="00225860">
        <w:t xml:space="preserve">This element continuously injects </w:t>
      </w:r>
      <w:r w:rsidR="006D653B">
        <w:t xml:space="preserve">fuel </w:t>
      </w:r>
      <w:r w:rsidRPr="00225860">
        <w:t xml:space="preserve">into the connected flow element, according to a </w:t>
      </w:r>
      <w:r w:rsidR="00D75E7E">
        <w:t>fuel/air</w:t>
      </w:r>
      <w:r w:rsidRPr="00225860">
        <w:t xml:space="preserve"> ratio </w:t>
      </w:r>
      <w:r w:rsidR="000B26D7">
        <w:t>provided</w:t>
      </w:r>
      <w:r w:rsidRPr="00225860">
        <w:t xml:space="preserve"> by the user. </w:t>
      </w:r>
      <w:r>
        <w:t>The software</w:t>
      </w:r>
      <w:r w:rsidRPr="00225860">
        <w:t xml:space="preserve"> automatically adjusts the refueling rate</w:t>
      </w:r>
      <w:r w:rsidR="000B26D7">
        <w:t>, keeping it</w:t>
      </w:r>
      <w:r w:rsidRPr="00225860">
        <w:t xml:space="preserve"> proportional to the instantaneous air mass at the injection point so that the air-fuel ratio is continuously controlled based on user-specified input. Other data to be fixed are the temperature of the mixture, the diameter of the holes, the angle of the spray</w:t>
      </w:r>
      <w:r w:rsidR="005C39CB">
        <w:t>,</w:t>
      </w:r>
      <w:r w:rsidRPr="00225860">
        <w:t xml:space="preserve"> and the fraction of liquid that evaporates. For all these parameters </w:t>
      </w:r>
      <w:r>
        <w:t>literature data have been used</w:t>
      </w:r>
      <w:r w:rsidRPr="00225860">
        <w:t>.</w:t>
      </w:r>
      <w:r>
        <w:t xml:space="preserve"> </w:t>
      </w:r>
      <w:r w:rsidR="00E15D6B" w:rsidRPr="00225860">
        <w:t>A</w:t>
      </w:r>
      <w:r w:rsidR="00225860" w:rsidRPr="00225860">
        <w:t xml:space="preserve"> S</w:t>
      </w:r>
      <w:r w:rsidR="0035562E">
        <w:t xml:space="preserve">park </w:t>
      </w:r>
      <w:r w:rsidR="00225860" w:rsidRPr="00225860">
        <w:t>I</w:t>
      </w:r>
      <w:r w:rsidR="0035562E">
        <w:t>gnition (SI)</w:t>
      </w:r>
      <w:r w:rsidR="00225860" w:rsidRPr="00225860">
        <w:t xml:space="preserve"> Wiebe combustion sub-model was applied to each cylinder of the engine. The SI Wiebe function is widely used to describe the rate of the mass of fuel burned in thermodynamic calculations. It is a primary combustion model commonly used in SI engines. The inp</w:t>
      </w:r>
      <w:r w:rsidR="00C63873">
        <w:t>uts to the combustion model are</w:t>
      </w:r>
      <w:r w:rsidR="000B26D7">
        <w:t>: (</w:t>
      </w:r>
      <w:proofErr w:type="spellStart"/>
      <w:r w:rsidR="000B26D7">
        <w:t>i</w:t>
      </w:r>
      <w:proofErr w:type="spellEnd"/>
      <w:r w:rsidR="000B26D7">
        <w:t>)</w:t>
      </w:r>
      <w:r w:rsidR="00225860" w:rsidRPr="00225860">
        <w:t xml:space="preserve"> the position of the combustion point where there is 50% of the burnt mass fraction (</w:t>
      </w:r>
      <w:r w:rsidR="00EF796A">
        <w:t>After the Top Dead Center-ATDC</w:t>
      </w:r>
      <w:r w:rsidR="00225860" w:rsidRPr="00225860">
        <w:t>)</w:t>
      </w:r>
      <w:r w:rsidR="000B26D7">
        <w:t>; (ii)</w:t>
      </w:r>
      <w:r w:rsidR="00225860" w:rsidRPr="00225860">
        <w:t xml:space="preserve"> the duration of combustion (from 10% to 90% of the burned mass fraction)</w:t>
      </w:r>
      <w:r w:rsidR="000B26D7">
        <w:t>; (iii)</w:t>
      </w:r>
      <w:r w:rsidR="00225860" w:rsidRPr="00225860">
        <w:t xml:space="preserve"> the exponent in the Wiebe function that controls the shape of the Wiebe curve. In our model, th</w:t>
      </w:r>
      <w:r w:rsidR="00AC7CEA">
        <w:t>e</w:t>
      </w:r>
      <w:r w:rsidR="00225860" w:rsidRPr="00225860">
        <w:t xml:space="preserve"> Wiebe parameters have been set at 5</w:t>
      </w:r>
      <w:r w:rsidR="0035562E" w:rsidRPr="0035562E">
        <w:rPr>
          <w:vertAlign w:val="superscript"/>
        </w:rPr>
        <w:t>o</w:t>
      </w:r>
      <w:r w:rsidR="00225860" w:rsidRPr="00225860">
        <w:t>, 15</w:t>
      </w:r>
      <w:r w:rsidR="0035562E" w:rsidRPr="0035562E">
        <w:rPr>
          <w:vertAlign w:val="superscript"/>
        </w:rPr>
        <w:t>o</w:t>
      </w:r>
      <w:r w:rsidR="00C63873">
        <w:rPr>
          <w:vertAlign w:val="superscript"/>
        </w:rPr>
        <w:t>,</w:t>
      </w:r>
      <w:r w:rsidR="00225860" w:rsidRPr="00225860">
        <w:t xml:space="preserve"> and 2</w:t>
      </w:r>
      <w:r w:rsidR="0035562E">
        <w:rPr>
          <w:vertAlign w:val="superscript"/>
        </w:rPr>
        <w:t>o</w:t>
      </w:r>
      <w:r w:rsidR="003F2BC1">
        <w:t xml:space="preserve">, </w:t>
      </w:r>
      <w:r w:rsidR="0035562E">
        <w:t>r</w:t>
      </w:r>
      <w:r w:rsidR="00225860" w:rsidRPr="00225860">
        <w:t>espectively</w:t>
      </w:r>
      <w:r w:rsidR="009B5CD7">
        <w:t xml:space="preserve">. </w:t>
      </w:r>
      <w:r w:rsidR="004F59F3" w:rsidRPr="004F59F3">
        <w:t xml:space="preserve">A modified form of the Chen-Flynn correlation is used </w:t>
      </w:r>
      <w:r w:rsidR="004F59F3" w:rsidRPr="00F47DDE">
        <w:t>to model friction in</w:t>
      </w:r>
      <w:r w:rsidR="004F59F3" w:rsidRPr="004F59F3">
        <w:t xml:space="preserve"> the </w:t>
      </w:r>
      <w:r w:rsidR="004F59F3">
        <w:t>simulation model.</w:t>
      </w:r>
      <w:r w:rsidR="004F59F3" w:rsidRPr="004F59F3">
        <w:t xml:space="preserve"> The correlation has</w:t>
      </w:r>
      <w:r w:rsidR="002659D7">
        <w:t xml:space="preserve"> four </w:t>
      </w:r>
      <w:r w:rsidR="00242510">
        <w:t>terms</w:t>
      </w:r>
      <w:r w:rsidR="002659D7">
        <w:t xml:space="preserve"> for</w:t>
      </w:r>
      <w:r w:rsidR="0042593B">
        <w:t xml:space="preserve"> </w:t>
      </w:r>
      <w:r w:rsidR="002659D7">
        <w:t>accessory friction (a constant term);</w:t>
      </w:r>
      <w:r w:rsidR="0042593B">
        <w:t xml:space="preserve"> </w:t>
      </w:r>
      <w:r w:rsidR="002659D7">
        <w:t>l</w:t>
      </w:r>
      <w:r w:rsidR="002659D7" w:rsidRPr="004F59F3">
        <w:t>oad dependence</w:t>
      </w:r>
      <w:r w:rsidR="002659D7">
        <w:t>,</w:t>
      </w:r>
      <w:r w:rsidR="002659D7" w:rsidRPr="004F59F3">
        <w:t xml:space="preserve"> </w:t>
      </w:r>
      <w:r w:rsidR="004F59F3" w:rsidRPr="004F59F3">
        <w:t xml:space="preserve">a term </w:t>
      </w:r>
      <w:r w:rsidR="00D02770">
        <w:t>that</w:t>
      </w:r>
      <w:r w:rsidR="004F59F3" w:rsidRPr="004F59F3">
        <w:t xml:space="preserve"> vari</w:t>
      </w:r>
      <w:r w:rsidR="002659D7">
        <w:t>es with peak cylinder pressure;</w:t>
      </w:r>
      <w:r w:rsidR="0042593B">
        <w:t xml:space="preserve"> </w:t>
      </w:r>
      <w:r w:rsidR="002659D7" w:rsidRPr="004F59F3">
        <w:t>hydrodynamic friction</w:t>
      </w:r>
      <w:r w:rsidR="002659D7">
        <w:t xml:space="preserve">, </w:t>
      </w:r>
      <w:r w:rsidR="004F59F3" w:rsidRPr="004F59F3">
        <w:t>a third term linearly dependent</w:t>
      </w:r>
      <w:r w:rsidR="002659D7">
        <w:t xml:space="preserve"> on mean piston velocity;</w:t>
      </w:r>
      <w:r w:rsidR="0042593B">
        <w:t xml:space="preserve"> </w:t>
      </w:r>
      <w:r w:rsidR="002659D7" w:rsidRPr="004F59F3">
        <w:t>windage losses</w:t>
      </w:r>
      <w:r w:rsidR="002659D7">
        <w:t xml:space="preserve">, </w:t>
      </w:r>
      <w:r w:rsidR="004F59F3" w:rsidRPr="004F59F3">
        <w:t>and a fourth term quadr</w:t>
      </w:r>
      <w:r w:rsidR="002659D7">
        <w:t>atic with mean piston velocity</w:t>
      </w:r>
      <w:r w:rsidR="004F59F3" w:rsidRPr="004F59F3">
        <w:t>.</w:t>
      </w:r>
      <w:r w:rsidR="00142F3C">
        <w:t xml:space="preserve"> </w:t>
      </w:r>
      <w:r w:rsidR="002659D7">
        <w:t xml:space="preserve">The overall formula is reported </w:t>
      </w:r>
      <w:r w:rsidR="008117BA">
        <w:t>by eq. (1):</w:t>
      </w:r>
    </w:p>
    <w:p w14:paraId="6D929C14" w14:textId="2B002466" w:rsidR="004F59F3" w:rsidRPr="004F59F3" w:rsidRDefault="002E2F59" w:rsidP="004F7BBA">
      <w:pPr>
        <w:pStyle w:val="Equation"/>
        <w:ind w:left="0"/>
      </w:pPr>
      <m:oMath>
        <m:r>
          <w:rPr>
            <w:rFonts w:ascii="Cambria Math" w:hAnsi="Cambria Math"/>
            <w:noProof/>
          </w:rPr>
          <m:t>FM</m:t>
        </m:r>
        <m:r>
          <m:rPr>
            <m:nor/>
          </m:rPr>
          <w:rPr>
            <w:i/>
            <w:noProof/>
          </w:rPr>
          <m:t>EP=</m:t>
        </m:r>
        <m:sSub>
          <m:sSubPr>
            <m:ctrlPr>
              <w:rPr>
                <w:rFonts w:ascii="Cambria Math" w:hAnsi="Cambria Math"/>
                <w:bCs/>
                <w:i/>
                <w:noProof/>
              </w:rPr>
            </m:ctrlPr>
          </m:sSubPr>
          <m:e>
            <m:r>
              <m:rPr>
                <m:nor/>
              </m:rPr>
              <w:rPr>
                <w:i/>
                <w:noProof/>
              </w:rPr>
              <m:t>A</m:t>
            </m:r>
            <m:ctrlPr>
              <w:rPr>
                <w:rFonts w:ascii="Cambria Math" w:hAnsi="Cambria Math"/>
                <w:i/>
                <w:noProof/>
              </w:rPr>
            </m:ctrlPr>
          </m:e>
          <m:sub>
            <m:r>
              <m:rPr>
                <m:nor/>
              </m:rPr>
              <w:rPr>
                <w:i/>
                <w:noProof/>
              </w:rPr>
              <m:t>cf</m:t>
            </m:r>
          </m:sub>
        </m:sSub>
        <m:r>
          <m:rPr>
            <m:nor/>
          </m:rPr>
          <w:rPr>
            <w:i/>
            <w:noProof/>
          </w:rPr>
          <m:t>+</m:t>
        </m:r>
        <m:f>
          <m:fPr>
            <m:ctrlPr>
              <w:rPr>
                <w:rFonts w:ascii="Cambria Math" w:hAnsi="Cambria Math"/>
                <w:bCs/>
                <w:i/>
                <w:noProof/>
              </w:rPr>
            </m:ctrlPr>
          </m:fPr>
          <m:num>
            <m:r>
              <m:rPr>
                <m:nor/>
              </m:rPr>
              <w:rPr>
                <w:i/>
                <w:noProof/>
              </w:rPr>
              <m:t>1</m:t>
            </m:r>
            <m:ctrlPr>
              <w:rPr>
                <w:rFonts w:ascii="Cambria Math" w:hAnsi="Cambria Math"/>
                <w:i/>
                <w:noProof/>
              </w:rPr>
            </m:ctrlPr>
          </m:num>
          <m:den>
            <m:r>
              <m:rPr>
                <m:nor/>
              </m:rPr>
              <w:rPr>
                <w:i/>
                <w:noProof/>
              </w:rPr>
              <m:t>ncyl</m:t>
            </m:r>
          </m:den>
        </m:f>
        <m:nary>
          <m:naryPr>
            <m:chr m:val="∑"/>
            <m:limLoc m:val="undOvr"/>
            <m:ctrlPr>
              <w:rPr>
                <w:rFonts w:ascii="Cambria Math" w:hAnsi="Cambria Math"/>
                <w:bCs/>
                <w:i/>
                <w:noProof/>
              </w:rPr>
            </m:ctrlPr>
          </m:naryPr>
          <m:sub>
            <m:r>
              <m:rPr>
                <m:nor/>
              </m:rPr>
              <w:rPr>
                <w:i/>
                <w:noProof/>
              </w:rPr>
              <m:t>i=1</m:t>
            </m:r>
          </m:sub>
          <m:sup>
            <m:r>
              <m:rPr>
                <m:nor/>
              </m:rPr>
              <w:rPr>
                <w:i/>
                <w:noProof/>
              </w:rPr>
              <m:t>ncyl</m:t>
            </m:r>
          </m:sup>
          <m:e>
            <m:sSub>
              <m:sSubPr>
                <m:ctrlPr>
                  <w:rPr>
                    <w:rFonts w:ascii="Cambria Math" w:hAnsi="Cambria Math"/>
                    <w:bCs/>
                    <w:i/>
                    <w:noProof/>
                  </w:rPr>
                </m:ctrlPr>
              </m:sSubPr>
              <m:e>
                <m:r>
                  <w:rPr>
                    <w:rFonts w:ascii="Cambria Math" w:hAnsi="Cambria Math"/>
                    <w:noProof/>
                  </w:rPr>
                  <m:t xml:space="preserve"> </m:t>
                </m:r>
                <m:sSub>
                  <m:sSubPr>
                    <m:ctrlPr>
                      <w:rPr>
                        <w:rFonts w:ascii="Cambria Math" w:hAnsi="Cambria Math"/>
                        <w:bCs/>
                        <w:i/>
                        <w:noProof/>
                      </w:rPr>
                    </m:ctrlPr>
                  </m:sSubPr>
                  <m:e>
                    <m:r>
                      <m:rPr>
                        <m:nor/>
                      </m:rPr>
                      <w:rPr>
                        <w:i/>
                        <w:noProof/>
                      </w:rPr>
                      <m:t>B</m:t>
                    </m:r>
                    <m:ctrlPr>
                      <w:rPr>
                        <w:rFonts w:ascii="Cambria Math" w:hAnsi="Cambria Math"/>
                        <w:i/>
                        <w:noProof/>
                      </w:rPr>
                    </m:ctrlPr>
                  </m:e>
                  <m:sub>
                    <m:r>
                      <m:rPr>
                        <m:nor/>
                      </m:rPr>
                      <w:rPr>
                        <w:i/>
                        <w:noProof/>
                      </w:rPr>
                      <m:t>cf</m:t>
                    </m:r>
                  </m:sub>
                </m:sSub>
                <m:r>
                  <w:rPr>
                    <w:rFonts w:ascii="Cambria Math" w:hAnsi="Cambria Math"/>
                    <w:noProof/>
                  </w:rPr>
                  <m:t xml:space="preserve">  </m:t>
                </m:r>
                <m:d>
                  <m:dPr>
                    <m:ctrlPr>
                      <w:rPr>
                        <w:rFonts w:ascii="Cambria Math" w:hAnsi="Cambria Math"/>
                        <w:i/>
                        <w:noProof/>
                      </w:rPr>
                    </m:ctrlPr>
                  </m:dPr>
                  <m:e>
                    <m:sSub>
                      <m:sSubPr>
                        <m:ctrlPr>
                          <w:rPr>
                            <w:rFonts w:ascii="Cambria Math" w:hAnsi="Cambria Math"/>
                            <w:bCs/>
                            <w:i/>
                            <w:noProof/>
                          </w:rPr>
                        </m:ctrlPr>
                      </m:sSubPr>
                      <m:e>
                        <m:r>
                          <m:rPr>
                            <m:nor/>
                          </m:rPr>
                          <w:rPr>
                            <w:i/>
                            <w:noProof/>
                          </w:rPr>
                          <m:t>p</m:t>
                        </m:r>
                        <m:ctrlPr>
                          <w:rPr>
                            <w:rFonts w:ascii="Cambria Math" w:hAnsi="Cambria Math"/>
                            <w:i/>
                            <w:noProof/>
                          </w:rPr>
                        </m:ctrlPr>
                      </m:e>
                      <m:sub>
                        <m:r>
                          <m:rPr>
                            <m:nor/>
                          </m:rPr>
                          <w:rPr>
                            <w:i/>
                            <w:noProof/>
                          </w:rPr>
                          <m:t>max</m:t>
                        </m:r>
                      </m:sub>
                    </m:sSub>
                  </m:e>
                </m:d>
              </m:e>
              <m:sub>
                <m:r>
                  <m:rPr>
                    <m:nor/>
                  </m:rPr>
                  <w:rPr>
                    <w:i/>
                    <w:noProof/>
                  </w:rPr>
                  <m:t>i</m:t>
                </m:r>
              </m:sub>
            </m:sSub>
            <m:r>
              <m:rPr>
                <m:nor/>
              </m:rPr>
              <w:rPr>
                <w:i/>
                <w:noProof/>
              </w:rPr>
              <m:t>+</m:t>
            </m:r>
            <m:sSub>
              <m:sSubPr>
                <m:ctrlPr>
                  <w:rPr>
                    <w:rFonts w:ascii="Cambria Math" w:hAnsi="Cambria Math"/>
                    <w:bCs/>
                    <w:i/>
                    <w:noProof/>
                  </w:rPr>
                </m:ctrlPr>
              </m:sSubPr>
              <m:e>
                <m:r>
                  <m:rPr>
                    <m:nor/>
                  </m:rPr>
                  <w:rPr>
                    <w:i/>
                    <w:noProof/>
                  </w:rPr>
                  <m:t>C</m:t>
                </m:r>
                <m:ctrlPr>
                  <w:rPr>
                    <w:rFonts w:ascii="Cambria Math" w:hAnsi="Cambria Math"/>
                    <w:i/>
                    <w:noProof/>
                  </w:rPr>
                </m:ctrlPr>
              </m:e>
              <m:sub>
                <m:r>
                  <m:rPr>
                    <m:nor/>
                  </m:rPr>
                  <w:rPr>
                    <w:i/>
                    <w:noProof/>
                  </w:rPr>
                  <m:t>cf</m:t>
                </m:r>
              </m:sub>
            </m:sSub>
            <m:sSub>
              <m:sSubPr>
                <m:ctrlPr>
                  <w:rPr>
                    <w:rFonts w:ascii="Cambria Math" w:hAnsi="Cambria Math"/>
                    <w:bCs/>
                    <w:i/>
                    <w:noProof/>
                  </w:rPr>
                </m:ctrlPr>
              </m:sSubPr>
              <m:e>
                <m:d>
                  <m:dPr>
                    <m:ctrlPr>
                      <w:rPr>
                        <w:rFonts w:ascii="Cambria Math" w:hAnsi="Cambria Math"/>
                        <w:i/>
                        <w:noProof/>
                      </w:rPr>
                    </m:ctrlPr>
                  </m:dPr>
                  <m:e>
                    <m:sSub>
                      <m:sSubPr>
                        <m:ctrlPr>
                          <w:rPr>
                            <w:rFonts w:ascii="Cambria Math" w:hAnsi="Cambria Math"/>
                            <w:bCs/>
                            <w:i/>
                            <w:noProof/>
                          </w:rPr>
                        </m:ctrlPr>
                      </m:sSubPr>
                      <m:e>
                        <m:r>
                          <m:rPr>
                            <m:nor/>
                          </m:rPr>
                          <w:rPr>
                            <w:i/>
                            <w:noProof/>
                          </w:rPr>
                          <m:t>S</m:t>
                        </m:r>
                        <m:ctrlPr>
                          <w:rPr>
                            <w:rFonts w:ascii="Cambria Math" w:hAnsi="Cambria Math"/>
                            <w:i/>
                            <w:noProof/>
                          </w:rPr>
                        </m:ctrlPr>
                      </m:e>
                      <m:sub>
                        <m:r>
                          <m:rPr>
                            <m:nor/>
                          </m:rPr>
                          <w:rPr>
                            <w:i/>
                            <w:noProof/>
                          </w:rPr>
                          <m:t>fact</m:t>
                        </m:r>
                      </m:sub>
                    </m:sSub>
                  </m:e>
                </m:d>
                <m:ctrlPr>
                  <w:rPr>
                    <w:rFonts w:ascii="Cambria Math" w:hAnsi="Cambria Math"/>
                    <w:i/>
                    <w:noProof/>
                  </w:rPr>
                </m:ctrlPr>
              </m:e>
              <m:sub>
                <m:r>
                  <m:rPr>
                    <m:nor/>
                  </m:rPr>
                  <w:rPr>
                    <w:i/>
                    <w:noProof/>
                  </w:rPr>
                  <m:t>i</m:t>
                </m:r>
              </m:sub>
            </m:sSub>
            <m:r>
              <m:rPr>
                <m:nor/>
              </m:rPr>
              <w:rPr>
                <w:i/>
                <w:noProof/>
              </w:rPr>
              <m:t>+</m:t>
            </m:r>
            <m:sSub>
              <m:sSubPr>
                <m:ctrlPr>
                  <w:rPr>
                    <w:rFonts w:ascii="Cambria Math" w:hAnsi="Cambria Math"/>
                    <w:bCs/>
                    <w:i/>
                    <w:noProof/>
                  </w:rPr>
                </m:ctrlPr>
              </m:sSubPr>
              <m:e>
                <m:r>
                  <m:rPr>
                    <m:nor/>
                  </m:rPr>
                  <w:rPr>
                    <w:i/>
                    <w:noProof/>
                  </w:rPr>
                  <m:t>Q</m:t>
                </m:r>
                <m:ctrlPr>
                  <w:rPr>
                    <w:rFonts w:ascii="Cambria Math" w:hAnsi="Cambria Math"/>
                    <w:i/>
                    <w:noProof/>
                  </w:rPr>
                </m:ctrlPr>
              </m:e>
              <m:sub>
                <m:r>
                  <m:rPr>
                    <m:nor/>
                  </m:rPr>
                  <w:rPr>
                    <w:i/>
                    <w:noProof/>
                  </w:rPr>
                  <m:t>cf</m:t>
                </m:r>
              </m:sub>
            </m:sSub>
            <m:sSup>
              <m:sSupPr>
                <m:ctrlPr>
                  <w:rPr>
                    <w:rFonts w:ascii="Cambria Math" w:hAnsi="Cambria Math"/>
                    <w:bCs/>
                    <w:i/>
                    <w:noProof/>
                  </w:rPr>
                </m:ctrlPr>
              </m:sSupPr>
              <m:e>
                <m:sSub>
                  <m:sSubPr>
                    <m:ctrlPr>
                      <w:rPr>
                        <w:rFonts w:ascii="Cambria Math" w:hAnsi="Cambria Math"/>
                        <w:bCs/>
                        <w:i/>
                        <w:noProof/>
                      </w:rPr>
                    </m:ctrlPr>
                  </m:sSubPr>
                  <m:e>
                    <m:d>
                      <m:dPr>
                        <m:ctrlPr>
                          <w:rPr>
                            <w:rFonts w:ascii="Cambria Math" w:hAnsi="Cambria Math"/>
                            <w:i/>
                            <w:noProof/>
                          </w:rPr>
                        </m:ctrlPr>
                      </m:dPr>
                      <m:e>
                        <m:sSub>
                          <m:sSubPr>
                            <m:ctrlPr>
                              <w:rPr>
                                <w:rFonts w:ascii="Cambria Math" w:hAnsi="Cambria Math"/>
                                <w:bCs/>
                                <w:i/>
                                <w:noProof/>
                              </w:rPr>
                            </m:ctrlPr>
                          </m:sSubPr>
                          <m:e>
                            <m:r>
                              <m:rPr>
                                <m:nor/>
                              </m:rPr>
                              <w:rPr>
                                <w:i/>
                                <w:noProof/>
                              </w:rPr>
                              <m:t>S</m:t>
                            </m:r>
                            <m:ctrlPr>
                              <w:rPr>
                                <w:rFonts w:ascii="Cambria Math" w:hAnsi="Cambria Math"/>
                                <w:i/>
                                <w:noProof/>
                              </w:rPr>
                            </m:ctrlPr>
                          </m:e>
                          <m:sub>
                            <m:r>
                              <m:rPr>
                                <m:nor/>
                              </m:rPr>
                              <w:rPr>
                                <w:i/>
                                <w:noProof/>
                              </w:rPr>
                              <m:t>fact</m:t>
                            </m:r>
                          </m:sub>
                        </m:sSub>
                      </m:e>
                    </m:d>
                  </m:e>
                  <m:sub>
                    <m:r>
                      <m:rPr>
                        <m:nor/>
                      </m:rPr>
                      <w:rPr>
                        <w:i/>
                        <w:noProof/>
                      </w:rPr>
                      <m:t>i</m:t>
                    </m:r>
                  </m:sub>
                </m:sSub>
              </m:e>
              <m:sup>
                <m:r>
                  <m:rPr>
                    <m:nor/>
                  </m:rPr>
                  <w:rPr>
                    <w:i/>
                    <w:noProof/>
                  </w:rPr>
                  <m:t>2</m:t>
                </m:r>
              </m:sup>
            </m:sSup>
          </m:e>
        </m:nary>
      </m:oMath>
      <w:r w:rsidR="000E61F4">
        <w:rPr>
          <w:bCs/>
          <w:noProof/>
        </w:rPr>
        <w:t xml:space="preserve">                               </w:t>
      </w:r>
      <w:r w:rsidR="004F7BBA">
        <w:rPr>
          <w:bCs/>
          <w:noProof/>
        </w:rPr>
        <w:t xml:space="preserve">         </w:t>
      </w:r>
      <w:r w:rsidR="000E61F4">
        <w:rPr>
          <w:bCs/>
          <w:noProof/>
        </w:rPr>
        <w:t xml:space="preserve">   </w:t>
      </w:r>
      <w:r w:rsidR="000E61F4">
        <w:t>(1)</w:t>
      </w:r>
    </w:p>
    <w:p w14:paraId="58E09244" w14:textId="51B39B5F" w:rsidR="004F59F3" w:rsidRPr="004F59F3" w:rsidRDefault="000A48BF" w:rsidP="00B90B6B">
      <w:pPr>
        <w:pStyle w:val="NoindentNormal"/>
      </w:pPr>
      <w:r>
        <w:t>w</w:t>
      </w:r>
      <w:r w:rsidR="002659D7">
        <w:t>here</w:t>
      </w:r>
      <w:r>
        <w:t>:</w:t>
      </w:r>
      <w:r w:rsidR="002659D7">
        <w:t xml:space="preserve"> </w:t>
      </w:r>
      <w:r>
        <w:t xml:space="preserve">all </w:t>
      </w:r>
      <w:r w:rsidR="002659D7">
        <w:t>the coefficient</w:t>
      </w:r>
      <w:r>
        <w:t>s</w:t>
      </w:r>
      <w:r w:rsidR="002659D7">
        <w:t xml:space="preserve"> are reported</w:t>
      </w:r>
      <w:r w:rsidR="00247AC9">
        <w:t xml:space="preserve"> in Table </w:t>
      </w:r>
      <w:r w:rsidR="005C39CB">
        <w:t>3</w:t>
      </w:r>
      <w:r w:rsidR="002659D7">
        <w:t xml:space="preserve">, </w:t>
      </w:r>
      <w:proofErr w:type="spellStart"/>
      <w:r w:rsidR="002659D7">
        <w:t>p</w:t>
      </w:r>
      <w:r w:rsidR="002659D7" w:rsidRPr="002659D7">
        <w:rPr>
          <w:vertAlign w:val="subscript"/>
        </w:rPr>
        <w:t>max</w:t>
      </w:r>
      <w:proofErr w:type="spellEnd"/>
      <w:r w:rsidR="002659D7">
        <w:t xml:space="preserve"> is the m</w:t>
      </w:r>
      <w:r w:rsidR="002659D7" w:rsidRPr="002659D7">
        <w:t>aximum cylinder pressure</w:t>
      </w:r>
      <w:r w:rsidR="002659D7">
        <w:t xml:space="preserve">, </w:t>
      </w:r>
      <w:proofErr w:type="spellStart"/>
      <w:r w:rsidR="002659D7" w:rsidRPr="000A48BF">
        <w:rPr>
          <w:i/>
          <w:iCs/>
        </w:rPr>
        <w:t>n</w:t>
      </w:r>
      <w:r w:rsidR="002659D7" w:rsidRPr="000A48BF">
        <w:rPr>
          <w:i/>
          <w:iCs/>
          <w:vertAlign w:val="subscript"/>
        </w:rPr>
        <w:t>cyl</w:t>
      </w:r>
      <w:proofErr w:type="spellEnd"/>
      <w:r w:rsidR="002659D7" w:rsidRPr="000A48BF">
        <w:rPr>
          <w:vertAlign w:val="subscript"/>
        </w:rPr>
        <w:t xml:space="preserve"> </w:t>
      </w:r>
      <w:r w:rsidR="002659D7">
        <w:t xml:space="preserve">is the number of </w:t>
      </w:r>
      <w:r w:rsidR="00C63873">
        <w:t>cylinders</w:t>
      </w:r>
      <w:r w:rsidR="002659D7">
        <w:t xml:space="preserve"> and </w:t>
      </w:r>
      <w:proofErr w:type="spellStart"/>
      <w:r w:rsidR="002659D7">
        <w:t>S</w:t>
      </w:r>
      <w:r w:rsidR="002659D7" w:rsidRPr="002659D7">
        <w:rPr>
          <w:vertAlign w:val="subscript"/>
        </w:rPr>
        <w:t>fact</w:t>
      </w:r>
      <w:proofErr w:type="spellEnd"/>
      <w:r w:rsidR="002659D7">
        <w:t xml:space="preserve"> is obtained according to </w:t>
      </w:r>
      <w:r>
        <w:t>eq. (2)</w:t>
      </w:r>
      <w:r w:rsidR="002659D7">
        <w:t>:</w:t>
      </w:r>
    </w:p>
    <w:p w14:paraId="3AAB7358" w14:textId="72B43A13" w:rsidR="004F59F3" w:rsidRPr="002659D7" w:rsidRDefault="00420171" w:rsidP="00B90B6B">
      <w:pPr>
        <w:rPr>
          <w:noProof/>
        </w:rPr>
      </w:pPr>
      <m:oMath>
        <m:sSub>
          <m:sSubPr>
            <m:ctrlPr>
              <w:rPr>
                <w:rFonts w:ascii="Cambria Math" w:hAnsi="Cambria Math"/>
                <w:bCs/>
                <w:i/>
                <w:iCs/>
                <w:noProof/>
              </w:rPr>
            </m:ctrlPr>
          </m:sSubPr>
          <m:e>
            <m:r>
              <m:rPr>
                <m:nor/>
              </m:rPr>
              <w:rPr>
                <w:i/>
                <w:iCs/>
                <w:noProof/>
              </w:rPr>
              <m:t>S</m:t>
            </m:r>
          </m:e>
          <m:sub>
            <m:r>
              <m:rPr>
                <m:nor/>
              </m:rPr>
              <w:rPr>
                <w:i/>
                <w:iCs/>
                <w:noProof/>
              </w:rPr>
              <m:t>fact</m:t>
            </m:r>
          </m:sub>
        </m:sSub>
        <m:r>
          <m:rPr>
            <m:nor/>
          </m:rPr>
          <w:rPr>
            <w:i/>
            <w:iCs/>
            <w:noProof/>
          </w:rPr>
          <m:t>=RPM ∙stroke/2</m:t>
        </m:r>
      </m:oMath>
      <w:r w:rsidR="000E61F4" w:rsidRPr="002E2F59">
        <w:rPr>
          <w:i/>
          <w:iCs/>
          <w:noProof/>
        </w:rPr>
        <w:t xml:space="preserve">      </w:t>
      </w:r>
      <w:r w:rsidR="000E61F4" w:rsidRPr="002E2F59">
        <w:t xml:space="preserve">                                                                            </w:t>
      </w:r>
      <w:r w:rsidR="00142F3C">
        <w:t xml:space="preserve">           </w:t>
      </w:r>
      <w:r w:rsidR="000E61F4" w:rsidRPr="002E2F59">
        <w:t xml:space="preserve">     </w:t>
      </w:r>
      <w:r w:rsidR="000E61F4">
        <w:t>(2)</w:t>
      </w:r>
    </w:p>
    <w:p w14:paraId="1BA3B608" w14:textId="4F4C7BB0" w:rsidR="002659D7" w:rsidRDefault="000A48BF" w:rsidP="00B90B6B">
      <w:pPr>
        <w:pStyle w:val="NoindentNormal"/>
      </w:pPr>
      <w:r>
        <w:t>w</w:t>
      </w:r>
      <w:r w:rsidR="002659D7" w:rsidRPr="002659D7">
        <w:t xml:space="preserve">here </w:t>
      </w:r>
      <w:r w:rsidR="002659D7" w:rsidRPr="00D02770">
        <w:rPr>
          <w:i/>
          <w:iCs/>
        </w:rPr>
        <w:t>stroke</w:t>
      </w:r>
      <w:r w:rsidR="002659D7" w:rsidRPr="002659D7">
        <w:t xml:space="preserve"> is the cylinder stroke and RPM </w:t>
      </w:r>
      <w:r w:rsidR="00D75E7E">
        <w:t>is</w:t>
      </w:r>
      <w:r w:rsidR="002659D7" w:rsidRPr="002659D7">
        <w:t xml:space="preserve"> the </w:t>
      </w:r>
      <w:r w:rsidR="007A645C">
        <w:t xml:space="preserve">engine speed </w:t>
      </w:r>
      <w:r w:rsidR="002659D7" w:rsidRPr="002659D7">
        <w:t xml:space="preserve">revolution for </w:t>
      </w:r>
      <w:r w:rsidR="00D02770">
        <w:t xml:space="preserve">a </w:t>
      </w:r>
      <w:r w:rsidR="002659D7" w:rsidRPr="002659D7">
        <w:t xml:space="preserve">minute. </w:t>
      </w:r>
    </w:p>
    <w:p w14:paraId="204FF916" w14:textId="1A27AE1F" w:rsidR="00B24230" w:rsidRPr="00B24230" w:rsidRDefault="00B24230" w:rsidP="00B24230">
      <w:pPr>
        <w:pStyle w:val="CaptionLong"/>
        <w:jc w:val="center"/>
      </w:pPr>
      <w:r w:rsidRPr="00B24230">
        <w:rPr>
          <w:b/>
        </w:rPr>
        <w:t xml:space="preserve">Table </w:t>
      </w:r>
      <w:r w:rsidRPr="00B24230">
        <w:rPr>
          <w:b/>
        </w:rPr>
        <w:fldChar w:fldCharType="begin"/>
      </w:r>
      <w:r w:rsidRPr="00B24230">
        <w:rPr>
          <w:b/>
        </w:rPr>
        <w:instrText xml:space="preserve"> SEQ Table \* ARABIC </w:instrText>
      </w:r>
      <w:r w:rsidRPr="00B24230">
        <w:rPr>
          <w:b/>
        </w:rPr>
        <w:fldChar w:fldCharType="separate"/>
      </w:r>
      <w:r w:rsidR="002C50A2">
        <w:rPr>
          <w:b/>
          <w:noProof/>
        </w:rPr>
        <w:t>3</w:t>
      </w:r>
      <w:r w:rsidRPr="00B24230">
        <w:rPr>
          <w:b/>
        </w:rPr>
        <w:fldChar w:fldCharType="end"/>
      </w:r>
      <w:r>
        <w:rPr>
          <w:b/>
        </w:rPr>
        <w:t xml:space="preserve">. </w:t>
      </w:r>
      <w:r w:rsidR="00D75E7E">
        <w:t>The coefficient</w:t>
      </w:r>
      <w:r>
        <w:t xml:space="preserve"> for the </w:t>
      </w:r>
      <w:r w:rsidRPr="004F59F3">
        <w:t>modified form of the Chen-Flynn correlation</w:t>
      </w:r>
    </w:p>
    <w:tbl>
      <w:tblPr>
        <w:tblStyle w:val="Grigliatabella"/>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261"/>
        <w:gridCol w:w="2211"/>
      </w:tblGrid>
      <w:tr w:rsidR="004B6B77" w:rsidRPr="00E15D6B" w14:paraId="3071A2BC" w14:textId="3CB19A37" w:rsidTr="0063508D">
        <w:trPr>
          <w:jc w:val="center"/>
        </w:trPr>
        <w:tc>
          <w:tcPr>
            <w:tcW w:w="1109" w:type="pct"/>
            <w:tcBorders>
              <w:top w:val="single" w:sz="4" w:space="0" w:color="auto"/>
              <w:bottom w:val="single" w:sz="4" w:space="0" w:color="auto"/>
            </w:tcBorders>
            <w:vAlign w:val="center"/>
          </w:tcPr>
          <w:p w14:paraId="424C5AD5" w14:textId="142F6458" w:rsidR="004B6B77" w:rsidRPr="00E15D6B" w:rsidRDefault="004B6B77" w:rsidP="0063508D">
            <w:pPr>
              <w:ind w:firstLine="0"/>
              <w:jc w:val="center"/>
              <w:rPr>
                <w:b/>
                <w:sz w:val="16"/>
                <w:szCs w:val="16"/>
              </w:rPr>
            </w:pPr>
            <w:r w:rsidRPr="00E15D6B">
              <w:rPr>
                <w:b/>
                <w:sz w:val="16"/>
                <w:szCs w:val="16"/>
              </w:rPr>
              <w:lastRenderedPageBreak/>
              <w:t>Coefficient friction</w:t>
            </w:r>
          </w:p>
        </w:tc>
        <w:tc>
          <w:tcPr>
            <w:tcW w:w="2319" w:type="pct"/>
            <w:tcBorders>
              <w:top w:val="single" w:sz="4" w:space="0" w:color="auto"/>
              <w:bottom w:val="single" w:sz="4" w:space="0" w:color="auto"/>
            </w:tcBorders>
            <w:vAlign w:val="center"/>
          </w:tcPr>
          <w:p w14:paraId="06456CF5" w14:textId="1AECBF69" w:rsidR="004B6B77" w:rsidRPr="00E15D6B" w:rsidRDefault="004B6B77" w:rsidP="0063508D">
            <w:pPr>
              <w:ind w:firstLine="0"/>
              <w:jc w:val="center"/>
              <w:rPr>
                <w:b/>
                <w:sz w:val="16"/>
                <w:szCs w:val="16"/>
              </w:rPr>
            </w:pPr>
            <w:r w:rsidRPr="00E15D6B">
              <w:rPr>
                <w:b/>
                <w:sz w:val="16"/>
                <w:szCs w:val="16"/>
              </w:rPr>
              <w:t>Value</w:t>
            </w:r>
          </w:p>
        </w:tc>
        <w:tc>
          <w:tcPr>
            <w:tcW w:w="1572" w:type="pct"/>
            <w:tcBorders>
              <w:top w:val="single" w:sz="4" w:space="0" w:color="auto"/>
              <w:bottom w:val="single" w:sz="4" w:space="0" w:color="auto"/>
            </w:tcBorders>
          </w:tcPr>
          <w:p w14:paraId="0476155D" w14:textId="5B0A56BF" w:rsidR="004B6B77" w:rsidRPr="00E15D6B" w:rsidRDefault="004B6B77" w:rsidP="0063508D">
            <w:pPr>
              <w:ind w:firstLine="0"/>
              <w:jc w:val="center"/>
              <w:rPr>
                <w:b/>
                <w:sz w:val="16"/>
                <w:szCs w:val="16"/>
              </w:rPr>
            </w:pPr>
            <w:r w:rsidRPr="00E15D6B">
              <w:rPr>
                <w:b/>
                <w:sz w:val="16"/>
                <w:szCs w:val="16"/>
              </w:rPr>
              <w:t>Units</w:t>
            </w:r>
          </w:p>
        </w:tc>
      </w:tr>
      <w:tr w:rsidR="004B6B77" w:rsidRPr="00E15D6B" w14:paraId="68EEE9DD" w14:textId="411E3B0C" w:rsidTr="00824A04">
        <w:trPr>
          <w:jc w:val="center"/>
        </w:trPr>
        <w:tc>
          <w:tcPr>
            <w:tcW w:w="1109" w:type="pct"/>
            <w:tcBorders>
              <w:top w:val="single" w:sz="4" w:space="0" w:color="auto"/>
              <w:bottom w:val="single" w:sz="4" w:space="0" w:color="auto"/>
            </w:tcBorders>
            <w:vAlign w:val="center"/>
          </w:tcPr>
          <w:p w14:paraId="127CD4D3" w14:textId="58BE507A" w:rsidR="004B6B77" w:rsidRPr="00E15D6B" w:rsidRDefault="004B6B77" w:rsidP="0063508D">
            <w:pPr>
              <w:ind w:firstLine="0"/>
              <w:jc w:val="center"/>
              <w:rPr>
                <w:sz w:val="16"/>
                <w:szCs w:val="16"/>
              </w:rPr>
            </w:pPr>
            <w:r w:rsidRPr="00E15D6B">
              <w:rPr>
                <w:sz w:val="16"/>
                <w:szCs w:val="16"/>
              </w:rPr>
              <w:t>A</w:t>
            </w:r>
            <w:r w:rsidRPr="00E15D6B">
              <w:rPr>
                <w:sz w:val="16"/>
                <w:szCs w:val="16"/>
                <w:vertAlign w:val="subscript"/>
              </w:rPr>
              <w:t>cf</w:t>
            </w:r>
          </w:p>
        </w:tc>
        <w:tc>
          <w:tcPr>
            <w:tcW w:w="2319" w:type="pct"/>
            <w:tcBorders>
              <w:top w:val="single" w:sz="4" w:space="0" w:color="auto"/>
              <w:bottom w:val="single" w:sz="4" w:space="0" w:color="auto"/>
            </w:tcBorders>
            <w:vAlign w:val="center"/>
          </w:tcPr>
          <w:p w14:paraId="59FD63EA" w14:textId="1E2A072C" w:rsidR="004B6B77" w:rsidRPr="00E15D6B" w:rsidRDefault="00E15D6B" w:rsidP="0063508D">
            <w:pPr>
              <w:ind w:firstLine="0"/>
              <w:jc w:val="center"/>
              <w:rPr>
                <w:sz w:val="16"/>
                <w:szCs w:val="16"/>
              </w:rPr>
            </w:pPr>
            <w:r w:rsidRPr="00E15D6B">
              <w:rPr>
                <w:sz w:val="16"/>
                <w:szCs w:val="16"/>
              </w:rPr>
              <w:t>0</w:t>
            </w:r>
            <w:r w:rsidR="00EF796A">
              <w:rPr>
                <w:sz w:val="16"/>
                <w:szCs w:val="16"/>
              </w:rPr>
              <w:t>,</w:t>
            </w:r>
            <w:r w:rsidRPr="00E15D6B">
              <w:rPr>
                <w:sz w:val="16"/>
                <w:szCs w:val="16"/>
              </w:rPr>
              <w:t>35</w:t>
            </w:r>
          </w:p>
        </w:tc>
        <w:tc>
          <w:tcPr>
            <w:tcW w:w="1572" w:type="pct"/>
            <w:tcBorders>
              <w:top w:val="single" w:sz="4" w:space="0" w:color="auto"/>
              <w:bottom w:val="single" w:sz="4" w:space="0" w:color="auto"/>
            </w:tcBorders>
          </w:tcPr>
          <w:p w14:paraId="3FCBFFEB" w14:textId="7664009D" w:rsidR="004B6B77" w:rsidRPr="00E15D6B" w:rsidRDefault="004B6B77" w:rsidP="0063508D">
            <w:pPr>
              <w:ind w:firstLine="0"/>
              <w:jc w:val="center"/>
              <w:rPr>
                <w:sz w:val="16"/>
                <w:szCs w:val="16"/>
              </w:rPr>
            </w:pPr>
            <w:r w:rsidRPr="00E15D6B">
              <w:rPr>
                <w:sz w:val="16"/>
                <w:szCs w:val="16"/>
              </w:rPr>
              <w:t>bar</w:t>
            </w:r>
          </w:p>
        </w:tc>
      </w:tr>
      <w:tr w:rsidR="004B6B77" w:rsidRPr="00E15D6B" w14:paraId="3609B289" w14:textId="1025BBEE" w:rsidTr="00824A04">
        <w:trPr>
          <w:jc w:val="center"/>
        </w:trPr>
        <w:tc>
          <w:tcPr>
            <w:tcW w:w="1109" w:type="pct"/>
            <w:tcBorders>
              <w:top w:val="single" w:sz="4" w:space="0" w:color="auto"/>
              <w:bottom w:val="single" w:sz="4" w:space="0" w:color="auto"/>
            </w:tcBorders>
            <w:vAlign w:val="center"/>
          </w:tcPr>
          <w:p w14:paraId="308EA5AB" w14:textId="6FD5AD41" w:rsidR="004B6B77" w:rsidRPr="00E15D6B" w:rsidRDefault="004B6B77" w:rsidP="0063508D">
            <w:pPr>
              <w:ind w:firstLine="0"/>
              <w:jc w:val="center"/>
              <w:rPr>
                <w:sz w:val="16"/>
                <w:szCs w:val="16"/>
              </w:rPr>
            </w:pPr>
            <w:proofErr w:type="spellStart"/>
            <w:r w:rsidRPr="00E15D6B">
              <w:rPr>
                <w:sz w:val="16"/>
                <w:szCs w:val="16"/>
              </w:rPr>
              <w:t>B</w:t>
            </w:r>
            <w:r w:rsidRPr="00E15D6B">
              <w:rPr>
                <w:sz w:val="16"/>
                <w:szCs w:val="16"/>
                <w:vertAlign w:val="subscript"/>
              </w:rPr>
              <w:t>cf</w:t>
            </w:r>
            <w:proofErr w:type="spellEnd"/>
          </w:p>
        </w:tc>
        <w:tc>
          <w:tcPr>
            <w:tcW w:w="2319" w:type="pct"/>
            <w:tcBorders>
              <w:top w:val="single" w:sz="4" w:space="0" w:color="auto"/>
              <w:bottom w:val="single" w:sz="4" w:space="0" w:color="auto"/>
            </w:tcBorders>
            <w:vAlign w:val="center"/>
          </w:tcPr>
          <w:p w14:paraId="6B76578D" w14:textId="3DF17897" w:rsidR="004B6B77" w:rsidRPr="00E15D6B" w:rsidRDefault="00E15D6B" w:rsidP="0063508D">
            <w:pPr>
              <w:ind w:firstLine="0"/>
              <w:jc w:val="center"/>
              <w:rPr>
                <w:sz w:val="16"/>
                <w:szCs w:val="16"/>
              </w:rPr>
            </w:pPr>
            <w:r w:rsidRPr="00E15D6B">
              <w:rPr>
                <w:sz w:val="16"/>
                <w:szCs w:val="16"/>
              </w:rPr>
              <w:t>0</w:t>
            </w:r>
            <w:r w:rsidR="00EF796A">
              <w:rPr>
                <w:sz w:val="16"/>
                <w:szCs w:val="16"/>
              </w:rPr>
              <w:t>,</w:t>
            </w:r>
            <w:r w:rsidRPr="00E15D6B">
              <w:rPr>
                <w:sz w:val="16"/>
                <w:szCs w:val="16"/>
              </w:rPr>
              <w:t>004</w:t>
            </w:r>
          </w:p>
        </w:tc>
        <w:tc>
          <w:tcPr>
            <w:tcW w:w="1572" w:type="pct"/>
            <w:tcBorders>
              <w:top w:val="single" w:sz="4" w:space="0" w:color="auto"/>
              <w:bottom w:val="single" w:sz="4" w:space="0" w:color="auto"/>
            </w:tcBorders>
          </w:tcPr>
          <w:p w14:paraId="12A75FF9" w14:textId="75788AFB" w:rsidR="004B6B77" w:rsidRPr="00E15D6B" w:rsidRDefault="004B6B77" w:rsidP="0063508D">
            <w:pPr>
              <w:ind w:firstLine="0"/>
              <w:jc w:val="center"/>
              <w:rPr>
                <w:sz w:val="16"/>
                <w:szCs w:val="16"/>
              </w:rPr>
            </w:pPr>
            <w:r w:rsidRPr="00E15D6B">
              <w:rPr>
                <w:sz w:val="16"/>
                <w:szCs w:val="16"/>
              </w:rPr>
              <w:t>-</w:t>
            </w:r>
          </w:p>
        </w:tc>
      </w:tr>
      <w:tr w:rsidR="004B6B77" w:rsidRPr="00E15D6B" w14:paraId="245720DB" w14:textId="3A198403" w:rsidTr="00824A04">
        <w:trPr>
          <w:jc w:val="center"/>
        </w:trPr>
        <w:tc>
          <w:tcPr>
            <w:tcW w:w="1109" w:type="pct"/>
            <w:tcBorders>
              <w:top w:val="single" w:sz="4" w:space="0" w:color="auto"/>
              <w:bottom w:val="single" w:sz="4" w:space="0" w:color="auto"/>
            </w:tcBorders>
            <w:vAlign w:val="center"/>
          </w:tcPr>
          <w:p w14:paraId="2D13046B" w14:textId="25FCD7BE" w:rsidR="004B6B77" w:rsidRPr="00E15D6B" w:rsidRDefault="004B6B77" w:rsidP="0063508D">
            <w:pPr>
              <w:ind w:firstLine="0"/>
              <w:jc w:val="center"/>
              <w:rPr>
                <w:sz w:val="16"/>
                <w:szCs w:val="16"/>
              </w:rPr>
            </w:pPr>
            <w:proofErr w:type="spellStart"/>
            <w:r w:rsidRPr="00E15D6B">
              <w:rPr>
                <w:sz w:val="16"/>
                <w:szCs w:val="16"/>
              </w:rPr>
              <w:t>C</w:t>
            </w:r>
            <w:r w:rsidRPr="00E15D6B">
              <w:rPr>
                <w:sz w:val="16"/>
                <w:szCs w:val="16"/>
                <w:vertAlign w:val="subscript"/>
              </w:rPr>
              <w:t>cf</w:t>
            </w:r>
            <w:proofErr w:type="spellEnd"/>
          </w:p>
        </w:tc>
        <w:tc>
          <w:tcPr>
            <w:tcW w:w="2319" w:type="pct"/>
            <w:tcBorders>
              <w:top w:val="single" w:sz="4" w:space="0" w:color="auto"/>
              <w:bottom w:val="single" w:sz="4" w:space="0" w:color="auto"/>
            </w:tcBorders>
            <w:vAlign w:val="center"/>
          </w:tcPr>
          <w:p w14:paraId="4D9D3DC2" w14:textId="5A12CB41" w:rsidR="004B6B77" w:rsidRPr="00E15D6B" w:rsidRDefault="00E15D6B" w:rsidP="0063508D">
            <w:pPr>
              <w:ind w:firstLine="0"/>
              <w:jc w:val="center"/>
              <w:rPr>
                <w:sz w:val="16"/>
                <w:szCs w:val="16"/>
              </w:rPr>
            </w:pPr>
            <w:r w:rsidRPr="00E15D6B">
              <w:rPr>
                <w:sz w:val="16"/>
                <w:szCs w:val="16"/>
              </w:rPr>
              <w:t>400</w:t>
            </w:r>
          </w:p>
        </w:tc>
        <w:tc>
          <w:tcPr>
            <w:tcW w:w="1572" w:type="pct"/>
            <w:tcBorders>
              <w:top w:val="single" w:sz="4" w:space="0" w:color="auto"/>
              <w:bottom w:val="single" w:sz="4" w:space="0" w:color="auto"/>
            </w:tcBorders>
          </w:tcPr>
          <w:p w14:paraId="7FEA3589" w14:textId="31A77BB1" w:rsidR="004B6B77" w:rsidRPr="00E15D6B" w:rsidRDefault="004B6B77" w:rsidP="0063508D">
            <w:pPr>
              <w:ind w:firstLine="0"/>
              <w:jc w:val="center"/>
              <w:rPr>
                <w:sz w:val="16"/>
                <w:szCs w:val="16"/>
              </w:rPr>
            </w:pPr>
            <w:proofErr w:type="spellStart"/>
            <w:r w:rsidRPr="00E15D6B">
              <w:rPr>
                <w:sz w:val="16"/>
                <w:szCs w:val="16"/>
              </w:rPr>
              <w:t>Pa.min</w:t>
            </w:r>
            <w:proofErr w:type="spellEnd"/>
            <w:r w:rsidRPr="00E15D6B">
              <w:rPr>
                <w:sz w:val="16"/>
                <w:szCs w:val="16"/>
              </w:rPr>
              <w:t>/m</w:t>
            </w:r>
          </w:p>
        </w:tc>
      </w:tr>
      <w:tr w:rsidR="004B6B77" w:rsidRPr="004B6B77" w14:paraId="6E332D68" w14:textId="5714CFCA" w:rsidTr="00824A04">
        <w:trPr>
          <w:jc w:val="center"/>
        </w:trPr>
        <w:tc>
          <w:tcPr>
            <w:tcW w:w="1109" w:type="pct"/>
            <w:tcBorders>
              <w:top w:val="single" w:sz="4" w:space="0" w:color="auto"/>
              <w:bottom w:val="single" w:sz="4" w:space="0" w:color="auto"/>
            </w:tcBorders>
            <w:vAlign w:val="center"/>
          </w:tcPr>
          <w:p w14:paraId="3D94422F" w14:textId="1AA65D67" w:rsidR="004B6B77" w:rsidRPr="00E15D6B" w:rsidRDefault="004B6B77" w:rsidP="0063508D">
            <w:pPr>
              <w:ind w:firstLine="0"/>
              <w:jc w:val="center"/>
              <w:rPr>
                <w:sz w:val="16"/>
                <w:szCs w:val="16"/>
              </w:rPr>
            </w:pPr>
            <w:proofErr w:type="spellStart"/>
            <w:r w:rsidRPr="00E15D6B">
              <w:rPr>
                <w:sz w:val="16"/>
                <w:szCs w:val="16"/>
              </w:rPr>
              <w:t>Q</w:t>
            </w:r>
            <w:r w:rsidRPr="00E15D6B">
              <w:rPr>
                <w:sz w:val="16"/>
                <w:szCs w:val="16"/>
                <w:vertAlign w:val="subscript"/>
              </w:rPr>
              <w:t>cf</w:t>
            </w:r>
            <w:proofErr w:type="spellEnd"/>
          </w:p>
        </w:tc>
        <w:tc>
          <w:tcPr>
            <w:tcW w:w="2319" w:type="pct"/>
            <w:tcBorders>
              <w:top w:val="single" w:sz="4" w:space="0" w:color="auto"/>
              <w:bottom w:val="single" w:sz="4" w:space="0" w:color="auto"/>
            </w:tcBorders>
            <w:vAlign w:val="center"/>
          </w:tcPr>
          <w:p w14:paraId="7BBBC9A1" w14:textId="1375FA93" w:rsidR="004B6B77" w:rsidRPr="00E15D6B" w:rsidRDefault="00E15D6B" w:rsidP="0063508D">
            <w:pPr>
              <w:ind w:firstLine="0"/>
              <w:jc w:val="center"/>
              <w:rPr>
                <w:sz w:val="16"/>
                <w:szCs w:val="16"/>
              </w:rPr>
            </w:pPr>
            <w:r w:rsidRPr="00E15D6B">
              <w:rPr>
                <w:sz w:val="16"/>
                <w:szCs w:val="16"/>
              </w:rPr>
              <w:t>1</w:t>
            </w:r>
          </w:p>
        </w:tc>
        <w:tc>
          <w:tcPr>
            <w:tcW w:w="1572" w:type="pct"/>
            <w:tcBorders>
              <w:top w:val="single" w:sz="4" w:space="0" w:color="auto"/>
              <w:bottom w:val="single" w:sz="4" w:space="0" w:color="auto"/>
            </w:tcBorders>
          </w:tcPr>
          <w:p w14:paraId="54745E82" w14:textId="7E99ED16" w:rsidR="004B6B77" w:rsidRPr="004B6B77" w:rsidRDefault="004B6B77" w:rsidP="0063508D">
            <w:pPr>
              <w:ind w:firstLine="0"/>
              <w:jc w:val="center"/>
              <w:rPr>
                <w:sz w:val="16"/>
                <w:szCs w:val="16"/>
              </w:rPr>
            </w:pPr>
            <w:r w:rsidRPr="00E15D6B">
              <w:rPr>
                <w:sz w:val="16"/>
                <w:szCs w:val="16"/>
              </w:rPr>
              <w:t>Pa.min</w:t>
            </w:r>
            <w:r w:rsidRPr="00E15D6B">
              <w:rPr>
                <w:sz w:val="16"/>
                <w:szCs w:val="16"/>
                <w:vertAlign w:val="superscript"/>
              </w:rPr>
              <w:t>2</w:t>
            </w:r>
            <w:r w:rsidRPr="00E15D6B">
              <w:rPr>
                <w:sz w:val="16"/>
                <w:szCs w:val="16"/>
              </w:rPr>
              <w:t>/m</w:t>
            </w:r>
            <w:r w:rsidRPr="00E15D6B">
              <w:rPr>
                <w:sz w:val="16"/>
                <w:szCs w:val="16"/>
                <w:vertAlign w:val="superscript"/>
              </w:rPr>
              <w:t>2</w:t>
            </w:r>
          </w:p>
        </w:tc>
      </w:tr>
    </w:tbl>
    <w:p w14:paraId="3B923B34" w14:textId="0969A04F" w:rsidR="00256794" w:rsidRDefault="00256794" w:rsidP="00256794">
      <w:r w:rsidRPr="00256794">
        <w:t xml:space="preserve">The </w:t>
      </w:r>
      <w:proofErr w:type="spellStart"/>
      <w:r w:rsidRPr="00256794">
        <w:t>NOx</w:t>
      </w:r>
      <w:proofErr w:type="spellEnd"/>
      <w:r w:rsidRPr="00256794">
        <w:t xml:space="preserve"> model assigns an initial NOx concentration and </w:t>
      </w:r>
      <w:r w:rsidR="00D02770" w:rsidRPr="00256794">
        <w:t>considers</w:t>
      </w:r>
      <w:r w:rsidRPr="00256794">
        <w:t xml:space="preserve"> the NO "prompt" obtained from the correlation of the data </w:t>
      </w:r>
      <w:r w:rsidRPr="00247AC9">
        <w:t xml:space="preserve">reported by </w:t>
      </w:r>
      <w:proofErr w:type="spellStart"/>
      <w:r w:rsidRPr="00247AC9">
        <w:t>Fenimore</w:t>
      </w:r>
      <w:proofErr w:type="spellEnd"/>
      <w:r w:rsidRPr="00247AC9">
        <w:t xml:space="preserve"> </w:t>
      </w:r>
      <w:r w:rsidR="00247AC9" w:rsidRPr="00247AC9">
        <w:t>(1970</w:t>
      </w:r>
      <w:r w:rsidR="00247AC9">
        <w:t xml:space="preserve">) </w:t>
      </w:r>
      <w:r w:rsidR="00247AC9">
        <w:fldChar w:fldCharType="begin"/>
      </w:r>
      <w:r w:rsidR="00247AC9">
        <w:instrText xml:space="preserve"> REF _Ref98315300 \r \h </w:instrText>
      </w:r>
      <w:r w:rsidR="00247AC9">
        <w:fldChar w:fldCharType="separate"/>
      </w:r>
      <w:r w:rsidR="002C50A2">
        <w:t>[20]</w:t>
      </w:r>
      <w:r w:rsidR="00247AC9">
        <w:fldChar w:fldCharType="end"/>
      </w:r>
      <w:r w:rsidR="00247AC9">
        <w:t xml:space="preserve"> </w:t>
      </w:r>
      <w:r w:rsidRPr="00256794">
        <w:t xml:space="preserve">which provides the ratio between the NO prompt and the NO equilibrium as a function of the equivalence ratio. All NOx is assumed to be in the form of NO during the rapid formation phase, as well as the thermal phase described below by the extended </w:t>
      </w:r>
      <w:proofErr w:type="spellStart"/>
      <w:r w:rsidRPr="00C63873">
        <w:rPr>
          <w:i/>
        </w:rPr>
        <w:t>Zeldovich</w:t>
      </w:r>
      <w:proofErr w:type="spellEnd"/>
      <w:r w:rsidRPr="00C63873">
        <w:rPr>
          <w:i/>
        </w:rPr>
        <w:t xml:space="preserve"> </w:t>
      </w:r>
      <w:proofErr w:type="spellStart"/>
      <w:r w:rsidRPr="00C63873">
        <w:rPr>
          <w:i/>
        </w:rPr>
        <w:t>NOx</w:t>
      </w:r>
      <w:proofErr w:type="spellEnd"/>
      <w:r w:rsidRPr="00256794">
        <w:t xml:space="preserve"> formation mechanisms </w:t>
      </w:r>
      <w:r w:rsidR="00247AC9">
        <w:fldChar w:fldCharType="begin"/>
      </w:r>
      <w:r w:rsidR="00247AC9">
        <w:instrText xml:space="preserve"> REF _Ref98315372 \r \h </w:instrText>
      </w:r>
      <w:r w:rsidR="00247AC9">
        <w:fldChar w:fldCharType="separate"/>
      </w:r>
      <w:r w:rsidR="002C50A2">
        <w:t>[21]</w:t>
      </w:r>
      <w:r w:rsidR="00247AC9">
        <w:fldChar w:fldCharType="end"/>
      </w:r>
      <w:r>
        <w:t xml:space="preserve">. </w:t>
      </w:r>
      <w:r w:rsidRPr="00256794">
        <w:t>The entire burned zone is treated as an open and layered system in which further NOx formation takes place depending on the temperature, pressure</w:t>
      </w:r>
      <w:r w:rsidR="00C63873">
        <w:t>,</w:t>
      </w:r>
      <w:r w:rsidRPr="00256794">
        <w:t xml:space="preserve"> and equivalence ratio of the portion being burned. The concentration of NO </w:t>
      </w:r>
      <w:r w:rsidR="00D02770">
        <w:t>overtime</w:t>
      </w:r>
      <w:r w:rsidRPr="00256794">
        <w:t xml:space="preserve"> is resolved using an open system in which the above elementary reactions are used </w:t>
      </w:r>
      <w:r w:rsidR="00D02770">
        <w:t>at</w:t>
      </w:r>
      <w:r w:rsidRPr="00256794">
        <w:t xml:space="preserve"> </w:t>
      </w:r>
      <w:r w:rsidR="00505A11">
        <w:t>a</w:t>
      </w:r>
      <w:r w:rsidRPr="00256794">
        <w:t xml:space="preserve"> constant</w:t>
      </w:r>
      <w:r w:rsidR="00505A11">
        <w:t xml:space="preserve"> rate </w:t>
      </w:r>
      <w:r w:rsidR="005C39CB">
        <w:fldChar w:fldCharType="begin"/>
      </w:r>
      <w:r w:rsidR="005C39CB">
        <w:instrText xml:space="preserve"> REF _Ref98315372 \r \h </w:instrText>
      </w:r>
      <w:r w:rsidR="005C39CB">
        <w:fldChar w:fldCharType="separate"/>
      </w:r>
      <w:r w:rsidR="002C50A2">
        <w:t>[21]</w:t>
      </w:r>
      <w:r w:rsidR="005C39CB">
        <w:fldChar w:fldCharType="end"/>
      </w:r>
      <w:r w:rsidR="005C39CB">
        <w:t xml:space="preserve">. </w:t>
      </w:r>
      <w:r w:rsidRPr="00256794">
        <w:t>For the first reaction equation, the rate constant</w:t>
      </w:r>
      <w:r w:rsidR="005C39CB">
        <w:t>s</w:t>
      </w:r>
      <w:r w:rsidRPr="00256794">
        <w:t>, R</w:t>
      </w:r>
      <w:r w:rsidRPr="004F7BBA">
        <w:rPr>
          <w:vertAlign w:val="subscript"/>
        </w:rPr>
        <w:t>1</w:t>
      </w:r>
      <w:r w:rsidR="005C39CB">
        <w:t xml:space="preserve"> and R</w:t>
      </w:r>
      <w:r w:rsidR="005C39CB" w:rsidRPr="005C39CB">
        <w:rPr>
          <w:vertAlign w:val="subscript"/>
        </w:rPr>
        <w:t>2/3</w:t>
      </w:r>
      <w:r w:rsidRPr="00256794">
        <w:t xml:space="preserve">, </w:t>
      </w:r>
      <w:r w:rsidR="005C39CB">
        <w:t>are</w:t>
      </w:r>
      <w:r w:rsidRPr="00256794">
        <w:t xml:space="preserve"> given by</w:t>
      </w:r>
      <w:r w:rsidR="00505A11">
        <w:t xml:space="preserve"> eq. (3) and (4):</w:t>
      </w:r>
    </w:p>
    <w:p w14:paraId="44FC0E48" w14:textId="44AF713E" w:rsidR="00256794" w:rsidRPr="00142F3C" w:rsidRDefault="00420171" w:rsidP="00256794">
      <w:pPr>
        <w:autoSpaceDE w:val="0"/>
        <w:autoSpaceDN w:val="0"/>
        <w:adjustRightInd w:val="0"/>
        <w:spacing w:before="60"/>
        <w:rPr>
          <w:bCs/>
          <w:i/>
          <w:noProof/>
          <w:szCs w:val="22"/>
          <w:lang w:val="it-IT"/>
        </w:rPr>
      </w:pPr>
      <m:oMath>
        <m:sSub>
          <m:sSubPr>
            <m:ctrlPr>
              <w:rPr>
                <w:rFonts w:ascii="Cambria Math" w:hAnsi="Cambria Math"/>
                <w:bCs/>
                <w:i/>
                <w:noProof/>
                <w:szCs w:val="22"/>
              </w:rPr>
            </m:ctrlPr>
          </m:sSubPr>
          <m:e>
            <m:r>
              <m:rPr>
                <m:nor/>
              </m:rPr>
              <w:rPr>
                <w:bCs/>
                <w:i/>
                <w:noProof/>
                <w:szCs w:val="22"/>
                <w:lang w:val="it-IT"/>
              </w:rPr>
              <m:t>R</m:t>
            </m:r>
          </m:e>
          <m:sub>
            <m:r>
              <m:rPr>
                <m:nor/>
              </m:rPr>
              <w:rPr>
                <w:bCs/>
                <w:i/>
                <w:noProof/>
                <w:szCs w:val="22"/>
                <w:lang w:val="it-IT"/>
              </w:rPr>
              <m:t>1</m:t>
            </m:r>
          </m:sub>
        </m:sSub>
        <m:r>
          <m:rPr>
            <m:nor/>
          </m:rPr>
          <w:rPr>
            <w:bCs/>
            <w:i/>
            <w:noProof/>
            <w:szCs w:val="22"/>
            <w:lang w:val="it-IT"/>
          </w:rPr>
          <m:t>=A ∙ARC1 ∙</m:t>
        </m:r>
        <m:sSup>
          <m:sSupPr>
            <m:ctrlPr>
              <w:rPr>
                <w:rFonts w:ascii="Cambria Math" w:hAnsi="Cambria Math"/>
                <w:bCs/>
                <w:i/>
                <w:noProof/>
                <w:szCs w:val="22"/>
              </w:rPr>
            </m:ctrlPr>
          </m:sSupPr>
          <m:e>
            <m:r>
              <m:rPr>
                <m:nor/>
              </m:rPr>
              <w:rPr>
                <w:bCs/>
                <w:i/>
                <w:noProof/>
                <w:szCs w:val="22"/>
                <w:lang w:val="it-IT"/>
              </w:rPr>
              <m:t>e</m:t>
            </m:r>
          </m:e>
          <m:sup>
            <m:r>
              <m:rPr>
                <m:nor/>
              </m:rPr>
              <w:rPr>
                <w:bCs/>
                <w:i/>
                <w:noProof/>
                <w:szCs w:val="22"/>
                <w:lang w:val="it-IT"/>
              </w:rPr>
              <m:t>(</m:t>
            </m:r>
            <m:sSub>
              <m:sSubPr>
                <m:ctrlPr>
                  <w:rPr>
                    <w:rFonts w:ascii="Cambria Math" w:hAnsi="Cambria Math"/>
                    <w:bCs/>
                    <w:i/>
                    <w:noProof/>
                    <w:szCs w:val="22"/>
                  </w:rPr>
                </m:ctrlPr>
              </m:sSubPr>
              <m:e>
                <m:r>
                  <m:rPr>
                    <m:nor/>
                  </m:rPr>
                  <w:rPr>
                    <w:bCs/>
                    <w:i/>
                    <w:noProof/>
                    <w:szCs w:val="22"/>
                    <w:lang w:val="it-IT"/>
                  </w:rPr>
                  <m:t>T</m:t>
                </m:r>
              </m:e>
              <m:sub>
                <m:r>
                  <m:rPr>
                    <m:nor/>
                  </m:rPr>
                  <w:rPr>
                    <w:bCs/>
                    <w:i/>
                    <w:noProof/>
                    <w:szCs w:val="22"/>
                    <w:lang w:val="it-IT"/>
                  </w:rPr>
                  <m:t>a</m:t>
                </m:r>
              </m:sub>
            </m:sSub>
            <m:r>
              <m:rPr>
                <m:nor/>
              </m:rPr>
              <w:rPr>
                <w:bCs/>
                <w:i/>
                <w:noProof/>
                <w:szCs w:val="22"/>
                <w:lang w:val="it-IT"/>
              </w:rPr>
              <m:t xml:space="preserve">∙ </m:t>
            </m:r>
            <m:f>
              <m:fPr>
                <m:ctrlPr>
                  <w:rPr>
                    <w:rFonts w:ascii="Cambria Math" w:hAnsi="Cambria Math"/>
                    <w:bCs/>
                    <w:i/>
                    <w:noProof/>
                    <w:szCs w:val="22"/>
                  </w:rPr>
                </m:ctrlPr>
              </m:fPr>
              <m:num>
                <m:r>
                  <m:rPr>
                    <m:nor/>
                  </m:rPr>
                  <w:rPr>
                    <w:bCs/>
                    <w:i/>
                    <w:noProof/>
                    <w:szCs w:val="22"/>
                    <w:lang w:val="it-IT"/>
                  </w:rPr>
                  <m:t>AERC1</m:t>
                </m:r>
              </m:num>
              <m:den>
                <m:r>
                  <m:rPr>
                    <m:nor/>
                  </m:rPr>
                  <w:rPr>
                    <w:bCs/>
                    <w:i/>
                    <w:noProof/>
                    <w:szCs w:val="22"/>
                    <w:lang w:val="it-IT"/>
                  </w:rPr>
                  <m:t>T</m:t>
                </m:r>
              </m:den>
            </m:f>
            <m:r>
              <m:rPr>
                <m:nor/>
              </m:rPr>
              <w:rPr>
                <w:bCs/>
                <w:i/>
                <w:noProof/>
                <w:szCs w:val="22"/>
                <w:lang w:val="it-IT"/>
              </w:rPr>
              <m:t>)</m:t>
            </m:r>
          </m:sup>
        </m:sSup>
      </m:oMath>
      <w:r w:rsidR="00142F3C" w:rsidRPr="00142F3C">
        <w:rPr>
          <w:bCs/>
          <w:i/>
          <w:noProof/>
          <w:szCs w:val="22"/>
          <w:lang w:val="it-IT"/>
        </w:rPr>
        <w:t xml:space="preserve"> </w:t>
      </w:r>
      <w:r w:rsidR="00142F3C">
        <w:rPr>
          <w:bCs/>
          <w:i/>
          <w:noProof/>
          <w:szCs w:val="22"/>
          <w:lang w:val="it-IT"/>
        </w:rPr>
        <w:t xml:space="preserve">                                                                                           </w:t>
      </w:r>
      <w:r w:rsidR="00142F3C" w:rsidRPr="00142F3C">
        <w:rPr>
          <w:lang w:val="it-IT"/>
        </w:rPr>
        <w:t>(</w:t>
      </w:r>
      <w:r w:rsidR="00142F3C">
        <w:rPr>
          <w:lang w:val="it-IT"/>
        </w:rPr>
        <w:t>3</w:t>
      </w:r>
      <w:r w:rsidR="00142F3C" w:rsidRPr="00142F3C">
        <w:rPr>
          <w:lang w:val="it-IT"/>
        </w:rPr>
        <w:t>)</w:t>
      </w:r>
    </w:p>
    <w:p w14:paraId="062BF190" w14:textId="5106554B" w:rsidR="00256794" w:rsidRPr="00142F3C" w:rsidRDefault="00420171" w:rsidP="00256794">
      <w:pPr>
        <w:autoSpaceDE w:val="0"/>
        <w:autoSpaceDN w:val="0"/>
        <w:adjustRightInd w:val="0"/>
        <w:spacing w:before="60"/>
        <w:rPr>
          <w:bCs/>
          <w:i/>
          <w:noProof/>
          <w:sz w:val="22"/>
        </w:rPr>
      </w:pPr>
      <m:oMath>
        <m:sSub>
          <m:sSubPr>
            <m:ctrlPr>
              <w:rPr>
                <w:rFonts w:ascii="Cambria Math" w:hAnsi="Cambria Math"/>
                <w:bCs/>
                <w:i/>
                <w:noProof/>
                <w:sz w:val="22"/>
              </w:rPr>
            </m:ctrlPr>
          </m:sSubPr>
          <m:e>
            <m:r>
              <m:rPr>
                <m:nor/>
              </m:rPr>
              <w:rPr>
                <w:bCs/>
                <w:i/>
                <w:noProof/>
                <w:sz w:val="22"/>
              </w:rPr>
              <m:t>R</m:t>
            </m:r>
          </m:e>
          <m:sub>
            <m:r>
              <m:rPr>
                <m:nor/>
              </m:rPr>
              <w:rPr>
                <w:bCs/>
                <w:i/>
                <w:noProof/>
                <w:sz w:val="22"/>
              </w:rPr>
              <m:t>2/3</m:t>
            </m:r>
          </m:sub>
        </m:sSub>
        <m:r>
          <m:rPr>
            <m:nor/>
          </m:rPr>
          <w:rPr>
            <w:bCs/>
            <w:i/>
            <w:noProof/>
            <w:sz w:val="22"/>
          </w:rPr>
          <m:t>=A ∙</m:t>
        </m:r>
        <m:sSup>
          <m:sSupPr>
            <m:ctrlPr>
              <w:rPr>
                <w:rFonts w:ascii="Cambria Math" w:hAnsi="Cambria Math"/>
                <w:bCs/>
                <w:i/>
                <w:noProof/>
                <w:sz w:val="22"/>
              </w:rPr>
            </m:ctrlPr>
          </m:sSupPr>
          <m:e>
            <m:r>
              <m:rPr>
                <m:nor/>
              </m:rPr>
              <w:rPr>
                <w:bCs/>
                <w:i/>
                <w:noProof/>
                <w:sz w:val="22"/>
              </w:rPr>
              <m:t>e</m:t>
            </m:r>
          </m:e>
          <m:sup>
            <m:r>
              <m:rPr>
                <m:nor/>
              </m:rPr>
              <w:rPr>
                <w:bCs/>
                <w:i/>
                <w:noProof/>
                <w:sz w:val="22"/>
              </w:rPr>
              <m:t>(</m:t>
            </m:r>
            <m:sSub>
              <m:sSubPr>
                <m:ctrlPr>
                  <w:rPr>
                    <w:rFonts w:ascii="Cambria Math" w:hAnsi="Cambria Math"/>
                    <w:bCs/>
                    <w:i/>
                    <w:noProof/>
                    <w:sz w:val="22"/>
                  </w:rPr>
                </m:ctrlPr>
              </m:sSubPr>
              <m:e>
                <m:r>
                  <m:rPr>
                    <m:nor/>
                  </m:rPr>
                  <w:rPr>
                    <w:bCs/>
                    <w:i/>
                    <w:noProof/>
                    <w:sz w:val="22"/>
                  </w:rPr>
                  <m:t>T</m:t>
                </m:r>
              </m:e>
              <m:sub>
                <m:r>
                  <m:rPr>
                    <m:nor/>
                  </m:rPr>
                  <w:rPr>
                    <w:bCs/>
                    <w:i/>
                    <w:noProof/>
                    <w:sz w:val="22"/>
                  </w:rPr>
                  <m:t>a</m:t>
                </m:r>
              </m:sub>
            </m:sSub>
            <m:r>
              <m:rPr>
                <m:nor/>
              </m:rPr>
              <w:rPr>
                <w:bCs/>
                <w:i/>
                <w:noProof/>
                <w:sz w:val="22"/>
              </w:rPr>
              <m:t>/T)</m:t>
            </m:r>
          </m:sup>
        </m:sSup>
      </m:oMath>
      <w:r w:rsidR="00142F3C">
        <w:rPr>
          <w:bCs/>
          <w:i/>
          <w:noProof/>
          <w:sz w:val="22"/>
        </w:rPr>
        <w:t xml:space="preserve">                                                                                                </w:t>
      </w:r>
      <w:r w:rsidR="00142F3C" w:rsidRPr="003B0902">
        <w:t>(4)</w:t>
      </w:r>
    </w:p>
    <w:p w14:paraId="743D0464" w14:textId="6339E80C" w:rsidR="001163B5" w:rsidRPr="007672A6" w:rsidRDefault="00505A11" w:rsidP="00614BB5">
      <w:pPr>
        <w:autoSpaceDE w:val="0"/>
        <w:autoSpaceDN w:val="0"/>
        <w:adjustRightInd w:val="0"/>
        <w:spacing w:before="60"/>
        <w:ind w:firstLine="0"/>
        <w:rPr>
          <w:lang w:val="en-GB"/>
        </w:rPr>
      </w:pPr>
      <w:r>
        <w:t>w</w:t>
      </w:r>
      <w:r w:rsidR="00614BB5">
        <w:t xml:space="preserve">here </w:t>
      </w:r>
      <w:r w:rsidR="006B2CDB" w:rsidRPr="00505A11">
        <w:rPr>
          <w:i/>
          <w:iCs/>
        </w:rPr>
        <w:t>A</w:t>
      </w:r>
      <w:r w:rsidR="006B2CDB">
        <w:t xml:space="preserve"> is the pre-exponent constant;</w:t>
      </w:r>
      <w:r w:rsidR="00614BB5">
        <w:t xml:space="preserve"> </w:t>
      </w:r>
      <w:r w:rsidR="006B2CDB" w:rsidRPr="00505A11">
        <w:rPr>
          <w:i/>
          <w:iCs/>
        </w:rPr>
        <w:t>ARC1</w:t>
      </w:r>
      <w:r w:rsidR="00614BB5">
        <w:t xml:space="preserve"> and </w:t>
      </w:r>
      <w:r w:rsidR="00614BB5" w:rsidRPr="00505A11">
        <w:rPr>
          <w:i/>
          <w:iCs/>
        </w:rPr>
        <w:t>AERC1</w:t>
      </w:r>
      <w:r w:rsidR="00614BB5">
        <w:t xml:space="preserve"> are</w:t>
      </w:r>
      <w:r w:rsidR="006B2CDB">
        <w:t xml:space="preserve"> </w:t>
      </w:r>
      <w:r w:rsidR="006B2CDB" w:rsidRPr="006B2CDB">
        <w:t>the Arrhenius p</w:t>
      </w:r>
      <w:r w:rsidR="006B2CDB">
        <w:t>re-exponent and exponent multiplier</w:t>
      </w:r>
      <w:r>
        <w:t>,</w:t>
      </w:r>
      <w:r w:rsidR="006B2CDB">
        <w:t xml:space="preserve"> set </w:t>
      </w:r>
      <w:r>
        <w:t xml:space="preserve">equal </w:t>
      </w:r>
      <w:r w:rsidR="006B2CDB">
        <w:t>to 1</w:t>
      </w:r>
      <w:r w:rsidR="00EF796A">
        <w:t>,</w:t>
      </w:r>
      <w:r w:rsidR="006B2CDB">
        <w:t>1</w:t>
      </w:r>
      <w:r w:rsidR="00EF796A">
        <w:t>0</w:t>
      </w:r>
      <w:r w:rsidR="006B2CDB">
        <w:t xml:space="preserve"> and 1</w:t>
      </w:r>
      <w:r w:rsidR="00EF796A">
        <w:t>,</w:t>
      </w:r>
      <w:r w:rsidR="006B2CDB">
        <w:t>2</w:t>
      </w:r>
      <w:r w:rsidR="00EF796A">
        <w:t>1</w:t>
      </w:r>
      <w:r>
        <w:t>, respectively</w:t>
      </w:r>
      <w:r w:rsidR="006B2CDB">
        <w:t>;</w:t>
      </w:r>
      <w:r w:rsidR="00614BB5">
        <w:t xml:space="preserve"> </w:t>
      </w:r>
      <w:r w:rsidR="006B2CDB" w:rsidRPr="00505A11">
        <w:rPr>
          <w:i/>
          <w:iCs/>
        </w:rPr>
        <w:t>T</w:t>
      </w:r>
      <w:r w:rsidR="006B2CDB" w:rsidRPr="00505A11">
        <w:rPr>
          <w:i/>
          <w:iCs/>
          <w:vertAlign w:val="subscript"/>
        </w:rPr>
        <w:t>a</w:t>
      </w:r>
      <w:r w:rsidR="006B2CDB">
        <w:t xml:space="preserve"> is</w:t>
      </w:r>
      <w:r w:rsidR="00614BB5">
        <w:t xml:space="preserve"> </w:t>
      </w:r>
      <w:r w:rsidR="006B2CDB">
        <w:t>the a</w:t>
      </w:r>
      <w:r w:rsidR="006B2CDB" w:rsidRPr="006B2CDB">
        <w:t>ctivation temperature for the reaction</w:t>
      </w:r>
      <w:r w:rsidR="006B2CDB">
        <w:t xml:space="preserve">, </w:t>
      </w:r>
      <w:r w:rsidR="006B2CDB" w:rsidRPr="00505A11">
        <w:rPr>
          <w:i/>
          <w:iCs/>
        </w:rPr>
        <w:t>T</w:t>
      </w:r>
      <w:r w:rsidR="006B2CDB">
        <w:t xml:space="preserve"> is the temperature of the burned zone.</w:t>
      </w:r>
      <w:r w:rsidR="00614BB5">
        <w:t xml:space="preserve"> </w:t>
      </w:r>
      <w:r w:rsidR="006B2CDB" w:rsidRPr="006B2CDB">
        <w:t xml:space="preserve">The calculation stops when the temperature in the burned area </w:t>
      </w:r>
      <w:r w:rsidR="006B2CDB" w:rsidRPr="007672A6">
        <w:rPr>
          <w:lang w:val="en-GB"/>
        </w:rPr>
        <w:t>reaches a level low enough to make the kinetics inactive and the total NO</w:t>
      </w:r>
      <w:r>
        <w:rPr>
          <w:lang w:val="en-GB"/>
        </w:rPr>
        <w:t xml:space="preserve"> emission</w:t>
      </w:r>
      <w:r w:rsidR="006B2CDB" w:rsidRPr="007672A6">
        <w:rPr>
          <w:lang w:val="en-GB"/>
        </w:rPr>
        <w:t xml:space="preserve"> </w:t>
      </w:r>
      <w:r>
        <w:rPr>
          <w:lang w:val="en-GB"/>
        </w:rPr>
        <w:t>doesn’t</w:t>
      </w:r>
      <w:r w:rsidR="006B2CDB" w:rsidRPr="007672A6">
        <w:rPr>
          <w:lang w:val="en-GB"/>
        </w:rPr>
        <w:t xml:space="preserve"> change.</w:t>
      </w:r>
      <w:r w:rsidR="007672A6">
        <w:rPr>
          <w:lang w:val="en-GB"/>
        </w:rPr>
        <w:t xml:space="preserve"> </w:t>
      </w:r>
      <w:r w:rsidR="007672A6" w:rsidRPr="007672A6">
        <w:rPr>
          <w:lang w:val="en-GB"/>
        </w:rPr>
        <w:t xml:space="preserve">The CO emissions sub-model predicts CO production during combustion and exhaust in an engine cylinder element. </w:t>
      </w:r>
    </w:p>
    <w:p w14:paraId="27FABA99" w14:textId="751230A5" w:rsidR="00225860" w:rsidRPr="007672A6" w:rsidRDefault="005268D0" w:rsidP="00B90B6B">
      <w:pPr>
        <w:pStyle w:val="Titolo1"/>
        <w:rPr>
          <w:lang w:val="en-GB" w:eastAsia="en-US"/>
        </w:rPr>
      </w:pPr>
      <w:r w:rsidRPr="007672A6">
        <w:rPr>
          <w:lang w:val="en-GB" w:eastAsia="en-US"/>
        </w:rPr>
        <w:t>Results</w:t>
      </w:r>
    </w:p>
    <w:p w14:paraId="679A006C" w14:textId="2B2B0EE8" w:rsidR="00225860" w:rsidRPr="00225860" w:rsidRDefault="00225860" w:rsidP="004F7BBA">
      <w:pPr>
        <w:ind w:firstLine="0"/>
      </w:pPr>
      <w:r w:rsidRPr="00225860">
        <w:t xml:space="preserve">Once </w:t>
      </w:r>
      <w:r w:rsidR="00C63873">
        <w:t>every</w:t>
      </w:r>
      <w:r w:rsidRPr="00225860">
        <w:t xml:space="preserve"> single element has been inserted and characterized</w:t>
      </w:r>
      <w:r w:rsidR="007A645C">
        <w:t xml:space="preserve"> and </w:t>
      </w:r>
      <w:r w:rsidRPr="00225860">
        <w:t xml:space="preserve">the engine simulator </w:t>
      </w:r>
      <w:r w:rsidR="007A645C">
        <w:t xml:space="preserve">is </w:t>
      </w:r>
      <w:r w:rsidRPr="00225860">
        <w:t xml:space="preserve">assembled, the simulations can be carried out. </w:t>
      </w:r>
      <w:r w:rsidR="008F0346" w:rsidRPr="00225860">
        <w:t>In absence</w:t>
      </w:r>
      <w:r w:rsidRPr="00225860">
        <w:t xml:space="preserve"> of inconsistencies between the boundary conditions, the </w:t>
      </w:r>
      <w:r w:rsidR="007A645C">
        <w:t xml:space="preserve">duct </w:t>
      </w:r>
      <w:r w:rsidRPr="00225860">
        <w:t>diameters</w:t>
      </w:r>
      <w:r w:rsidR="00D02770">
        <w:t>,</w:t>
      </w:r>
      <w:r w:rsidRPr="00225860">
        <w:t xml:space="preserve"> and the combustion parameters, </w:t>
      </w:r>
      <w:r w:rsidR="00C63873">
        <w:t>the simulation</w:t>
      </w:r>
      <w:r w:rsidRPr="00225860">
        <w:t xml:space="preserve"> </w:t>
      </w:r>
      <w:r w:rsidR="007A645C">
        <w:t xml:space="preserve">provides </w:t>
      </w:r>
      <w:r w:rsidRPr="00225860">
        <w:t>a large amount of information on the operating conditions of the engine</w:t>
      </w:r>
      <w:r w:rsidR="007A645C">
        <w:t>, as can be</w:t>
      </w:r>
      <w:r w:rsidR="009F0CD7">
        <w:t xml:space="preserve"> highlighted </w:t>
      </w:r>
      <w:r w:rsidR="00D02770">
        <w:t>in</w:t>
      </w:r>
      <w:r w:rsidR="009F0CD7">
        <w:t xml:space="preserve"> Figure 4.</w:t>
      </w:r>
    </w:p>
    <w:p w14:paraId="241A012E" w14:textId="6500C5EE" w:rsidR="005268D0" w:rsidRDefault="004459E5" w:rsidP="004B6B77">
      <w:pPr>
        <w:ind w:firstLine="0"/>
        <w:jc w:val="center"/>
      </w:pPr>
      <w:r>
        <w:rPr>
          <w:noProof/>
          <w:lang w:val="it-IT" w:eastAsia="it-IT"/>
        </w:rPr>
        <w:drawing>
          <wp:inline distT="0" distB="0" distL="0" distR="0" wp14:anchorId="0FA264CD" wp14:editId="2A7AAC5B">
            <wp:extent cx="2552700" cy="1057638"/>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578" r="1724" b="3953"/>
                    <a:stretch/>
                  </pic:blipFill>
                  <pic:spPr bwMode="auto">
                    <a:xfrm>
                      <a:off x="0" y="0"/>
                      <a:ext cx="2583110" cy="1070237"/>
                    </a:xfrm>
                    <a:prstGeom prst="rect">
                      <a:avLst/>
                    </a:prstGeom>
                    <a:ln>
                      <a:noFill/>
                    </a:ln>
                    <a:extLst>
                      <a:ext uri="{53640926-AAD7-44D8-BBD7-CCE9431645EC}">
                        <a14:shadowObscured xmlns:a14="http://schemas.microsoft.com/office/drawing/2010/main"/>
                      </a:ext>
                    </a:extLst>
                  </pic:spPr>
                </pic:pic>
              </a:graphicData>
            </a:graphic>
          </wp:inline>
        </w:drawing>
      </w:r>
    </w:p>
    <w:p w14:paraId="3501A573" w14:textId="29E649D2" w:rsidR="008F0346" w:rsidRDefault="000E61F4" w:rsidP="004B6B77">
      <w:pPr>
        <w:pStyle w:val="CaptionShort"/>
      </w:pPr>
      <w:r>
        <w:rPr>
          <w:b/>
        </w:rPr>
        <w:t xml:space="preserve">Figure </w:t>
      </w:r>
      <w:r w:rsidR="00F47DDE">
        <w:rPr>
          <w:b/>
        </w:rPr>
        <w:t>4</w:t>
      </w:r>
      <w:r>
        <w:rPr>
          <w:b/>
        </w:rPr>
        <w:t>.</w:t>
      </w:r>
      <w:r w:rsidR="008F0346">
        <w:t xml:space="preserve"> p-V diagram</w:t>
      </w:r>
      <w:r w:rsidR="007E3263">
        <w:t>.</w:t>
      </w:r>
    </w:p>
    <w:p w14:paraId="10736239" w14:textId="417513B2" w:rsidR="00F13091" w:rsidRDefault="005268D0" w:rsidP="0063508D">
      <w:r w:rsidRPr="005268D0">
        <w:t>The possible validation was carried</w:t>
      </w:r>
      <w:r w:rsidR="007E3263">
        <w:t xml:space="preserve"> out on power and </w:t>
      </w:r>
      <w:r w:rsidR="00C63873">
        <w:t>consumption</w:t>
      </w:r>
      <w:r w:rsidR="007E3263">
        <w:t xml:space="preserve">. </w:t>
      </w:r>
      <w:r w:rsidRPr="005268D0">
        <w:t xml:space="preserve">In particular, </w:t>
      </w:r>
      <w:r w:rsidRPr="004B6B77">
        <w:t xml:space="preserve">the power obtained in </w:t>
      </w:r>
      <w:r w:rsidR="009F0CD7">
        <w:t xml:space="preserve">the </w:t>
      </w:r>
      <w:r w:rsidRPr="004B6B77">
        <w:t>simulation</w:t>
      </w:r>
      <w:r w:rsidR="009F0CD7">
        <w:t xml:space="preserve"> environment</w:t>
      </w:r>
      <w:r w:rsidRPr="004B6B77">
        <w:t xml:space="preserve"> at 6300 rpm </w:t>
      </w:r>
      <w:r w:rsidR="00B82D3A">
        <w:t>is equal to 238 kW</w:t>
      </w:r>
      <w:r w:rsidR="009F0CD7">
        <w:t>, with a 7% error as regards the</w:t>
      </w:r>
      <w:r w:rsidRPr="004B6B77">
        <w:t xml:space="preserve"> rated power of the engine</w:t>
      </w:r>
      <w:r w:rsidR="007E3263">
        <w:t xml:space="preserve">. </w:t>
      </w:r>
      <w:r w:rsidR="00D02770">
        <w:t>Additional</w:t>
      </w:r>
      <w:r w:rsidRPr="005268D0">
        <w:t xml:space="preserve"> validation of the simulation model was</w:t>
      </w:r>
      <w:r w:rsidR="009F0CD7">
        <w:t xml:space="preserve"> carried out </w:t>
      </w:r>
      <w:r w:rsidR="00C95EDC">
        <w:t>concerning</w:t>
      </w:r>
      <w:r w:rsidR="009F0CD7">
        <w:t xml:space="preserve"> </w:t>
      </w:r>
      <w:r w:rsidRPr="005268D0">
        <w:t xml:space="preserve">the consumption obtained during sea trials between 4000 and 6300 rpm (63-100% of the load approximately), see Figure </w:t>
      </w:r>
      <w:r w:rsidR="00247AC9">
        <w:t>5</w:t>
      </w:r>
      <w:r w:rsidRPr="005268D0">
        <w:t>.</w:t>
      </w:r>
    </w:p>
    <w:p w14:paraId="22B8F110" w14:textId="358BDA82" w:rsidR="005268D0" w:rsidRDefault="005268D0" w:rsidP="00E56BD5">
      <w:pPr>
        <w:jc w:val="center"/>
      </w:pPr>
      <w:r>
        <w:rPr>
          <w:noProof/>
          <w:lang w:val="it-IT" w:eastAsia="it-IT"/>
        </w:rPr>
        <w:lastRenderedPageBreak/>
        <w:drawing>
          <wp:inline distT="0" distB="0" distL="0" distR="0" wp14:anchorId="5B7342E4" wp14:editId="147526B7">
            <wp:extent cx="3629025" cy="1104900"/>
            <wp:effectExtent l="0" t="0" r="0" b="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AFFB74" w14:textId="490C01DB" w:rsidR="000E61F4" w:rsidRDefault="000E61F4" w:rsidP="00B82D3A">
      <w:pPr>
        <w:pStyle w:val="CaptionShort"/>
      </w:pPr>
      <w:r>
        <w:rPr>
          <w:b/>
        </w:rPr>
        <w:t xml:space="preserve">Figure </w:t>
      </w:r>
      <w:r w:rsidR="00F47DDE">
        <w:rPr>
          <w:b/>
        </w:rPr>
        <w:t>5</w:t>
      </w:r>
      <w:r>
        <w:rPr>
          <w:b/>
        </w:rPr>
        <w:t>.</w:t>
      </w:r>
      <w:r>
        <w:t xml:space="preserve"> </w:t>
      </w:r>
      <w:r w:rsidR="0035562E">
        <w:t>Specific fuel consumption validation</w:t>
      </w:r>
      <w:r w:rsidR="00EF796A">
        <w:t>.</w:t>
      </w:r>
    </w:p>
    <w:p w14:paraId="63F7064E" w14:textId="3FB38B77" w:rsidR="00061A99" w:rsidRPr="00061A99" w:rsidRDefault="00BF0F42" w:rsidP="007672A6">
      <w:pPr>
        <w:autoSpaceDE w:val="0"/>
        <w:autoSpaceDN w:val="0"/>
        <w:adjustRightInd w:val="0"/>
        <w:spacing w:before="60"/>
      </w:pPr>
      <w:r w:rsidRPr="00BF0F42">
        <w:t>The NO</w:t>
      </w:r>
      <w:r w:rsidRPr="00BF0F42">
        <w:rPr>
          <w:vertAlign w:val="subscript"/>
        </w:rPr>
        <w:t>X</w:t>
      </w:r>
      <w:r w:rsidRPr="00BF0F42">
        <w:t xml:space="preserve"> flow rate </w:t>
      </w:r>
      <w:r w:rsidR="009F0CD7">
        <w:t>a</w:t>
      </w:r>
      <w:r w:rsidRPr="00BF0F42">
        <w:t xml:space="preserve">t 6300 rpm is </w:t>
      </w:r>
      <w:r w:rsidR="009F0CD7">
        <w:t xml:space="preserve">equal to </w:t>
      </w:r>
      <w:r w:rsidRPr="00BF0F42">
        <w:t>1</w:t>
      </w:r>
      <w:proofErr w:type="gramStart"/>
      <w:r w:rsidR="00EF796A">
        <w:t>,</w:t>
      </w:r>
      <w:r w:rsidRPr="00BF0F42">
        <w:t>39</w:t>
      </w:r>
      <w:proofErr w:type="gramEnd"/>
      <w:r w:rsidRPr="00BF0F42">
        <w:t xml:space="preserve"> kg/h</w:t>
      </w:r>
      <w:r w:rsidR="009F0CD7">
        <w:t>, based on the simulation results</w:t>
      </w:r>
      <w:r w:rsidRPr="00BF0F42">
        <w:t xml:space="preserve">. This value can easily be compared with the emission factor provided </w:t>
      </w:r>
      <w:r w:rsidR="00247AC9">
        <w:t>by EMEP-EEA (2019)</w:t>
      </w:r>
      <w:r w:rsidRPr="00BF0F42">
        <w:t xml:space="preserve"> of 25</w:t>
      </w:r>
      <w:proofErr w:type="gramStart"/>
      <w:r w:rsidR="00EF796A">
        <w:t>,</w:t>
      </w:r>
      <w:r w:rsidRPr="00BF0F42">
        <w:t>8</w:t>
      </w:r>
      <w:proofErr w:type="gramEnd"/>
      <w:r w:rsidRPr="00BF0F42">
        <w:t xml:space="preserve"> kg</w:t>
      </w:r>
      <w:r w:rsidR="00247AC9">
        <w:t>/</w:t>
      </w:r>
      <w:r w:rsidR="00C63873">
        <w:t>fuel</w:t>
      </w:r>
      <w:r w:rsidR="00247AC9">
        <w:rPr>
          <w:vertAlign w:val="subscript"/>
        </w:rPr>
        <w:t xml:space="preserve"> </w:t>
      </w:r>
      <w:r w:rsidR="00247AC9" w:rsidRPr="00247AC9">
        <w:fldChar w:fldCharType="begin"/>
      </w:r>
      <w:r w:rsidR="00247AC9" w:rsidRPr="00247AC9">
        <w:instrText xml:space="preserve"> REF _Ref98315538 \r \h  \* MERGEFORMAT </w:instrText>
      </w:r>
      <w:r w:rsidR="00247AC9" w:rsidRPr="00247AC9">
        <w:fldChar w:fldCharType="separate"/>
      </w:r>
      <w:r w:rsidR="002C50A2">
        <w:t>[22]</w:t>
      </w:r>
      <w:r w:rsidR="00247AC9" w:rsidRPr="00247AC9">
        <w:fldChar w:fldCharType="end"/>
      </w:r>
      <w:r w:rsidRPr="00247AC9">
        <w:t>.</w:t>
      </w:r>
      <w:r w:rsidR="00247AC9">
        <w:t xml:space="preserve"> </w:t>
      </w:r>
      <w:r w:rsidRPr="00BF0F42">
        <w:t>Taking into account the specific consumption obtained with the s</w:t>
      </w:r>
      <w:r w:rsidR="00EF796A">
        <w:t xml:space="preserve">imulation of approximately </w:t>
      </w:r>
      <w:r w:rsidR="00247AC9">
        <w:t>76 l</w:t>
      </w:r>
      <w:r w:rsidRPr="00BF0F42">
        <w:t xml:space="preserve">/h </w:t>
      </w:r>
      <w:r w:rsidR="00247AC9">
        <w:t>equivalents to approximately 0</w:t>
      </w:r>
      <w:r w:rsidR="00EF796A">
        <w:t>,</w:t>
      </w:r>
      <w:r w:rsidR="00247AC9">
        <w:t>057 t/h</w:t>
      </w:r>
      <w:r w:rsidRPr="00BF0F42">
        <w:t xml:space="preserve"> and dividing the pollutant flow rate obtained by this value, an emission factor of approximately 24</w:t>
      </w:r>
      <w:r w:rsidR="00EF796A">
        <w:t>,</w:t>
      </w:r>
      <w:r w:rsidRPr="00BF0F42">
        <w:t>4 (approximately -5</w:t>
      </w:r>
      <w:r w:rsidR="00EF796A">
        <w:t>,</w:t>
      </w:r>
      <w:r w:rsidRPr="00BF0F42">
        <w:t>5%) is obtained.</w:t>
      </w:r>
      <w:r>
        <w:t xml:space="preserve"> </w:t>
      </w:r>
      <w:r w:rsidR="007672A6" w:rsidRPr="007672A6">
        <w:t xml:space="preserve">As regards the CO emission, the results have shown how the uncertainties related to the combustion parameters such as the duration of combustion or the position in which 50% of the mass of fuel burns significantly </w:t>
      </w:r>
      <w:r w:rsidR="009F0CD7">
        <w:t>affected</w:t>
      </w:r>
      <w:r w:rsidR="007672A6" w:rsidRPr="007672A6">
        <w:t xml:space="preserve"> the </w:t>
      </w:r>
      <w:r w:rsidR="009F0CD7">
        <w:t xml:space="preserve">obtained </w:t>
      </w:r>
      <w:r w:rsidR="007672A6" w:rsidRPr="007672A6">
        <w:t xml:space="preserve">results. </w:t>
      </w:r>
      <w:r w:rsidR="009F0CD7">
        <w:t>In this respect</w:t>
      </w:r>
      <w:r w:rsidR="007672A6" w:rsidRPr="007672A6">
        <w:t>, by varying this parameter between 5</w:t>
      </w:r>
      <w:r w:rsidR="00EF796A" w:rsidRPr="00EF796A">
        <w:rPr>
          <w:vertAlign w:val="superscript"/>
        </w:rPr>
        <w:t>O</w:t>
      </w:r>
      <w:r w:rsidR="007672A6" w:rsidRPr="007672A6">
        <w:t xml:space="preserve"> and 15</w:t>
      </w:r>
      <w:r w:rsidR="00EF796A" w:rsidRPr="00EF796A">
        <w:rPr>
          <w:vertAlign w:val="superscript"/>
        </w:rPr>
        <w:t xml:space="preserve"> O</w:t>
      </w:r>
      <w:r w:rsidR="007672A6" w:rsidRPr="007672A6">
        <w:t>, the results range from a minimum of 4</w:t>
      </w:r>
      <w:proofErr w:type="gramStart"/>
      <w:r w:rsidR="00EF796A">
        <w:t>,</w:t>
      </w:r>
      <w:r w:rsidR="007672A6" w:rsidRPr="007672A6">
        <w:t>5</w:t>
      </w:r>
      <w:proofErr w:type="gramEnd"/>
      <w:r w:rsidR="007672A6" w:rsidRPr="007672A6">
        <w:t xml:space="preserve"> to a maximum of 8</w:t>
      </w:r>
      <w:r w:rsidR="00EF796A">
        <w:t>,</w:t>
      </w:r>
      <w:r w:rsidR="009F0CD7">
        <w:t>0</w:t>
      </w:r>
      <w:r w:rsidR="007672A6" w:rsidRPr="007672A6">
        <w:t xml:space="preserve"> kg/h. Even the use of a fuel with a RON other than the prescribed one affects the results: by switching from a RON100 to a RON91 the CO flow rate drops from 3</w:t>
      </w:r>
      <w:proofErr w:type="gramStart"/>
      <w:r w:rsidR="00EF796A">
        <w:t>,</w:t>
      </w:r>
      <w:r w:rsidR="009F0CD7">
        <w:t>0</w:t>
      </w:r>
      <w:proofErr w:type="gramEnd"/>
      <w:r w:rsidR="007672A6" w:rsidRPr="007672A6">
        <w:t xml:space="preserve"> to 2</w:t>
      </w:r>
      <w:r w:rsidR="00EF796A">
        <w:t>,</w:t>
      </w:r>
      <w:r w:rsidR="007672A6" w:rsidRPr="007672A6">
        <w:t>3 kg/h. In any case, the model returns an emission fa</w:t>
      </w:r>
      <w:r w:rsidR="007672A6">
        <w:t>ctor never higher than 150 kg/</w:t>
      </w:r>
      <w:proofErr w:type="spellStart"/>
      <w:r w:rsidR="007672A6" w:rsidRPr="007672A6">
        <w:t>t</w:t>
      </w:r>
      <w:r w:rsidR="007672A6" w:rsidRPr="007672A6">
        <w:rPr>
          <w:vertAlign w:val="subscript"/>
        </w:rPr>
        <w:t>fuel</w:t>
      </w:r>
      <w:proofErr w:type="spellEnd"/>
      <w:r w:rsidR="007672A6" w:rsidRPr="007672A6">
        <w:t xml:space="preserve">, </w:t>
      </w:r>
      <w:r w:rsidR="007672A6" w:rsidRPr="007672A6">
        <w:rPr>
          <w:lang w:val="en-GB"/>
        </w:rPr>
        <w:t>therefore</w:t>
      </w:r>
      <w:r w:rsidR="007672A6" w:rsidRPr="007672A6">
        <w:t xml:space="preserve"> always well below the 348 kg/</w:t>
      </w:r>
      <w:proofErr w:type="spellStart"/>
      <w:r w:rsidR="007672A6" w:rsidRPr="007672A6">
        <w:t>t</w:t>
      </w:r>
      <w:r w:rsidR="007672A6" w:rsidRPr="007672A6">
        <w:rPr>
          <w:vertAlign w:val="subscript"/>
        </w:rPr>
        <w:t>fuel</w:t>
      </w:r>
      <w:proofErr w:type="spellEnd"/>
      <w:r w:rsidR="007672A6" w:rsidRPr="007672A6">
        <w:t xml:space="preserve"> expected for 4-stroke petrol by EMEP-EEA </w:t>
      </w:r>
      <w:r w:rsidR="005C39CB" w:rsidRPr="00247AC9">
        <w:fldChar w:fldCharType="begin"/>
      </w:r>
      <w:r w:rsidR="005C39CB" w:rsidRPr="00247AC9">
        <w:instrText xml:space="preserve"> REF _Ref98315538 \r \h  \* MERGEFORMAT </w:instrText>
      </w:r>
      <w:r w:rsidR="005C39CB" w:rsidRPr="00247AC9">
        <w:fldChar w:fldCharType="separate"/>
      </w:r>
      <w:r w:rsidR="002C50A2">
        <w:t>[22]</w:t>
      </w:r>
      <w:r w:rsidR="005C39CB" w:rsidRPr="00247AC9">
        <w:fldChar w:fldCharType="end"/>
      </w:r>
      <w:r w:rsidR="005C39CB" w:rsidRPr="00247AC9">
        <w:t>.</w:t>
      </w:r>
    </w:p>
    <w:p w14:paraId="2D2249EF" w14:textId="0CD625D9" w:rsidR="00850380" w:rsidRDefault="00850380" w:rsidP="00B24230">
      <w:pPr>
        <w:pStyle w:val="Titolo1"/>
      </w:pPr>
      <w:r>
        <w:t xml:space="preserve">Sensitivity analysis </w:t>
      </w:r>
    </w:p>
    <w:p w14:paraId="2115D839" w14:textId="002088FF" w:rsidR="00194FC4" w:rsidRPr="001163B5" w:rsidRDefault="00235062" w:rsidP="004F7BBA">
      <w:pPr>
        <w:pStyle w:val="NoindentNormal"/>
      </w:pPr>
      <w:r>
        <w:t xml:space="preserve">Given the large number of parameters involved that were not available from the datasheet during the construction of the model, </w:t>
      </w:r>
      <w:r w:rsidR="008B3F00">
        <w:t xml:space="preserve">a </w:t>
      </w:r>
      <w:r>
        <w:t xml:space="preserve">sensitivity analysis </w:t>
      </w:r>
      <w:r w:rsidR="00C95EDC">
        <w:t>of</w:t>
      </w:r>
      <w:r>
        <w:t xml:space="preserve"> the data was necessary</w:t>
      </w:r>
      <w:r w:rsidR="00D67BD7">
        <w:t xml:space="preserve"> </w:t>
      </w:r>
      <w:r w:rsidR="00D67BD7">
        <w:fldChar w:fldCharType="begin"/>
      </w:r>
      <w:r w:rsidR="00D67BD7">
        <w:instrText xml:space="preserve"> REF _Ref97820271 \r \h </w:instrText>
      </w:r>
      <w:r w:rsidR="00D67BD7">
        <w:fldChar w:fldCharType="separate"/>
      </w:r>
      <w:r w:rsidR="002C50A2">
        <w:t>[23]</w:t>
      </w:r>
      <w:r w:rsidR="00D67BD7">
        <w:fldChar w:fldCharType="end"/>
      </w:r>
      <w:r w:rsidR="00082172">
        <w:t>-</w:t>
      </w:r>
      <w:r w:rsidR="00082172">
        <w:fldChar w:fldCharType="begin"/>
      </w:r>
      <w:r w:rsidR="00082172">
        <w:instrText xml:space="preserve"> REF _Ref97821607 \r \h </w:instrText>
      </w:r>
      <w:r w:rsidR="00082172">
        <w:fldChar w:fldCharType="separate"/>
      </w:r>
      <w:r w:rsidR="002C50A2">
        <w:t>[25]</w:t>
      </w:r>
      <w:r w:rsidR="00082172">
        <w:fldChar w:fldCharType="end"/>
      </w:r>
      <w:r>
        <w:t xml:space="preserve">. </w:t>
      </w:r>
      <w:r w:rsidR="008B3F00">
        <w:t>From</w:t>
      </w:r>
      <w:r>
        <w:t xml:space="preserve"> </w:t>
      </w:r>
      <w:r w:rsidR="008B3F00">
        <w:t xml:space="preserve">a </w:t>
      </w:r>
      <w:r>
        <w:t xml:space="preserve">careful observation of the input parameters, the following quantities were chosen for the aforementioned analysis: </w:t>
      </w:r>
      <w:r w:rsidR="001163B5">
        <w:t>d</w:t>
      </w:r>
      <w:r>
        <w:t>uration o</w:t>
      </w:r>
      <w:r w:rsidR="001163B5">
        <w:t>f combustion</w:t>
      </w:r>
      <w:r w:rsidR="00DD267B">
        <w:t xml:space="preserve"> (a)</w:t>
      </w:r>
      <w:r w:rsidR="001163B5">
        <w:t xml:space="preserve">, </w:t>
      </w:r>
      <w:r w:rsidR="00090D26">
        <w:t xml:space="preserve">the </w:t>
      </w:r>
      <w:r w:rsidR="001163B5">
        <w:t>p</w:t>
      </w:r>
      <w:r>
        <w:t>osition of the burnt 50% mass fraction (</w:t>
      </w:r>
      <w:r w:rsidR="00EF796A">
        <w:t>ATDC</w:t>
      </w:r>
      <w:r>
        <w:t>)</w:t>
      </w:r>
      <w:r w:rsidR="00DD267B">
        <w:t xml:space="preserve"> (b)</w:t>
      </w:r>
      <w:r>
        <w:t xml:space="preserve">; </w:t>
      </w:r>
      <w:r w:rsidR="00090D26">
        <w:t xml:space="preserve">the </w:t>
      </w:r>
      <w:r w:rsidR="001163B5">
        <w:t>f</w:t>
      </w:r>
      <w:r>
        <w:t>raction of liquid that evaporates during injection</w:t>
      </w:r>
      <w:r w:rsidR="00DD267B">
        <w:t xml:space="preserve"> (c)</w:t>
      </w:r>
      <w:r>
        <w:t xml:space="preserve">; </w:t>
      </w:r>
      <w:r w:rsidR="001163B5">
        <w:t>v</w:t>
      </w:r>
      <w:r>
        <w:t>ari</w:t>
      </w:r>
      <w:r w:rsidR="001163B5">
        <w:t>ation of the inlet temperature and</w:t>
      </w:r>
      <w:r>
        <w:t xml:space="preserve"> pressure</w:t>
      </w:r>
      <w:r w:rsidR="00DD267B">
        <w:t xml:space="preserve"> (d)</w:t>
      </w:r>
      <w:r>
        <w:t xml:space="preserve">. </w:t>
      </w:r>
      <w:r w:rsidR="006E2C09">
        <w:t>The output results of the sensitivity analysis are</w:t>
      </w:r>
      <w:r w:rsidRPr="007F60AD">
        <w:t xml:space="preserve">: </w:t>
      </w:r>
      <w:r w:rsidR="006E2C09">
        <w:t>(</w:t>
      </w:r>
      <w:proofErr w:type="spellStart"/>
      <w:r w:rsidR="006E2C09">
        <w:t>i</w:t>
      </w:r>
      <w:proofErr w:type="spellEnd"/>
      <w:r w:rsidR="006E2C09">
        <w:t>) the main properties</w:t>
      </w:r>
      <w:r w:rsidRPr="007F60AD">
        <w:t xml:space="preserve"> of combustion and pressure in the cylinder (</w:t>
      </w:r>
      <w:r w:rsidR="001163B5" w:rsidRPr="007F60AD">
        <w:t xml:space="preserve">only </w:t>
      </w:r>
      <w:r w:rsidRPr="007F60AD">
        <w:t>for the first two analyzes</w:t>
      </w:r>
      <w:r w:rsidR="001163B5" w:rsidRPr="007F60AD">
        <w:t xml:space="preserve">), </w:t>
      </w:r>
      <w:r w:rsidR="006E2C09">
        <w:t xml:space="preserve">(ii) </w:t>
      </w:r>
      <w:r w:rsidR="001163B5" w:rsidRPr="007F60AD">
        <w:t>torque and/or power,</w:t>
      </w:r>
      <w:r w:rsidR="006E2C09">
        <w:t xml:space="preserve"> (iii) </w:t>
      </w:r>
      <w:r w:rsidR="005C39CB">
        <w:t>emissions</w:t>
      </w:r>
      <w:r w:rsidR="001163B5" w:rsidRPr="007F60AD">
        <w:t>,</w:t>
      </w:r>
      <w:r w:rsidRPr="007F60AD">
        <w:t xml:space="preserve"> ppm of </w:t>
      </w:r>
      <w:r w:rsidR="001163B5" w:rsidRPr="007F60AD">
        <w:t>NO</w:t>
      </w:r>
      <w:r w:rsidR="001163B5" w:rsidRPr="007F60AD">
        <w:rPr>
          <w:vertAlign w:val="subscript"/>
        </w:rPr>
        <w:t>X</w:t>
      </w:r>
      <w:r w:rsidR="00082172">
        <w:rPr>
          <w:vertAlign w:val="subscript"/>
        </w:rPr>
        <w:t>,</w:t>
      </w:r>
      <w:r w:rsidR="001163B5" w:rsidRPr="007F60AD">
        <w:t xml:space="preserve"> and CO.</w:t>
      </w:r>
      <w:r w:rsidR="00082172">
        <w:t xml:space="preserve"> </w:t>
      </w:r>
      <w:r w:rsidR="00DD267B" w:rsidRPr="00DD267B">
        <w:t xml:space="preserve">The results show that by tightening the combustion duration, a slightly higher power, reduced consumption, and a lower CO emission (in contrast to the NOx emissions) in accordance </w:t>
      </w:r>
      <w:r w:rsidR="00DD267B">
        <w:t xml:space="preserve">with Heywood </w:t>
      </w:r>
      <w:r w:rsidR="00C95EDC">
        <w:t xml:space="preserve">(2018) </w:t>
      </w:r>
      <w:r w:rsidR="00DD267B">
        <w:t xml:space="preserve">is obtained </w:t>
      </w:r>
      <w:r w:rsidR="00DD267B">
        <w:fldChar w:fldCharType="begin"/>
      </w:r>
      <w:r w:rsidR="00DD267B">
        <w:instrText xml:space="preserve"> REF _Ref98315372 \r \h </w:instrText>
      </w:r>
      <w:r w:rsidR="005C39CB">
        <w:instrText xml:space="preserve"> \* MERGEFORMAT </w:instrText>
      </w:r>
      <w:r w:rsidR="00DD267B">
        <w:fldChar w:fldCharType="separate"/>
      </w:r>
      <w:r w:rsidR="002C50A2">
        <w:t>[21]</w:t>
      </w:r>
      <w:r w:rsidR="00DD267B">
        <w:fldChar w:fldCharType="end"/>
      </w:r>
      <w:r w:rsidR="00DD267B">
        <w:t>.</w:t>
      </w:r>
      <w:r w:rsidR="004F7BBA">
        <w:t xml:space="preserve"> </w:t>
      </w:r>
      <w:r w:rsidR="00DD267B" w:rsidRPr="00DD267B">
        <w:t>The position of the 50% fraction of burned mass, to which the whole combustion process is se</w:t>
      </w:r>
      <w:r w:rsidR="00227589">
        <w:t>nsitive, was initially set at 8</w:t>
      </w:r>
      <w:r w:rsidR="00227589" w:rsidRPr="00082172">
        <w:rPr>
          <w:vertAlign w:val="superscript"/>
        </w:rPr>
        <w:t>O</w:t>
      </w:r>
      <w:r w:rsidR="00227589" w:rsidRPr="005C39CB">
        <w:t xml:space="preserve"> </w:t>
      </w:r>
      <w:r w:rsidR="00DD267B" w:rsidRPr="00DD267B">
        <w:t xml:space="preserve">ATDC </w:t>
      </w:r>
      <w:r w:rsidR="00D02770">
        <w:t xml:space="preserve">and </w:t>
      </w:r>
      <w:r w:rsidR="00DD267B" w:rsidRPr="00DD267B">
        <w:t xml:space="preserve">has been </w:t>
      </w:r>
      <w:r w:rsidR="00DD267B">
        <w:t>altered by ±3</w:t>
      </w:r>
      <w:r w:rsidR="00DD267B" w:rsidRPr="00D02770">
        <w:rPr>
          <w:vertAlign w:val="superscript"/>
        </w:rPr>
        <w:t>O</w:t>
      </w:r>
      <w:r w:rsidR="00DD267B">
        <w:t>. The 5</w:t>
      </w:r>
      <w:r w:rsidR="00DD267B" w:rsidRPr="00082172">
        <w:rPr>
          <w:vertAlign w:val="superscript"/>
        </w:rPr>
        <w:t>O</w:t>
      </w:r>
      <w:r w:rsidR="00DD267B" w:rsidRPr="00DD267B">
        <w:t xml:space="preserve"> position ATDC determines a higher power peak as the quantity of fuel present in the combustion chamber is greater, with optimization o</w:t>
      </w:r>
      <w:r w:rsidR="004F7BBA">
        <w:t xml:space="preserve">f consumption and CO emissions. </w:t>
      </w:r>
      <w:r w:rsidR="00DD267B" w:rsidRPr="00DD267B">
        <w:t xml:space="preserve">The liquid fraction that evaporates immediately after injection, has been set </w:t>
      </w:r>
      <w:r w:rsidR="009853DF">
        <w:t>equal to</w:t>
      </w:r>
      <w:r w:rsidR="00DD267B" w:rsidRPr="00DD267B">
        <w:t xml:space="preserve"> 0</w:t>
      </w:r>
      <w:proofErr w:type="gramStart"/>
      <w:r w:rsidR="00777B08">
        <w:t>,</w:t>
      </w:r>
      <w:r w:rsidR="00DD267B" w:rsidRPr="00DD267B">
        <w:t>3</w:t>
      </w:r>
      <w:proofErr w:type="gramEnd"/>
      <w:r w:rsidR="00DD267B" w:rsidRPr="00DD267B">
        <w:t xml:space="preserve"> and </w:t>
      </w:r>
      <w:r w:rsidR="009853DF">
        <w:t xml:space="preserve">it was </w:t>
      </w:r>
      <w:r w:rsidR="00DD267B" w:rsidRPr="00DD267B">
        <w:t>varied between 0.1 and 0</w:t>
      </w:r>
      <w:r w:rsidR="00777B08">
        <w:t>,</w:t>
      </w:r>
      <w:r w:rsidR="00DD267B" w:rsidRPr="00DD267B">
        <w:t xml:space="preserve">5. </w:t>
      </w:r>
      <w:r w:rsidR="009853DF">
        <w:t xml:space="preserve">Based on current results, this parameter has </w:t>
      </w:r>
      <w:r w:rsidR="00082172">
        <w:t xml:space="preserve">a </w:t>
      </w:r>
      <w:r w:rsidR="009853DF">
        <w:t>low incidence o</w:t>
      </w:r>
      <w:r w:rsidR="00DD267B" w:rsidRPr="00DD267B">
        <w:t xml:space="preserve">n torque and </w:t>
      </w:r>
      <w:r w:rsidR="00082172">
        <w:t>consumption</w:t>
      </w:r>
      <w:r w:rsidR="00DD267B" w:rsidRPr="00DD267B">
        <w:t>.</w:t>
      </w:r>
      <w:r w:rsidR="004F7BBA">
        <w:t xml:space="preserve"> </w:t>
      </w:r>
      <w:r w:rsidR="00194FC4" w:rsidRPr="00194FC4">
        <w:t xml:space="preserve">The inlet temperature has been altered </w:t>
      </w:r>
      <w:r w:rsidR="00090D26">
        <w:t>of</w:t>
      </w:r>
      <w:r w:rsidR="00194FC4" w:rsidRPr="00194FC4">
        <w:t xml:space="preserve"> </w:t>
      </w:r>
      <w:r w:rsidR="00227589">
        <w:t>±</w:t>
      </w:r>
      <w:r w:rsidR="00194FC4" w:rsidRPr="00194FC4">
        <w:t>5</w:t>
      </w:r>
      <w:r w:rsidR="00227589">
        <w:t xml:space="preserve"> </w:t>
      </w:r>
      <w:r w:rsidR="00194FC4" w:rsidRPr="00194FC4">
        <w:t xml:space="preserve">K related to the default value of 298 </w:t>
      </w:r>
      <w:r w:rsidR="00227589">
        <w:t>K</w:t>
      </w:r>
      <w:r w:rsidR="00194FC4" w:rsidRPr="00194FC4">
        <w:t>. The results show a slight increase in torque when the temperature drops and a slight decrease in the same with a higher input temperature. Consumption, on the other hand, remains substan</w:t>
      </w:r>
      <w:r w:rsidR="00227589">
        <w:t xml:space="preserve">tially unchanged </w:t>
      </w:r>
      <w:r w:rsidR="00090D26">
        <w:t xml:space="preserve">(Table </w:t>
      </w:r>
      <w:r w:rsidR="00D02770">
        <w:t>4</w:t>
      </w:r>
      <w:r w:rsidR="00227589">
        <w:t>). Finally</w:t>
      </w:r>
      <w:r w:rsidR="00090D26">
        <w:t>,</w:t>
      </w:r>
      <w:r w:rsidR="00194FC4" w:rsidRPr="00194FC4">
        <w:t xml:space="preserve"> the inlet pressure has been altered of </w:t>
      </w:r>
      <w:r w:rsidR="00227589">
        <w:t>±</w:t>
      </w:r>
      <w:r w:rsidR="00194FC4" w:rsidRPr="00194FC4">
        <w:t xml:space="preserve">5% related to the 1 bar of default. The power obtained with a 5% increase in </w:t>
      </w:r>
      <w:r w:rsidR="00194FC4" w:rsidRPr="00194FC4">
        <w:lastRenderedPageBreak/>
        <w:t>inlet pressure reaches 251 kW, which reduces the error of the simulation model to 3%. Also, the fuel flow rate, in this case, is c</w:t>
      </w:r>
      <w:r w:rsidR="00227589">
        <w:t>loser to the real case of 83</w:t>
      </w:r>
      <w:proofErr w:type="gramStart"/>
      <w:r w:rsidR="00EF796A">
        <w:t>,</w:t>
      </w:r>
      <w:r w:rsidR="00227589">
        <w:t>2</w:t>
      </w:r>
      <w:proofErr w:type="gramEnd"/>
      <w:r w:rsidR="00227589">
        <w:t xml:space="preserve"> l/</w:t>
      </w:r>
      <w:r w:rsidR="00194FC4" w:rsidRPr="00194FC4">
        <w:t xml:space="preserve">h, see Table </w:t>
      </w:r>
      <w:r w:rsidR="00D02770">
        <w:t>4</w:t>
      </w:r>
      <w:r w:rsidR="00194FC4" w:rsidRPr="00194FC4">
        <w:t>.</w:t>
      </w:r>
    </w:p>
    <w:p w14:paraId="5A01AB61" w14:textId="2AFF22C3" w:rsidR="00B24230" w:rsidRPr="00B24230" w:rsidRDefault="00B24230" w:rsidP="00B24230">
      <w:pPr>
        <w:pStyle w:val="CaptionLong"/>
        <w:jc w:val="center"/>
        <w:rPr>
          <w:b/>
        </w:rPr>
      </w:pPr>
      <w:r w:rsidRPr="00B24230">
        <w:rPr>
          <w:b/>
        </w:rPr>
        <w:t xml:space="preserve">Table </w:t>
      </w:r>
      <w:r w:rsidRPr="00B24230">
        <w:rPr>
          <w:b/>
        </w:rPr>
        <w:fldChar w:fldCharType="begin"/>
      </w:r>
      <w:r w:rsidRPr="00B24230">
        <w:rPr>
          <w:b/>
        </w:rPr>
        <w:instrText xml:space="preserve"> SEQ Table \* ARABIC </w:instrText>
      </w:r>
      <w:r w:rsidRPr="00B24230">
        <w:rPr>
          <w:b/>
        </w:rPr>
        <w:fldChar w:fldCharType="separate"/>
      </w:r>
      <w:r w:rsidR="002C50A2">
        <w:rPr>
          <w:b/>
          <w:noProof/>
        </w:rPr>
        <w:t>4</w:t>
      </w:r>
      <w:r w:rsidRPr="00B24230">
        <w:rPr>
          <w:b/>
        </w:rPr>
        <w:fldChar w:fldCharType="end"/>
      </w:r>
      <w:r>
        <w:rPr>
          <w:b/>
        </w:rPr>
        <w:t xml:space="preserve">. </w:t>
      </w:r>
      <w:r w:rsidRPr="00B24230">
        <w:rPr>
          <w:bCs/>
        </w:rPr>
        <w:t>Results of the sensitivity analysis</w:t>
      </w:r>
    </w:p>
    <w:tbl>
      <w:tblPr>
        <w:tblW w:w="5000" w:type="pct"/>
        <w:jc w:val="center"/>
        <w:tblCellMar>
          <w:left w:w="70" w:type="dxa"/>
          <w:right w:w="70" w:type="dxa"/>
        </w:tblCellMar>
        <w:tblLook w:val="04A0" w:firstRow="1" w:lastRow="0" w:firstColumn="1" w:lastColumn="0" w:noHBand="0" w:noVBand="1"/>
      </w:tblPr>
      <w:tblGrid>
        <w:gridCol w:w="2053"/>
        <w:gridCol w:w="609"/>
        <w:gridCol w:w="654"/>
        <w:gridCol w:w="735"/>
        <w:gridCol w:w="806"/>
        <w:gridCol w:w="658"/>
        <w:gridCol w:w="634"/>
        <w:gridCol w:w="882"/>
      </w:tblGrid>
      <w:tr w:rsidR="002466A8" w:rsidRPr="002466A8" w14:paraId="0EEEB943" w14:textId="77777777" w:rsidTr="002C50A2">
        <w:trPr>
          <w:trHeight w:val="259"/>
          <w:jc w:val="center"/>
        </w:trPr>
        <w:tc>
          <w:tcPr>
            <w:tcW w:w="1460" w:type="pct"/>
            <w:tcBorders>
              <w:top w:val="single" w:sz="4" w:space="0" w:color="auto"/>
              <w:left w:val="nil"/>
              <w:bottom w:val="single" w:sz="4" w:space="0" w:color="auto"/>
              <w:right w:val="nil"/>
            </w:tcBorders>
            <w:shd w:val="clear" w:color="auto" w:fill="auto"/>
            <w:noWrap/>
            <w:vAlign w:val="center"/>
            <w:hideMark/>
          </w:tcPr>
          <w:p w14:paraId="2284B966" w14:textId="2A5BB9E3" w:rsidR="002466A8" w:rsidRPr="002466A8" w:rsidRDefault="002466A8" w:rsidP="00824A04">
            <w:pPr>
              <w:ind w:firstLine="0"/>
              <w:jc w:val="center"/>
              <w:rPr>
                <w:rFonts w:eastAsia="Times New Roman"/>
                <w:sz w:val="16"/>
                <w:szCs w:val="16"/>
                <w:lang w:eastAsia="it-IT" w:bidi="hi-IN"/>
              </w:rPr>
            </w:pPr>
            <w:bookmarkStart w:id="1" w:name="_GoBack"/>
          </w:p>
        </w:tc>
        <w:tc>
          <w:tcPr>
            <w:tcW w:w="433" w:type="pct"/>
            <w:tcBorders>
              <w:top w:val="single" w:sz="4" w:space="0" w:color="auto"/>
              <w:left w:val="nil"/>
              <w:bottom w:val="single" w:sz="4" w:space="0" w:color="auto"/>
              <w:right w:val="nil"/>
            </w:tcBorders>
            <w:shd w:val="clear" w:color="auto" w:fill="auto"/>
            <w:noWrap/>
            <w:vAlign w:val="center"/>
            <w:hideMark/>
          </w:tcPr>
          <w:p w14:paraId="58C93B92" w14:textId="2608601B" w:rsidR="002466A8" w:rsidRPr="002466A8" w:rsidRDefault="002466A8" w:rsidP="00824A04">
            <w:pPr>
              <w:ind w:firstLine="0"/>
              <w:jc w:val="center"/>
              <w:rPr>
                <w:rFonts w:eastAsia="Times New Roman"/>
                <w:sz w:val="16"/>
                <w:szCs w:val="16"/>
                <w:lang w:eastAsia="it-IT" w:bidi="hi-IN"/>
              </w:rPr>
            </w:pPr>
          </w:p>
        </w:tc>
        <w:tc>
          <w:tcPr>
            <w:tcW w:w="465" w:type="pct"/>
            <w:tcBorders>
              <w:top w:val="single" w:sz="4" w:space="0" w:color="auto"/>
              <w:left w:val="nil"/>
              <w:bottom w:val="single" w:sz="4" w:space="0" w:color="auto"/>
              <w:right w:val="nil"/>
            </w:tcBorders>
            <w:shd w:val="clear" w:color="auto" w:fill="auto"/>
            <w:noWrap/>
            <w:vAlign w:val="center"/>
            <w:hideMark/>
          </w:tcPr>
          <w:p w14:paraId="3AFF2EC0" w14:textId="77777777" w:rsidR="002466A8" w:rsidRPr="002466A8" w:rsidRDefault="002466A8" w:rsidP="00824A04">
            <w:pPr>
              <w:ind w:firstLine="0"/>
              <w:jc w:val="center"/>
              <w:rPr>
                <w:rFonts w:eastAsia="Times New Roman"/>
                <w:b/>
                <w:bCs/>
                <w:sz w:val="16"/>
                <w:szCs w:val="16"/>
                <w:lang w:eastAsia="it-IT" w:bidi="hi-IN"/>
              </w:rPr>
            </w:pPr>
            <w:r w:rsidRPr="002466A8">
              <w:rPr>
                <w:rFonts w:eastAsia="Times New Roman"/>
                <w:b/>
                <w:bCs/>
                <w:sz w:val="16"/>
                <w:szCs w:val="16"/>
                <w:lang w:eastAsia="it-IT" w:bidi="hi-IN"/>
              </w:rPr>
              <w:t>Power</w:t>
            </w:r>
          </w:p>
        </w:tc>
        <w:tc>
          <w:tcPr>
            <w:tcW w:w="523" w:type="pct"/>
            <w:tcBorders>
              <w:top w:val="single" w:sz="4" w:space="0" w:color="auto"/>
              <w:left w:val="nil"/>
              <w:bottom w:val="single" w:sz="4" w:space="0" w:color="auto"/>
              <w:right w:val="nil"/>
            </w:tcBorders>
            <w:shd w:val="clear" w:color="auto" w:fill="auto"/>
            <w:noWrap/>
            <w:vAlign w:val="center"/>
            <w:hideMark/>
          </w:tcPr>
          <w:p w14:paraId="6AB14600" w14:textId="77777777" w:rsidR="002466A8" w:rsidRPr="002466A8" w:rsidRDefault="002466A8" w:rsidP="00824A04">
            <w:pPr>
              <w:ind w:firstLine="0"/>
              <w:jc w:val="center"/>
              <w:rPr>
                <w:rFonts w:eastAsia="Times New Roman"/>
                <w:b/>
                <w:bCs/>
                <w:sz w:val="16"/>
                <w:szCs w:val="16"/>
                <w:lang w:eastAsia="it-IT" w:bidi="hi-IN"/>
              </w:rPr>
            </w:pPr>
            <w:r w:rsidRPr="002466A8">
              <w:rPr>
                <w:rFonts w:eastAsia="Times New Roman"/>
                <w:b/>
                <w:bCs/>
                <w:sz w:val="16"/>
                <w:szCs w:val="16"/>
                <w:lang w:eastAsia="it-IT" w:bidi="hi-IN"/>
              </w:rPr>
              <w:t>Torque</w:t>
            </w:r>
          </w:p>
        </w:tc>
        <w:tc>
          <w:tcPr>
            <w:tcW w:w="573" w:type="pct"/>
            <w:tcBorders>
              <w:top w:val="single" w:sz="4" w:space="0" w:color="auto"/>
              <w:left w:val="nil"/>
              <w:bottom w:val="single" w:sz="4" w:space="0" w:color="auto"/>
              <w:right w:val="nil"/>
            </w:tcBorders>
            <w:shd w:val="clear" w:color="auto" w:fill="auto"/>
            <w:noWrap/>
            <w:vAlign w:val="center"/>
            <w:hideMark/>
          </w:tcPr>
          <w:p w14:paraId="2DD76E6E" w14:textId="77777777" w:rsidR="002466A8" w:rsidRPr="002466A8" w:rsidRDefault="002466A8" w:rsidP="00824A04">
            <w:pPr>
              <w:ind w:firstLine="0"/>
              <w:jc w:val="center"/>
              <w:rPr>
                <w:rFonts w:eastAsia="Times New Roman"/>
                <w:b/>
                <w:bCs/>
                <w:sz w:val="16"/>
                <w:szCs w:val="16"/>
                <w:lang w:eastAsia="it-IT" w:bidi="hi-IN"/>
              </w:rPr>
            </w:pPr>
            <w:r w:rsidRPr="002466A8">
              <w:rPr>
                <w:rFonts w:eastAsia="Times New Roman"/>
                <w:b/>
                <w:bCs/>
                <w:sz w:val="16"/>
                <w:szCs w:val="16"/>
                <w:lang w:eastAsia="it-IT" w:bidi="hi-IN"/>
              </w:rPr>
              <w:t>SFC</w:t>
            </w:r>
          </w:p>
        </w:tc>
        <w:tc>
          <w:tcPr>
            <w:tcW w:w="468" w:type="pct"/>
            <w:tcBorders>
              <w:top w:val="single" w:sz="4" w:space="0" w:color="auto"/>
              <w:left w:val="nil"/>
              <w:bottom w:val="single" w:sz="4" w:space="0" w:color="auto"/>
              <w:right w:val="nil"/>
            </w:tcBorders>
            <w:shd w:val="clear" w:color="auto" w:fill="auto"/>
            <w:noWrap/>
            <w:vAlign w:val="center"/>
            <w:hideMark/>
          </w:tcPr>
          <w:p w14:paraId="3CB4322D" w14:textId="77777777" w:rsidR="002466A8" w:rsidRPr="002466A8" w:rsidRDefault="002466A8" w:rsidP="00824A04">
            <w:pPr>
              <w:ind w:firstLine="0"/>
              <w:jc w:val="center"/>
              <w:rPr>
                <w:rFonts w:eastAsia="Times New Roman"/>
                <w:b/>
                <w:bCs/>
                <w:sz w:val="16"/>
                <w:szCs w:val="16"/>
                <w:lang w:eastAsia="it-IT" w:bidi="hi-IN"/>
              </w:rPr>
            </w:pPr>
            <w:r w:rsidRPr="002466A8">
              <w:rPr>
                <w:rFonts w:eastAsia="Times New Roman"/>
                <w:b/>
                <w:bCs/>
                <w:sz w:val="16"/>
                <w:szCs w:val="16"/>
                <w:lang w:eastAsia="it-IT" w:bidi="hi-IN"/>
              </w:rPr>
              <w:t>CO</w:t>
            </w:r>
          </w:p>
        </w:tc>
        <w:tc>
          <w:tcPr>
            <w:tcW w:w="451" w:type="pct"/>
            <w:tcBorders>
              <w:top w:val="single" w:sz="4" w:space="0" w:color="auto"/>
              <w:left w:val="nil"/>
              <w:bottom w:val="single" w:sz="4" w:space="0" w:color="auto"/>
              <w:right w:val="nil"/>
            </w:tcBorders>
            <w:shd w:val="clear" w:color="auto" w:fill="auto"/>
            <w:noWrap/>
            <w:vAlign w:val="center"/>
            <w:hideMark/>
          </w:tcPr>
          <w:p w14:paraId="67F5B55F" w14:textId="77777777" w:rsidR="002466A8" w:rsidRPr="002466A8" w:rsidRDefault="002466A8" w:rsidP="00824A04">
            <w:pPr>
              <w:ind w:firstLine="0"/>
              <w:jc w:val="center"/>
              <w:rPr>
                <w:rFonts w:eastAsia="Times New Roman"/>
                <w:b/>
                <w:bCs/>
                <w:sz w:val="16"/>
                <w:szCs w:val="16"/>
                <w:lang w:eastAsia="it-IT" w:bidi="hi-IN"/>
              </w:rPr>
            </w:pPr>
            <w:r w:rsidRPr="002466A8">
              <w:rPr>
                <w:rFonts w:eastAsia="Times New Roman"/>
                <w:b/>
                <w:bCs/>
                <w:sz w:val="16"/>
                <w:szCs w:val="16"/>
                <w:lang w:eastAsia="it-IT" w:bidi="hi-IN"/>
              </w:rPr>
              <w:t>NO</w:t>
            </w:r>
            <w:r w:rsidRPr="002466A8">
              <w:rPr>
                <w:rFonts w:eastAsia="Times New Roman"/>
                <w:b/>
                <w:bCs/>
                <w:sz w:val="16"/>
                <w:szCs w:val="16"/>
                <w:vertAlign w:val="subscript"/>
                <w:lang w:eastAsia="it-IT" w:bidi="hi-IN"/>
              </w:rPr>
              <w:t>X</w:t>
            </w:r>
          </w:p>
        </w:tc>
        <w:tc>
          <w:tcPr>
            <w:tcW w:w="627" w:type="pct"/>
            <w:tcBorders>
              <w:top w:val="single" w:sz="4" w:space="0" w:color="auto"/>
              <w:left w:val="nil"/>
              <w:bottom w:val="single" w:sz="4" w:space="0" w:color="auto"/>
              <w:right w:val="nil"/>
            </w:tcBorders>
            <w:shd w:val="clear" w:color="auto" w:fill="auto"/>
            <w:noWrap/>
            <w:vAlign w:val="center"/>
            <w:hideMark/>
          </w:tcPr>
          <w:p w14:paraId="583BF339" w14:textId="77777777" w:rsidR="002466A8" w:rsidRPr="002466A8" w:rsidRDefault="002466A8" w:rsidP="00824A04">
            <w:pPr>
              <w:ind w:firstLine="0"/>
              <w:jc w:val="center"/>
              <w:rPr>
                <w:rFonts w:eastAsia="Times New Roman"/>
                <w:b/>
                <w:bCs/>
                <w:sz w:val="16"/>
                <w:szCs w:val="16"/>
                <w:lang w:eastAsia="it-IT" w:bidi="hi-IN"/>
              </w:rPr>
            </w:pPr>
            <w:r w:rsidRPr="002466A8">
              <w:rPr>
                <w:rFonts w:eastAsia="Times New Roman"/>
                <w:b/>
                <w:bCs/>
                <w:sz w:val="16"/>
                <w:szCs w:val="16"/>
                <w:lang w:eastAsia="it-IT" w:bidi="hi-IN"/>
              </w:rPr>
              <w:t>Fuel flow</w:t>
            </w:r>
          </w:p>
        </w:tc>
      </w:tr>
      <w:tr w:rsidR="002466A8" w:rsidRPr="002466A8" w14:paraId="07F2B33E" w14:textId="77777777" w:rsidTr="002C50A2">
        <w:trPr>
          <w:trHeight w:val="259"/>
          <w:jc w:val="center"/>
        </w:trPr>
        <w:tc>
          <w:tcPr>
            <w:tcW w:w="1460" w:type="pct"/>
            <w:tcBorders>
              <w:top w:val="nil"/>
              <w:left w:val="nil"/>
              <w:bottom w:val="single" w:sz="4" w:space="0" w:color="auto"/>
              <w:right w:val="nil"/>
            </w:tcBorders>
            <w:shd w:val="clear" w:color="auto" w:fill="auto"/>
            <w:noWrap/>
            <w:vAlign w:val="center"/>
            <w:hideMark/>
          </w:tcPr>
          <w:p w14:paraId="7745F3DD" w14:textId="1BF6F749" w:rsidR="002466A8" w:rsidRPr="002466A8" w:rsidRDefault="002466A8" w:rsidP="00824A04">
            <w:pPr>
              <w:ind w:firstLine="0"/>
              <w:jc w:val="center"/>
              <w:rPr>
                <w:rFonts w:eastAsia="Times New Roman"/>
                <w:sz w:val="16"/>
                <w:szCs w:val="16"/>
                <w:lang w:eastAsia="it-IT" w:bidi="hi-IN"/>
              </w:rPr>
            </w:pPr>
          </w:p>
        </w:tc>
        <w:tc>
          <w:tcPr>
            <w:tcW w:w="433" w:type="pct"/>
            <w:tcBorders>
              <w:top w:val="nil"/>
              <w:left w:val="nil"/>
              <w:bottom w:val="single" w:sz="4" w:space="0" w:color="auto"/>
              <w:right w:val="nil"/>
            </w:tcBorders>
            <w:shd w:val="clear" w:color="auto" w:fill="auto"/>
            <w:noWrap/>
            <w:vAlign w:val="center"/>
            <w:hideMark/>
          </w:tcPr>
          <w:p w14:paraId="51A94BC9" w14:textId="6C795960" w:rsidR="002466A8" w:rsidRPr="002466A8" w:rsidRDefault="002466A8" w:rsidP="00824A04">
            <w:pPr>
              <w:ind w:firstLine="0"/>
              <w:jc w:val="center"/>
              <w:rPr>
                <w:rFonts w:eastAsia="Times New Roman"/>
                <w:sz w:val="16"/>
                <w:szCs w:val="16"/>
                <w:lang w:eastAsia="it-IT" w:bidi="hi-IN"/>
              </w:rPr>
            </w:pPr>
          </w:p>
        </w:tc>
        <w:tc>
          <w:tcPr>
            <w:tcW w:w="465" w:type="pct"/>
            <w:tcBorders>
              <w:top w:val="nil"/>
              <w:left w:val="nil"/>
              <w:bottom w:val="single" w:sz="4" w:space="0" w:color="auto"/>
              <w:right w:val="nil"/>
            </w:tcBorders>
            <w:shd w:val="clear" w:color="auto" w:fill="auto"/>
            <w:noWrap/>
            <w:vAlign w:val="center"/>
            <w:hideMark/>
          </w:tcPr>
          <w:p w14:paraId="66CD4A70" w14:textId="77777777" w:rsidR="002466A8" w:rsidRPr="002466A8" w:rsidRDefault="002466A8" w:rsidP="00824A04">
            <w:pPr>
              <w:ind w:firstLine="0"/>
              <w:jc w:val="center"/>
              <w:rPr>
                <w:rFonts w:eastAsia="Times New Roman"/>
                <w:b/>
                <w:bCs/>
                <w:sz w:val="16"/>
                <w:szCs w:val="16"/>
                <w:lang w:eastAsia="it-IT" w:bidi="hi-IN"/>
              </w:rPr>
            </w:pPr>
            <w:r w:rsidRPr="002466A8">
              <w:rPr>
                <w:rFonts w:eastAsia="Times New Roman"/>
                <w:b/>
                <w:bCs/>
                <w:sz w:val="16"/>
                <w:szCs w:val="16"/>
                <w:lang w:eastAsia="it-IT" w:bidi="hi-IN"/>
              </w:rPr>
              <w:t>[kW]</w:t>
            </w:r>
          </w:p>
        </w:tc>
        <w:tc>
          <w:tcPr>
            <w:tcW w:w="523" w:type="pct"/>
            <w:tcBorders>
              <w:top w:val="nil"/>
              <w:left w:val="nil"/>
              <w:bottom w:val="single" w:sz="4" w:space="0" w:color="auto"/>
              <w:right w:val="nil"/>
            </w:tcBorders>
            <w:shd w:val="clear" w:color="auto" w:fill="auto"/>
            <w:noWrap/>
            <w:vAlign w:val="center"/>
            <w:hideMark/>
          </w:tcPr>
          <w:p w14:paraId="6CADA485" w14:textId="77777777" w:rsidR="002466A8" w:rsidRPr="002466A8" w:rsidRDefault="002466A8" w:rsidP="00824A04">
            <w:pPr>
              <w:ind w:firstLine="0"/>
              <w:jc w:val="center"/>
              <w:rPr>
                <w:rFonts w:eastAsia="Times New Roman"/>
                <w:b/>
                <w:bCs/>
                <w:sz w:val="16"/>
                <w:szCs w:val="16"/>
                <w:lang w:eastAsia="it-IT" w:bidi="hi-IN"/>
              </w:rPr>
            </w:pPr>
            <w:r w:rsidRPr="002466A8">
              <w:rPr>
                <w:rFonts w:eastAsia="Times New Roman"/>
                <w:b/>
                <w:bCs/>
                <w:sz w:val="16"/>
                <w:szCs w:val="16"/>
                <w:lang w:eastAsia="it-IT" w:bidi="hi-IN"/>
              </w:rPr>
              <w:t>[Nm]</w:t>
            </w:r>
          </w:p>
        </w:tc>
        <w:tc>
          <w:tcPr>
            <w:tcW w:w="573" w:type="pct"/>
            <w:tcBorders>
              <w:top w:val="nil"/>
              <w:left w:val="nil"/>
              <w:bottom w:val="single" w:sz="4" w:space="0" w:color="auto"/>
              <w:right w:val="nil"/>
            </w:tcBorders>
            <w:shd w:val="clear" w:color="auto" w:fill="auto"/>
            <w:noWrap/>
            <w:vAlign w:val="center"/>
            <w:hideMark/>
          </w:tcPr>
          <w:p w14:paraId="5C8D697E" w14:textId="77777777" w:rsidR="002466A8" w:rsidRPr="002466A8" w:rsidRDefault="002466A8" w:rsidP="00824A04">
            <w:pPr>
              <w:ind w:firstLine="0"/>
              <w:jc w:val="center"/>
              <w:rPr>
                <w:rFonts w:eastAsia="Times New Roman"/>
                <w:b/>
                <w:bCs/>
                <w:sz w:val="16"/>
                <w:szCs w:val="16"/>
                <w:lang w:eastAsia="it-IT" w:bidi="hi-IN"/>
              </w:rPr>
            </w:pPr>
            <w:r w:rsidRPr="002466A8">
              <w:rPr>
                <w:rFonts w:eastAsia="Times New Roman"/>
                <w:b/>
                <w:bCs/>
                <w:sz w:val="16"/>
                <w:szCs w:val="16"/>
                <w:lang w:eastAsia="it-IT" w:bidi="hi-IN"/>
              </w:rPr>
              <w:t>[g/kWh]</w:t>
            </w:r>
          </w:p>
        </w:tc>
        <w:tc>
          <w:tcPr>
            <w:tcW w:w="468" w:type="pct"/>
            <w:tcBorders>
              <w:top w:val="nil"/>
              <w:left w:val="nil"/>
              <w:bottom w:val="single" w:sz="4" w:space="0" w:color="auto"/>
              <w:right w:val="nil"/>
            </w:tcBorders>
            <w:shd w:val="clear" w:color="auto" w:fill="auto"/>
            <w:noWrap/>
            <w:vAlign w:val="center"/>
            <w:hideMark/>
          </w:tcPr>
          <w:p w14:paraId="3814E542" w14:textId="77777777" w:rsidR="002466A8" w:rsidRPr="002466A8" w:rsidRDefault="002466A8" w:rsidP="00824A04">
            <w:pPr>
              <w:ind w:firstLine="0"/>
              <w:jc w:val="center"/>
              <w:rPr>
                <w:rFonts w:eastAsia="Times New Roman"/>
                <w:b/>
                <w:bCs/>
                <w:sz w:val="16"/>
                <w:szCs w:val="16"/>
                <w:lang w:eastAsia="it-IT" w:bidi="hi-IN"/>
              </w:rPr>
            </w:pPr>
            <w:r w:rsidRPr="002466A8">
              <w:rPr>
                <w:rFonts w:eastAsia="Times New Roman"/>
                <w:b/>
                <w:bCs/>
                <w:sz w:val="16"/>
                <w:szCs w:val="16"/>
                <w:lang w:eastAsia="it-IT" w:bidi="hi-IN"/>
              </w:rPr>
              <w:t>[ppm]</w:t>
            </w:r>
          </w:p>
        </w:tc>
        <w:tc>
          <w:tcPr>
            <w:tcW w:w="451" w:type="pct"/>
            <w:tcBorders>
              <w:top w:val="nil"/>
              <w:left w:val="nil"/>
              <w:bottom w:val="single" w:sz="4" w:space="0" w:color="auto"/>
              <w:right w:val="nil"/>
            </w:tcBorders>
            <w:shd w:val="clear" w:color="auto" w:fill="auto"/>
            <w:noWrap/>
            <w:vAlign w:val="center"/>
            <w:hideMark/>
          </w:tcPr>
          <w:p w14:paraId="14ABF0B1" w14:textId="77777777" w:rsidR="002466A8" w:rsidRPr="002466A8" w:rsidRDefault="002466A8" w:rsidP="00824A04">
            <w:pPr>
              <w:ind w:firstLine="0"/>
              <w:jc w:val="center"/>
              <w:rPr>
                <w:rFonts w:eastAsia="Times New Roman"/>
                <w:b/>
                <w:bCs/>
                <w:sz w:val="16"/>
                <w:szCs w:val="16"/>
                <w:lang w:eastAsia="it-IT" w:bidi="hi-IN"/>
              </w:rPr>
            </w:pPr>
            <w:r w:rsidRPr="002466A8">
              <w:rPr>
                <w:rFonts w:eastAsia="Times New Roman"/>
                <w:b/>
                <w:bCs/>
                <w:sz w:val="16"/>
                <w:szCs w:val="16"/>
                <w:lang w:eastAsia="it-IT" w:bidi="hi-IN"/>
              </w:rPr>
              <w:t>[ppm]</w:t>
            </w:r>
          </w:p>
        </w:tc>
        <w:tc>
          <w:tcPr>
            <w:tcW w:w="627" w:type="pct"/>
            <w:tcBorders>
              <w:top w:val="nil"/>
              <w:left w:val="nil"/>
              <w:bottom w:val="single" w:sz="4" w:space="0" w:color="auto"/>
              <w:right w:val="nil"/>
            </w:tcBorders>
            <w:shd w:val="clear" w:color="auto" w:fill="auto"/>
            <w:noWrap/>
            <w:vAlign w:val="center"/>
            <w:hideMark/>
          </w:tcPr>
          <w:p w14:paraId="233D765E" w14:textId="77777777" w:rsidR="002466A8" w:rsidRPr="002466A8" w:rsidRDefault="002466A8" w:rsidP="00824A04">
            <w:pPr>
              <w:ind w:firstLine="0"/>
              <w:jc w:val="center"/>
              <w:rPr>
                <w:rFonts w:eastAsia="Times New Roman"/>
                <w:b/>
                <w:bCs/>
                <w:sz w:val="16"/>
                <w:szCs w:val="16"/>
                <w:lang w:eastAsia="it-IT" w:bidi="hi-IN"/>
              </w:rPr>
            </w:pPr>
            <w:r w:rsidRPr="002466A8">
              <w:rPr>
                <w:rFonts w:eastAsia="Times New Roman"/>
                <w:b/>
                <w:bCs/>
                <w:sz w:val="16"/>
                <w:szCs w:val="16"/>
                <w:lang w:eastAsia="it-IT" w:bidi="hi-IN"/>
              </w:rPr>
              <w:t>[l/h]</w:t>
            </w:r>
          </w:p>
        </w:tc>
      </w:tr>
      <w:tr w:rsidR="002466A8" w:rsidRPr="002466A8" w14:paraId="6515FB7D" w14:textId="77777777" w:rsidTr="002C50A2">
        <w:trPr>
          <w:trHeight w:val="259"/>
          <w:jc w:val="center"/>
        </w:trPr>
        <w:tc>
          <w:tcPr>
            <w:tcW w:w="1460" w:type="pct"/>
            <w:vMerge w:val="restart"/>
            <w:tcBorders>
              <w:top w:val="nil"/>
              <w:left w:val="nil"/>
              <w:bottom w:val="single" w:sz="4" w:space="0" w:color="auto"/>
              <w:right w:val="nil"/>
            </w:tcBorders>
            <w:shd w:val="clear" w:color="auto" w:fill="auto"/>
            <w:vAlign w:val="center"/>
            <w:hideMark/>
          </w:tcPr>
          <w:p w14:paraId="04D302C1" w14:textId="25A5FE31" w:rsidR="002466A8" w:rsidRPr="00DD267B" w:rsidRDefault="002466A8" w:rsidP="00824A04">
            <w:pPr>
              <w:ind w:firstLine="0"/>
              <w:jc w:val="center"/>
              <w:rPr>
                <w:rFonts w:eastAsia="Times New Roman"/>
                <w:sz w:val="16"/>
                <w:szCs w:val="16"/>
                <w:lang w:eastAsia="it-IT" w:bidi="hi-IN"/>
              </w:rPr>
            </w:pPr>
            <w:r w:rsidRPr="00DD267B">
              <w:rPr>
                <w:rFonts w:eastAsia="Times New Roman"/>
                <w:sz w:val="16"/>
                <w:szCs w:val="16"/>
                <w:lang w:eastAsia="it-IT" w:bidi="hi-IN"/>
              </w:rPr>
              <w:t>Burning duration</w:t>
            </w:r>
          </w:p>
        </w:tc>
        <w:tc>
          <w:tcPr>
            <w:tcW w:w="433" w:type="pct"/>
            <w:tcBorders>
              <w:top w:val="nil"/>
              <w:left w:val="nil"/>
              <w:bottom w:val="single" w:sz="4" w:space="0" w:color="auto"/>
              <w:right w:val="nil"/>
            </w:tcBorders>
            <w:shd w:val="clear" w:color="auto" w:fill="auto"/>
            <w:noWrap/>
            <w:vAlign w:val="center"/>
            <w:hideMark/>
          </w:tcPr>
          <w:p w14:paraId="2E1D668E" w14:textId="56ADE9D8"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10</w:t>
            </w:r>
            <w:r w:rsidR="00061A99" w:rsidRPr="00061A99">
              <w:rPr>
                <w:rFonts w:eastAsia="Times New Roman"/>
                <w:sz w:val="16"/>
                <w:szCs w:val="16"/>
                <w:vertAlign w:val="superscript"/>
                <w:lang w:eastAsia="it-IT" w:bidi="hi-IN"/>
              </w:rPr>
              <w:t>O</w:t>
            </w:r>
          </w:p>
        </w:tc>
        <w:tc>
          <w:tcPr>
            <w:tcW w:w="465" w:type="pct"/>
            <w:tcBorders>
              <w:top w:val="nil"/>
              <w:left w:val="nil"/>
              <w:bottom w:val="single" w:sz="4" w:space="0" w:color="auto"/>
              <w:right w:val="nil"/>
            </w:tcBorders>
            <w:shd w:val="clear" w:color="auto" w:fill="auto"/>
            <w:noWrap/>
            <w:vAlign w:val="center"/>
            <w:hideMark/>
          </w:tcPr>
          <w:p w14:paraId="38F41128"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237,6</w:t>
            </w:r>
          </w:p>
        </w:tc>
        <w:tc>
          <w:tcPr>
            <w:tcW w:w="523" w:type="pct"/>
            <w:tcBorders>
              <w:top w:val="nil"/>
              <w:left w:val="nil"/>
              <w:bottom w:val="single" w:sz="4" w:space="0" w:color="auto"/>
              <w:right w:val="nil"/>
            </w:tcBorders>
            <w:shd w:val="clear" w:color="auto" w:fill="auto"/>
            <w:noWrap/>
            <w:vAlign w:val="center"/>
            <w:hideMark/>
          </w:tcPr>
          <w:p w14:paraId="0642EE85"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360,2</w:t>
            </w:r>
          </w:p>
        </w:tc>
        <w:tc>
          <w:tcPr>
            <w:tcW w:w="573" w:type="pct"/>
            <w:tcBorders>
              <w:top w:val="nil"/>
              <w:left w:val="nil"/>
              <w:bottom w:val="single" w:sz="4" w:space="0" w:color="auto"/>
              <w:right w:val="nil"/>
            </w:tcBorders>
            <w:shd w:val="clear" w:color="auto" w:fill="auto"/>
            <w:noWrap/>
            <w:vAlign w:val="center"/>
            <w:hideMark/>
          </w:tcPr>
          <w:p w14:paraId="50C526A1"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240,9</w:t>
            </w:r>
          </w:p>
        </w:tc>
        <w:tc>
          <w:tcPr>
            <w:tcW w:w="468" w:type="pct"/>
            <w:tcBorders>
              <w:top w:val="nil"/>
              <w:left w:val="nil"/>
              <w:bottom w:val="single" w:sz="4" w:space="0" w:color="auto"/>
              <w:right w:val="nil"/>
            </w:tcBorders>
            <w:shd w:val="clear" w:color="auto" w:fill="auto"/>
            <w:noWrap/>
            <w:vAlign w:val="center"/>
            <w:hideMark/>
          </w:tcPr>
          <w:p w14:paraId="3667BED0"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3713,3</w:t>
            </w:r>
          </w:p>
        </w:tc>
        <w:tc>
          <w:tcPr>
            <w:tcW w:w="451" w:type="pct"/>
            <w:tcBorders>
              <w:top w:val="nil"/>
              <w:left w:val="nil"/>
              <w:bottom w:val="single" w:sz="4" w:space="0" w:color="auto"/>
              <w:right w:val="nil"/>
            </w:tcBorders>
            <w:shd w:val="clear" w:color="auto" w:fill="auto"/>
            <w:noWrap/>
            <w:vAlign w:val="center"/>
            <w:hideMark/>
          </w:tcPr>
          <w:p w14:paraId="4510009D"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886,1</w:t>
            </w:r>
          </w:p>
        </w:tc>
        <w:tc>
          <w:tcPr>
            <w:tcW w:w="627" w:type="pct"/>
            <w:tcBorders>
              <w:top w:val="nil"/>
              <w:left w:val="nil"/>
              <w:bottom w:val="single" w:sz="4" w:space="0" w:color="auto"/>
              <w:right w:val="nil"/>
            </w:tcBorders>
            <w:shd w:val="clear" w:color="auto" w:fill="auto"/>
            <w:noWrap/>
            <w:vAlign w:val="center"/>
            <w:hideMark/>
          </w:tcPr>
          <w:p w14:paraId="11F452B7"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76,2</w:t>
            </w:r>
          </w:p>
        </w:tc>
      </w:tr>
      <w:tr w:rsidR="002466A8" w:rsidRPr="002466A8" w14:paraId="54315A71" w14:textId="77777777" w:rsidTr="002C50A2">
        <w:trPr>
          <w:trHeight w:val="259"/>
          <w:jc w:val="center"/>
        </w:trPr>
        <w:tc>
          <w:tcPr>
            <w:tcW w:w="1460" w:type="pct"/>
            <w:vMerge/>
            <w:tcBorders>
              <w:top w:val="nil"/>
              <w:left w:val="nil"/>
              <w:bottom w:val="single" w:sz="4" w:space="0" w:color="auto"/>
              <w:right w:val="nil"/>
            </w:tcBorders>
            <w:vAlign w:val="center"/>
            <w:hideMark/>
          </w:tcPr>
          <w:p w14:paraId="175DCF6B" w14:textId="77777777" w:rsidR="002466A8" w:rsidRPr="002466A8" w:rsidRDefault="002466A8" w:rsidP="00824A04">
            <w:pPr>
              <w:ind w:firstLine="0"/>
              <w:jc w:val="center"/>
              <w:rPr>
                <w:rFonts w:eastAsia="Times New Roman"/>
                <w:sz w:val="16"/>
                <w:szCs w:val="16"/>
                <w:lang w:eastAsia="it-IT" w:bidi="hi-IN"/>
              </w:rPr>
            </w:pPr>
          </w:p>
        </w:tc>
        <w:tc>
          <w:tcPr>
            <w:tcW w:w="433" w:type="pct"/>
            <w:tcBorders>
              <w:top w:val="nil"/>
              <w:left w:val="nil"/>
              <w:bottom w:val="single" w:sz="4" w:space="0" w:color="auto"/>
              <w:right w:val="nil"/>
            </w:tcBorders>
            <w:shd w:val="clear" w:color="auto" w:fill="auto"/>
            <w:noWrap/>
            <w:vAlign w:val="center"/>
            <w:hideMark/>
          </w:tcPr>
          <w:p w14:paraId="04EAE9A8" w14:textId="1D0DC53E" w:rsidR="002466A8" w:rsidRPr="002466A8" w:rsidRDefault="00061A99" w:rsidP="00824A04">
            <w:pPr>
              <w:ind w:firstLine="0"/>
              <w:jc w:val="center"/>
              <w:rPr>
                <w:rFonts w:eastAsia="Times New Roman"/>
                <w:sz w:val="16"/>
                <w:szCs w:val="16"/>
                <w:lang w:eastAsia="it-IT" w:bidi="hi-IN"/>
              </w:rPr>
            </w:pPr>
            <w:r>
              <w:rPr>
                <w:rFonts w:eastAsia="Times New Roman"/>
                <w:sz w:val="16"/>
                <w:szCs w:val="16"/>
                <w:lang w:eastAsia="it-IT" w:bidi="hi-IN"/>
              </w:rPr>
              <w:t>15</w:t>
            </w:r>
            <w:r w:rsidRPr="00061A99">
              <w:rPr>
                <w:rFonts w:eastAsia="Times New Roman"/>
                <w:sz w:val="16"/>
                <w:szCs w:val="16"/>
                <w:vertAlign w:val="superscript"/>
                <w:lang w:eastAsia="it-IT" w:bidi="hi-IN"/>
              </w:rPr>
              <w:t xml:space="preserve"> O</w:t>
            </w:r>
          </w:p>
        </w:tc>
        <w:tc>
          <w:tcPr>
            <w:tcW w:w="465" w:type="pct"/>
            <w:tcBorders>
              <w:top w:val="nil"/>
              <w:left w:val="nil"/>
              <w:bottom w:val="single" w:sz="4" w:space="0" w:color="auto"/>
              <w:right w:val="nil"/>
            </w:tcBorders>
            <w:shd w:val="clear" w:color="auto" w:fill="auto"/>
            <w:noWrap/>
            <w:vAlign w:val="center"/>
            <w:hideMark/>
          </w:tcPr>
          <w:p w14:paraId="431284D5"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236,3</w:t>
            </w:r>
          </w:p>
        </w:tc>
        <w:tc>
          <w:tcPr>
            <w:tcW w:w="523" w:type="pct"/>
            <w:tcBorders>
              <w:top w:val="nil"/>
              <w:left w:val="nil"/>
              <w:bottom w:val="single" w:sz="4" w:space="0" w:color="auto"/>
              <w:right w:val="nil"/>
            </w:tcBorders>
            <w:shd w:val="clear" w:color="auto" w:fill="auto"/>
            <w:noWrap/>
            <w:vAlign w:val="center"/>
            <w:hideMark/>
          </w:tcPr>
          <w:p w14:paraId="387EBF10"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358,2</w:t>
            </w:r>
          </w:p>
        </w:tc>
        <w:tc>
          <w:tcPr>
            <w:tcW w:w="573" w:type="pct"/>
            <w:tcBorders>
              <w:top w:val="nil"/>
              <w:left w:val="nil"/>
              <w:bottom w:val="single" w:sz="4" w:space="0" w:color="auto"/>
              <w:right w:val="nil"/>
            </w:tcBorders>
            <w:shd w:val="clear" w:color="auto" w:fill="auto"/>
            <w:noWrap/>
            <w:vAlign w:val="center"/>
            <w:hideMark/>
          </w:tcPr>
          <w:p w14:paraId="7174A0ED"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241,5</w:t>
            </w:r>
          </w:p>
        </w:tc>
        <w:tc>
          <w:tcPr>
            <w:tcW w:w="468" w:type="pct"/>
            <w:tcBorders>
              <w:top w:val="nil"/>
              <w:left w:val="nil"/>
              <w:bottom w:val="single" w:sz="4" w:space="0" w:color="auto"/>
              <w:right w:val="nil"/>
            </w:tcBorders>
            <w:shd w:val="clear" w:color="auto" w:fill="auto"/>
            <w:noWrap/>
            <w:vAlign w:val="center"/>
            <w:hideMark/>
          </w:tcPr>
          <w:p w14:paraId="224E9551"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3759,5</w:t>
            </w:r>
          </w:p>
        </w:tc>
        <w:tc>
          <w:tcPr>
            <w:tcW w:w="451" w:type="pct"/>
            <w:tcBorders>
              <w:top w:val="nil"/>
              <w:left w:val="nil"/>
              <w:bottom w:val="single" w:sz="4" w:space="0" w:color="auto"/>
              <w:right w:val="nil"/>
            </w:tcBorders>
            <w:shd w:val="clear" w:color="auto" w:fill="auto"/>
            <w:noWrap/>
            <w:vAlign w:val="center"/>
            <w:hideMark/>
          </w:tcPr>
          <w:p w14:paraId="3BC30996"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813,4</w:t>
            </w:r>
          </w:p>
        </w:tc>
        <w:tc>
          <w:tcPr>
            <w:tcW w:w="627" w:type="pct"/>
            <w:tcBorders>
              <w:top w:val="nil"/>
              <w:left w:val="nil"/>
              <w:bottom w:val="single" w:sz="4" w:space="0" w:color="auto"/>
              <w:right w:val="nil"/>
            </w:tcBorders>
            <w:shd w:val="clear" w:color="auto" w:fill="auto"/>
            <w:noWrap/>
            <w:vAlign w:val="center"/>
            <w:hideMark/>
          </w:tcPr>
          <w:p w14:paraId="44538C12"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76,0</w:t>
            </w:r>
          </w:p>
        </w:tc>
      </w:tr>
      <w:tr w:rsidR="002466A8" w:rsidRPr="002466A8" w14:paraId="7070539C" w14:textId="77777777" w:rsidTr="002C50A2">
        <w:trPr>
          <w:trHeight w:val="259"/>
          <w:jc w:val="center"/>
        </w:trPr>
        <w:tc>
          <w:tcPr>
            <w:tcW w:w="1460" w:type="pct"/>
            <w:vMerge/>
            <w:tcBorders>
              <w:top w:val="nil"/>
              <w:left w:val="nil"/>
              <w:bottom w:val="single" w:sz="4" w:space="0" w:color="auto"/>
              <w:right w:val="nil"/>
            </w:tcBorders>
            <w:vAlign w:val="center"/>
            <w:hideMark/>
          </w:tcPr>
          <w:p w14:paraId="04677AF8" w14:textId="77777777" w:rsidR="002466A8" w:rsidRPr="002466A8" w:rsidRDefault="002466A8" w:rsidP="00824A04">
            <w:pPr>
              <w:ind w:firstLine="0"/>
              <w:jc w:val="center"/>
              <w:rPr>
                <w:rFonts w:eastAsia="Times New Roman"/>
                <w:sz w:val="16"/>
                <w:szCs w:val="16"/>
                <w:lang w:eastAsia="it-IT" w:bidi="hi-IN"/>
              </w:rPr>
            </w:pPr>
          </w:p>
        </w:tc>
        <w:tc>
          <w:tcPr>
            <w:tcW w:w="433" w:type="pct"/>
            <w:tcBorders>
              <w:top w:val="nil"/>
              <w:left w:val="nil"/>
              <w:bottom w:val="single" w:sz="4" w:space="0" w:color="auto"/>
              <w:right w:val="nil"/>
            </w:tcBorders>
            <w:shd w:val="clear" w:color="auto" w:fill="auto"/>
            <w:noWrap/>
            <w:vAlign w:val="center"/>
            <w:hideMark/>
          </w:tcPr>
          <w:p w14:paraId="10E52E60" w14:textId="281CFD75"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20</w:t>
            </w:r>
            <w:r w:rsidR="00061A99" w:rsidRPr="00061A99">
              <w:rPr>
                <w:rFonts w:eastAsia="Times New Roman"/>
                <w:sz w:val="16"/>
                <w:szCs w:val="16"/>
                <w:vertAlign w:val="superscript"/>
                <w:lang w:eastAsia="it-IT" w:bidi="hi-IN"/>
              </w:rPr>
              <w:t xml:space="preserve"> O</w:t>
            </w:r>
          </w:p>
        </w:tc>
        <w:tc>
          <w:tcPr>
            <w:tcW w:w="465" w:type="pct"/>
            <w:tcBorders>
              <w:top w:val="nil"/>
              <w:left w:val="nil"/>
              <w:bottom w:val="single" w:sz="4" w:space="0" w:color="auto"/>
              <w:right w:val="nil"/>
            </w:tcBorders>
            <w:shd w:val="clear" w:color="auto" w:fill="auto"/>
            <w:noWrap/>
            <w:vAlign w:val="center"/>
            <w:hideMark/>
          </w:tcPr>
          <w:p w14:paraId="4330C7C8"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234,8</w:t>
            </w:r>
          </w:p>
        </w:tc>
        <w:tc>
          <w:tcPr>
            <w:tcW w:w="523" w:type="pct"/>
            <w:tcBorders>
              <w:top w:val="nil"/>
              <w:left w:val="nil"/>
              <w:bottom w:val="single" w:sz="4" w:space="0" w:color="auto"/>
              <w:right w:val="nil"/>
            </w:tcBorders>
            <w:shd w:val="clear" w:color="auto" w:fill="auto"/>
            <w:noWrap/>
            <w:vAlign w:val="center"/>
            <w:hideMark/>
          </w:tcPr>
          <w:p w14:paraId="416D1242"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355,9</w:t>
            </w:r>
          </w:p>
        </w:tc>
        <w:tc>
          <w:tcPr>
            <w:tcW w:w="573" w:type="pct"/>
            <w:tcBorders>
              <w:top w:val="nil"/>
              <w:left w:val="nil"/>
              <w:bottom w:val="single" w:sz="4" w:space="0" w:color="auto"/>
              <w:right w:val="nil"/>
            </w:tcBorders>
            <w:shd w:val="clear" w:color="auto" w:fill="auto"/>
            <w:noWrap/>
            <w:vAlign w:val="center"/>
            <w:hideMark/>
          </w:tcPr>
          <w:p w14:paraId="10623636"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243,1</w:t>
            </w:r>
          </w:p>
        </w:tc>
        <w:tc>
          <w:tcPr>
            <w:tcW w:w="468" w:type="pct"/>
            <w:tcBorders>
              <w:top w:val="nil"/>
              <w:left w:val="nil"/>
              <w:bottom w:val="single" w:sz="4" w:space="0" w:color="auto"/>
              <w:right w:val="nil"/>
            </w:tcBorders>
            <w:shd w:val="clear" w:color="auto" w:fill="auto"/>
            <w:noWrap/>
            <w:vAlign w:val="center"/>
            <w:hideMark/>
          </w:tcPr>
          <w:p w14:paraId="22C66CFE"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3798,1</w:t>
            </w:r>
          </w:p>
        </w:tc>
        <w:tc>
          <w:tcPr>
            <w:tcW w:w="451" w:type="pct"/>
            <w:tcBorders>
              <w:top w:val="nil"/>
              <w:left w:val="nil"/>
              <w:bottom w:val="single" w:sz="4" w:space="0" w:color="auto"/>
              <w:right w:val="nil"/>
            </w:tcBorders>
            <w:shd w:val="clear" w:color="auto" w:fill="auto"/>
            <w:noWrap/>
            <w:vAlign w:val="center"/>
            <w:hideMark/>
          </w:tcPr>
          <w:p w14:paraId="315008AB"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765,8</w:t>
            </w:r>
          </w:p>
        </w:tc>
        <w:tc>
          <w:tcPr>
            <w:tcW w:w="627" w:type="pct"/>
            <w:tcBorders>
              <w:top w:val="nil"/>
              <w:left w:val="nil"/>
              <w:bottom w:val="single" w:sz="4" w:space="0" w:color="auto"/>
              <w:right w:val="nil"/>
            </w:tcBorders>
            <w:shd w:val="clear" w:color="auto" w:fill="auto"/>
            <w:noWrap/>
            <w:vAlign w:val="center"/>
            <w:hideMark/>
          </w:tcPr>
          <w:p w14:paraId="66694B08"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76,0</w:t>
            </w:r>
          </w:p>
        </w:tc>
      </w:tr>
      <w:tr w:rsidR="002466A8" w:rsidRPr="002466A8" w14:paraId="3762CDA8" w14:textId="77777777" w:rsidTr="002C50A2">
        <w:trPr>
          <w:trHeight w:val="259"/>
          <w:jc w:val="center"/>
        </w:trPr>
        <w:tc>
          <w:tcPr>
            <w:tcW w:w="1460" w:type="pct"/>
            <w:vMerge/>
            <w:tcBorders>
              <w:top w:val="nil"/>
              <w:left w:val="nil"/>
              <w:bottom w:val="single" w:sz="4" w:space="0" w:color="auto"/>
              <w:right w:val="nil"/>
            </w:tcBorders>
            <w:vAlign w:val="center"/>
            <w:hideMark/>
          </w:tcPr>
          <w:p w14:paraId="2044827B" w14:textId="77777777" w:rsidR="002466A8" w:rsidRPr="002466A8" w:rsidRDefault="002466A8" w:rsidP="00824A04">
            <w:pPr>
              <w:ind w:firstLine="0"/>
              <w:jc w:val="center"/>
              <w:rPr>
                <w:rFonts w:eastAsia="Times New Roman"/>
                <w:sz w:val="16"/>
                <w:szCs w:val="16"/>
                <w:lang w:eastAsia="it-IT" w:bidi="hi-IN"/>
              </w:rPr>
            </w:pPr>
          </w:p>
        </w:tc>
        <w:tc>
          <w:tcPr>
            <w:tcW w:w="433" w:type="pct"/>
            <w:tcBorders>
              <w:top w:val="nil"/>
              <w:left w:val="nil"/>
              <w:bottom w:val="single" w:sz="4" w:space="0" w:color="auto"/>
              <w:right w:val="nil"/>
            </w:tcBorders>
            <w:shd w:val="clear" w:color="auto" w:fill="auto"/>
            <w:noWrap/>
            <w:vAlign w:val="center"/>
            <w:hideMark/>
          </w:tcPr>
          <w:p w14:paraId="7F4E776E" w14:textId="2D3DAACF"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25</w:t>
            </w:r>
            <w:r w:rsidR="00061A99" w:rsidRPr="00061A99">
              <w:rPr>
                <w:rFonts w:eastAsia="Times New Roman"/>
                <w:sz w:val="16"/>
                <w:szCs w:val="16"/>
                <w:vertAlign w:val="superscript"/>
                <w:lang w:eastAsia="it-IT" w:bidi="hi-IN"/>
              </w:rPr>
              <w:t xml:space="preserve"> O</w:t>
            </w:r>
          </w:p>
        </w:tc>
        <w:tc>
          <w:tcPr>
            <w:tcW w:w="465" w:type="pct"/>
            <w:tcBorders>
              <w:top w:val="nil"/>
              <w:left w:val="nil"/>
              <w:bottom w:val="single" w:sz="4" w:space="0" w:color="auto"/>
              <w:right w:val="nil"/>
            </w:tcBorders>
            <w:shd w:val="clear" w:color="auto" w:fill="auto"/>
            <w:noWrap/>
            <w:vAlign w:val="center"/>
            <w:hideMark/>
          </w:tcPr>
          <w:p w14:paraId="0048B37F"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232,6</w:t>
            </w:r>
          </w:p>
        </w:tc>
        <w:tc>
          <w:tcPr>
            <w:tcW w:w="523" w:type="pct"/>
            <w:tcBorders>
              <w:top w:val="nil"/>
              <w:left w:val="nil"/>
              <w:bottom w:val="single" w:sz="4" w:space="0" w:color="auto"/>
              <w:right w:val="nil"/>
            </w:tcBorders>
            <w:shd w:val="clear" w:color="auto" w:fill="auto"/>
            <w:noWrap/>
            <w:vAlign w:val="center"/>
            <w:hideMark/>
          </w:tcPr>
          <w:p w14:paraId="001ABE6C"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352,6</w:t>
            </w:r>
          </w:p>
        </w:tc>
        <w:tc>
          <w:tcPr>
            <w:tcW w:w="573" w:type="pct"/>
            <w:tcBorders>
              <w:top w:val="nil"/>
              <w:left w:val="nil"/>
              <w:bottom w:val="single" w:sz="4" w:space="0" w:color="auto"/>
              <w:right w:val="nil"/>
            </w:tcBorders>
            <w:shd w:val="clear" w:color="auto" w:fill="auto"/>
            <w:noWrap/>
            <w:vAlign w:val="center"/>
            <w:hideMark/>
          </w:tcPr>
          <w:p w14:paraId="1D07D9F4"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245,3</w:t>
            </w:r>
          </w:p>
        </w:tc>
        <w:tc>
          <w:tcPr>
            <w:tcW w:w="468" w:type="pct"/>
            <w:tcBorders>
              <w:top w:val="nil"/>
              <w:left w:val="nil"/>
              <w:bottom w:val="single" w:sz="4" w:space="0" w:color="auto"/>
              <w:right w:val="nil"/>
            </w:tcBorders>
            <w:shd w:val="clear" w:color="auto" w:fill="auto"/>
            <w:noWrap/>
            <w:vAlign w:val="center"/>
            <w:hideMark/>
          </w:tcPr>
          <w:p w14:paraId="514127A4"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3837,6</w:t>
            </w:r>
          </w:p>
        </w:tc>
        <w:tc>
          <w:tcPr>
            <w:tcW w:w="451" w:type="pct"/>
            <w:tcBorders>
              <w:top w:val="nil"/>
              <w:left w:val="nil"/>
              <w:bottom w:val="single" w:sz="4" w:space="0" w:color="auto"/>
              <w:right w:val="nil"/>
            </w:tcBorders>
            <w:shd w:val="clear" w:color="auto" w:fill="auto"/>
            <w:noWrap/>
            <w:vAlign w:val="center"/>
            <w:hideMark/>
          </w:tcPr>
          <w:p w14:paraId="4B9A93BC"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739,5</w:t>
            </w:r>
          </w:p>
        </w:tc>
        <w:tc>
          <w:tcPr>
            <w:tcW w:w="627" w:type="pct"/>
            <w:tcBorders>
              <w:top w:val="nil"/>
              <w:left w:val="nil"/>
              <w:bottom w:val="single" w:sz="4" w:space="0" w:color="auto"/>
              <w:right w:val="nil"/>
            </w:tcBorders>
            <w:shd w:val="clear" w:color="auto" w:fill="auto"/>
            <w:noWrap/>
            <w:vAlign w:val="center"/>
            <w:hideMark/>
          </w:tcPr>
          <w:p w14:paraId="04226AAB"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76,0</w:t>
            </w:r>
          </w:p>
        </w:tc>
      </w:tr>
      <w:tr w:rsidR="002466A8" w:rsidRPr="002466A8" w14:paraId="17F12B2D" w14:textId="77777777" w:rsidTr="002C50A2">
        <w:trPr>
          <w:trHeight w:val="259"/>
          <w:jc w:val="center"/>
        </w:trPr>
        <w:tc>
          <w:tcPr>
            <w:tcW w:w="1460" w:type="pct"/>
            <w:vMerge/>
            <w:tcBorders>
              <w:top w:val="nil"/>
              <w:left w:val="nil"/>
              <w:bottom w:val="single" w:sz="4" w:space="0" w:color="auto"/>
              <w:right w:val="nil"/>
            </w:tcBorders>
            <w:vAlign w:val="center"/>
            <w:hideMark/>
          </w:tcPr>
          <w:p w14:paraId="64786DF6" w14:textId="77777777" w:rsidR="002466A8" w:rsidRPr="002466A8" w:rsidRDefault="002466A8" w:rsidP="00824A04">
            <w:pPr>
              <w:ind w:firstLine="0"/>
              <w:jc w:val="center"/>
              <w:rPr>
                <w:rFonts w:eastAsia="Times New Roman"/>
                <w:sz w:val="16"/>
                <w:szCs w:val="16"/>
                <w:lang w:eastAsia="it-IT" w:bidi="hi-IN"/>
              </w:rPr>
            </w:pPr>
          </w:p>
        </w:tc>
        <w:tc>
          <w:tcPr>
            <w:tcW w:w="433" w:type="pct"/>
            <w:tcBorders>
              <w:top w:val="nil"/>
              <w:left w:val="nil"/>
              <w:bottom w:val="single" w:sz="4" w:space="0" w:color="auto"/>
              <w:right w:val="nil"/>
            </w:tcBorders>
            <w:shd w:val="clear" w:color="auto" w:fill="auto"/>
            <w:noWrap/>
            <w:vAlign w:val="center"/>
            <w:hideMark/>
          </w:tcPr>
          <w:p w14:paraId="7B1F5E97" w14:textId="5C2AAF2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30</w:t>
            </w:r>
            <w:r w:rsidR="00061A99" w:rsidRPr="00061A99">
              <w:rPr>
                <w:rFonts w:eastAsia="Times New Roman"/>
                <w:sz w:val="16"/>
                <w:szCs w:val="16"/>
                <w:vertAlign w:val="superscript"/>
                <w:lang w:eastAsia="it-IT" w:bidi="hi-IN"/>
              </w:rPr>
              <w:t xml:space="preserve"> O</w:t>
            </w:r>
          </w:p>
        </w:tc>
        <w:tc>
          <w:tcPr>
            <w:tcW w:w="465" w:type="pct"/>
            <w:tcBorders>
              <w:top w:val="nil"/>
              <w:left w:val="nil"/>
              <w:bottom w:val="single" w:sz="4" w:space="0" w:color="auto"/>
              <w:right w:val="nil"/>
            </w:tcBorders>
            <w:shd w:val="clear" w:color="auto" w:fill="auto"/>
            <w:noWrap/>
            <w:vAlign w:val="center"/>
            <w:hideMark/>
          </w:tcPr>
          <w:p w14:paraId="7D7CBA17"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230,0</w:t>
            </w:r>
          </w:p>
        </w:tc>
        <w:tc>
          <w:tcPr>
            <w:tcW w:w="523" w:type="pct"/>
            <w:tcBorders>
              <w:top w:val="nil"/>
              <w:left w:val="nil"/>
              <w:bottom w:val="single" w:sz="4" w:space="0" w:color="auto"/>
              <w:right w:val="nil"/>
            </w:tcBorders>
            <w:shd w:val="clear" w:color="auto" w:fill="auto"/>
            <w:noWrap/>
            <w:vAlign w:val="center"/>
            <w:hideMark/>
          </w:tcPr>
          <w:p w14:paraId="34FC12A5"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348,6</w:t>
            </w:r>
          </w:p>
        </w:tc>
        <w:tc>
          <w:tcPr>
            <w:tcW w:w="573" w:type="pct"/>
            <w:tcBorders>
              <w:top w:val="nil"/>
              <w:left w:val="nil"/>
              <w:bottom w:val="single" w:sz="4" w:space="0" w:color="auto"/>
              <w:right w:val="nil"/>
            </w:tcBorders>
            <w:shd w:val="clear" w:color="auto" w:fill="auto"/>
            <w:noWrap/>
            <w:vAlign w:val="center"/>
            <w:hideMark/>
          </w:tcPr>
          <w:p w14:paraId="45641B62"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248,0</w:t>
            </w:r>
          </w:p>
        </w:tc>
        <w:tc>
          <w:tcPr>
            <w:tcW w:w="468" w:type="pct"/>
            <w:tcBorders>
              <w:top w:val="nil"/>
              <w:left w:val="nil"/>
              <w:bottom w:val="single" w:sz="4" w:space="0" w:color="auto"/>
              <w:right w:val="nil"/>
            </w:tcBorders>
            <w:shd w:val="clear" w:color="auto" w:fill="auto"/>
            <w:noWrap/>
            <w:vAlign w:val="center"/>
            <w:hideMark/>
          </w:tcPr>
          <w:p w14:paraId="2C7B5778"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3954,0</w:t>
            </w:r>
          </w:p>
        </w:tc>
        <w:tc>
          <w:tcPr>
            <w:tcW w:w="451" w:type="pct"/>
            <w:tcBorders>
              <w:top w:val="nil"/>
              <w:left w:val="nil"/>
              <w:bottom w:val="single" w:sz="4" w:space="0" w:color="auto"/>
              <w:right w:val="nil"/>
            </w:tcBorders>
            <w:shd w:val="clear" w:color="auto" w:fill="auto"/>
            <w:noWrap/>
            <w:vAlign w:val="center"/>
            <w:hideMark/>
          </w:tcPr>
          <w:p w14:paraId="12D75A68"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731,3</w:t>
            </w:r>
          </w:p>
        </w:tc>
        <w:tc>
          <w:tcPr>
            <w:tcW w:w="627" w:type="pct"/>
            <w:tcBorders>
              <w:top w:val="nil"/>
              <w:left w:val="nil"/>
              <w:bottom w:val="single" w:sz="4" w:space="0" w:color="auto"/>
              <w:right w:val="nil"/>
            </w:tcBorders>
            <w:shd w:val="clear" w:color="auto" w:fill="auto"/>
            <w:noWrap/>
            <w:vAlign w:val="center"/>
            <w:hideMark/>
          </w:tcPr>
          <w:p w14:paraId="6AB40A04"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76,0</w:t>
            </w:r>
          </w:p>
        </w:tc>
      </w:tr>
      <w:tr w:rsidR="002466A8" w:rsidRPr="002466A8" w14:paraId="0649547D" w14:textId="77777777" w:rsidTr="002C50A2">
        <w:trPr>
          <w:trHeight w:val="259"/>
          <w:jc w:val="center"/>
        </w:trPr>
        <w:tc>
          <w:tcPr>
            <w:tcW w:w="1460" w:type="pct"/>
            <w:vMerge w:val="restart"/>
            <w:tcBorders>
              <w:top w:val="nil"/>
              <w:left w:val="nil"/>
              <w:bottom w:val="single" w:sz="4" w:space="0" w:color="auto"/>
              <w:right w:val="nil"/>
            </w:tcBorders>
            <w:shd w:val="clear" w:color="auto" w:fill="auto"/>
            <w:vAlign w:val="center"/>
            <w:hideMark/>
          </w:tcPr>
          <w:p w14:paraId="1A120A28" w14:textId="2A1B53BF" w:rsidR="002466A8" w:rsidRPr="00DD267B" w:rsidRDefault="002466A8" w:rsidP="00824A04">
            <w:pPr>
              <w:ind w:firstLine="0"/>
              <w:jc w:val="center"/>
              <w:rPr>
                <w:rFonts w:eastAsia="Times New Roman"/>
                <w:sz w:val="16"/>
                <w:szCs w:val="16"/>
                <w:lang w:eastAsia="it-IT" w:bidi="hi-IN"/>
              </w:rPr>
            </w:pPr>
            <w:r w:rsidRPr="00DD267B">
              <w:rPr>
                <w:rFonts w:eastAsia="Times New Roman"/>
                <w:sz w:val="16"/>
                <w:szCs w:val="16"/>
                <w:lang w:eastAsia="it-IT" w:bidi="hi-IN"/>
              </w:rPr>
              <w:t>Location of 50% burnt point</w:t>
            </w:r>
          </w:p>
        </w:tc>
        <w:tc>
          <w:tcPr>
            <w:tcW w:w="433" w:type="pct"/>
            <w:tcBorders>
              <w:top w:val="nil"/>
              <w:left w:val="nil"/>
              <w:bottom w:val="single" w:sz="4" w:space="0" w:color="auto"/>
              <w:right w:val="nil"/>
            </w:tcBorders>
            <w:shd w:val="clear" w:color="auto" w:fill="auto"/>
            <w:noWrap/>
            <w:vAlign w:val="center"/>
            <w:hideMark/>
          </w:tcPr>
          <w:p w14:paraId="411C6BD6" w14:textId="4C010EEC"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5</w:t>
            </w:r>
            <w:r w:rsidR="00061A99" w:rsidRPr="00061A99">
              <w:rPr>
                <w:rFonts w:eastAsia="Times New Roman"/>
                <w:sz w:val="16"/>
                <w:szCs w:val="16"/>
                <w:vertAlign w:val="superscript"/>
                <w:lang w:eastAsia="it-IT" w:bidi="hi-IN"/>
              </w:rPr>
              <w:t xml:space="preserve"> O </w:t>
            </w:r>
          </w:p>
        </w:tc>
        <w:tc>
          <w:tcPr>
            <w:tcW w:w="465" w:type="pct"/>
            <w:tcBorders>
              <w:top w:val="nil"/>
              <w:left w:val="nil"/>
              <w:bottom w:val="single" w:sz="4" w:space="0" w:color="auto"/>
              <w:right w:val="nil"/>
            </w:tcBorders>
            <w:shd w:val="clear" w:color="auto" w:fill="auto"/>
            <w:noWrap/>
            <w:vAlign w:val="center"/>
            <w:hideMark/>
          </w:tcPr>
          <w:p w14:paraId="7A61B945"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238,8</w:t>
            </w:r>
          </w:p>
        </w:tc>
        <w:tc>
          <w:tcPr>
            <w:tcW w:w="523" w:type="pct"/>
            <w:tcBorders>
              <w:top w:val="nil"/>
              <w:left w:val="nil"/>
              <w:bottom w:val="single" w:sz="4" w:space="0" w:color="auto"/>
              <w:right w:val="nil"/>
            </w:tcBorders>
            <w:shd w:val="clear" w:color="auto" w:fill="auto"/>
            <w:noWrap/>
            <w:vAlign w:val="center"/>
            <w:hideMark/>
          </w:tcPr>
          <w:p w14:paraId="120D85AE"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361,9</w:t>
            </w:r>
          </w:p>
        </w:tc>
        <w:tc>
          <w:tcPr>
            <w:tcW w:w="573" w:type="pct"/>
            <w:tcBorders>
              <w:top w:val="nil"/>
              <w:left w:val="nil"/>
              <w:bottom w:val="single" w:sz="4" w:space="0" w:color="auto"/>
              <w:right w:val="nil"/>
            </w:tcBorders>
            <w:shd w:val="clear" w:color="auto" w:fill="auto"/>
            <w:noWrap/>
            <w:vAlign w:val="center"/>
            <w:hideMark/>
          </w:tcPr>
          <w:p w14:paraId="2BCE1032"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239,7</w:t>
            </w:r>
          </w:p>
        </w:tc>
        <w:tc>
          <w:tcPr>
            <w:tcW w:w="468" w:type="pct"/>
            <w:tcBorders>
              <w:top w:val="nil"/>
              <w:left w:val="nil"/>
              <w:bottom w:val="single" w:sz="4" w:space="0" w:color="auto"/>
              <w:right w:val="nil"/>
            </w:tcBorders>
            <w:shd w:val="clear" w:color="auto" w:fill="auto"/>
            <w:noWrap/>
            <w:vAlign w:val="center"/>
            <w:hideMark/>
          </w:tcPr>
          <w:p w14:paraId="1B50198B"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3534,0</w:t>
            </w:r>
          </w:p>
        </w:tc>
        <w:tc>
          <w:tcPr>
            <w:tcW w:w="451" w:type="pct"/>
            <w:tcBorders>
              <w:top w:val="nil"/>
              <w:left w:val="nil"/>
              <w:bottom w:val="single" w:sz="4" w:space="0" w:color="auto"/>
              <w:right w:val="nil"/>
            </w:tcBorders>
            <w:shd w:val="clear" w:color="auto" w:fill="auto"/>
            <w:noWrap/>
            <w:vAlign w:val="center"/>
            <w:hideMark/>
          </w:tcPr>
          <w:p w14:paraId="6AF0B8FE"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985,7</w:t>
            </w:r>
          </w:p>
        </w:tc>
        <w:tc>
          <w:tcPr>
            <w:tcW w:w="627" w:type="pct"/>
            <w:tcBorders>
              <w:top w:val="nil"/>
              <w:left w:val="nil"/>
              <w:bottom w:val="single" w:sz="4" w:space="0" w:color="auto"/>
              <w:right w:val="nil"/>
            </w:tcBorders>
            <w:shd w:val="clear" w:color="auto" w:fill="auto"/>
            <w:noWrap/>
            <w:vAlign w:val="center"/>
            <w:hideMark/>
          </w:tcPr>
          <w:p w14:paraId="2FF5DDC3"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76,2</w:t>
            </w:r>
          </w:p>
        </w:tc>
      </w:tr>
      <w:tr w:rsidR="002466A8" w:rsidRPr="002466A8" w14:paraId="4CECBAFF" w14:textId="77777777" w:rsidTr="002C50A2">
        <w:trPr>
          <w:trHeight w:val="259"/>
          <w:jc w:val="center"/>
        </w:trPr>
        <w:tc>
          <w:tcPr>
            <w:tcW w:w="1460" w:type="pct"/>
            <w:vMerge/>
            <w:tcBorders>
              <w:top w:val="nil"/>
              <w:left w:val="nil"/>
              <w:bottom w:val="single" w:sz="4" w:space="0" w:color="auto"/>
              <w:right w:val="nil"/>
            </w:tcBorders>
            <w:vAlign w:val="center"/>
            <w:hideMark/>
          </w:tcPr>
          <w:p w14:paraId="463B004C" w14:textId="77777777" w:rsidR="002466A8" w:rsidRPr="002466A8" w:rsidRDefault="002466A8" w:rsidP="00824A04">
            <w:pPr>
              <w:ind w:firstLine="0"/>
              <w:jc w:val="center"/>
              <w:rPr>
                <w:rFonts w:eastAsia="Times New Roman"/>
                <w:sz w:val="16"/>
                <w:szCs w:val="16"/>
                <w:lang w:eastAsia="it-IT" w:bidi="hi-IN"/>
              </w:rPr>
            </w:pPr>
          </w:p>
        </w:tc>
        <w:tc>
          <w:tcPr>
            <w:tcW w:w="433" w:type="pct"/>
            <w:tcBorders>
              <w:top w:val="nil"/>
              <w:left w:val="nil"/>
              <w:bottom w:val="single" w:sz="4" w:space="0" w:color="auto"/>
              <w:right w:val="nil"/>
            </w:tcBorders>
            <w:shd w:val="clear" w:color="auto" w:fill="auto"/>
            <w:noWrap/>
            <w:vAlign w:val="center"/>
            <w:hideMark/>
          </w:tcPr>
          <w:p w14:paraId="608748FC" w14:textId="08FAFD96"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8</w:t>
            </w:r>
            <w:r w:rsidR="00061A99" w:rsidRPr="00061A99">
              <w:rPr>
                <w:rFonts w:eastAsia="Times New Roman"/>
                <w:sz w:val="16"/>
                <w:szCs w:val="16"/>
                <w:vertAlign w:val="superscript"/>
                <w:lang w:eastAsia="it-IT" w:bidi="hi-IN"/>
              </w:rPr>
              <w:t xml:space="preserve"> O</w:t>
            </w:r>
          </w:p>
        </w:tc>
        <w:tc>
          <w:tcPr>
            <w:tcW w:w="465" w:type="pct"/>
            <w:tcBorders>
              <w:top w:val="nil"/>
              <w:left w:val="nil"/>
              <w:bottom w:val="single" w:sz="4" w:space="0" w:color="auto"/>
              <w:right w:val="nil"/>
            </w:tcBorders>
            <w:shd w:val="clear" w:color="auto" w:fill="auto"/>
            <w:noWrap/>
            <w:vAlign w:val="center"/>
            <w:hideMark/>
          </w:tcPr>
          <w:p w14:paraId="4107E289"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236,3</w:t>
            </w:r>
          </w:p>
        </w:tc>
        <w:tc>
          <w:tcPr>
            <w:tcW w:w="523" w:type="pct"/>
            <w:tcBorders>
              <w:top w:val="nil"/>
              <w:left w:val="nil"/>
              <w:bottom w:val="single" w:sz="4" w:space="0" w:color="auto"/>
              <w:right w:val="nil"/>
            </w:tcBorders>
            <w:shd w:val="clear" w:color="auto" w:fill="auto"/>
            <w:noWrap/>
            <w:vAlign w:val="center"/>
            <w:hideMark/>
          </w:tcPr>
          <w:p w14:paraId="668A6654"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358,1</w:t>
            </w:r>
          </w:p>
        </w:tc>
        <w:tc>
          <w:tcPr>
            <w:tcW w:w="573" w:type="pct"/>
            <w:tcBorders>
              <w:top w:val="nil"/>
              <w:left w:val="nil"/>
              <w:bottom w:val="single" w:sz="4" w:space="0" w:color="auto"/>
              <w:right w:val="nil"/>
            </w:tcBorders>
            <w:shd w:val="clear" w:color="auto" w:fill="auto"/>
            <w:noWrap/>
            <w:vAlign w:val="center"/>
            <w:hideMark/>
          </w:tcPr>
          <w:p w14:paraId="66848612"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241,7</w:t>
            </w:r>
          </w:p>
        </w:tc>
        <w:tc>
          <w:tcPr>
            <w:tcW w:w="468" w:type="pct"/>
            <w:tcBorders>
              <w:top w:val="nil"/>
              <w:left w:val="nil"/>
              <w:bottom w:val="single" w:sz="4" w:space="0" w:color="auto"/>
              <w:right w:val="nil"/>
            </w:tcBorders>
            <w:shd w:val="clear" w:color="auto" w:fill="auto"/>
            <w:noWrap/>
            <w:vAlign w:val="center"/>
            <w:hideMark/>
          </w:tcPr>
          <w:p w14:paraId="05184D6A"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3759,9</w:t>
            </w:r>
          </w:p>
        </w:tc>
        <w:tc>
          <w:tcPr>
            <w:tcW w:w="451" w:type="pct"/>
            <w:tcBorders>
              <w:top w:val="nil"/>
              <w:left w:val="nil"/>
              <w:bottom w:val="single" w:sz="4" w:space="0" w:color="auto"/>
              <w:right w:val="nil"/>
            </w:tcBorders>
            <w:shd w:val="clear" w:color="auto" w:fill="auto"/>
            <w:noWrap/>
            <w:vAlign w:val="center"/>
            <w:hideMark/>
          </w:tcPr>
          <w:p w14:paraId="105E8C11"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813,1</w:t>
            </w:r>
          </w:p>
        </w:tc>
        <w:tc>
          <w:tcPr>
            <w:tcW w:w="627" w:type="pct"/>
            <w:tcBorders>
              <w:top w:val="nil"/>
              <w:left w:val="nil"/>
              <w:bottom w:val="single" w:sz="4" w:space="0" w:color="auto"/>
              <w:right w:val="nil"/>
            </w:tcBorders>
            <w:shd w:val="clear" w:color="auto" w:fill="auto"/>
            <w:noWrap/>
            <w:vAlign w:val="center"/>
            <w:hideMark/>
          </w:tcPr>
          <w:p w14:paraId="16301044"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76,0</w:t>
            </w:r>
          </w:p>
        </w:tc>
      </w:tr>
      <w:tr w:rsidR="002466A8" w:rsidRPr="002466A8" w14:paraId="29959E9B" w14:textId="77777777" w:rsidTr="002C50A2">
        <w:trPr>
          <w:trHeight w:val="259"/>
          <w:jc w:val="center"/>
        </w:trPr>
        <w:tc>
          <w:tcPr>
            <w:tcW w:w="1460" w:type="pct"/>
            <w:vMerge/>
            <w:tcBorders>
              <w:top w:val="nil"/>
              <w:left w:val="nil"/>
              <w:bottom w:val="single" w:sz="4" w:space="0" w:color="auto"/>
              <w:right w:val="nil"/>
            </w:tcBorders>
            <w:vAlign w:val="center"/>
            <w:hideMark/>
          </w:tcPr>
          <w:p w14:paraId="30CEAE9E" w14:textId="77777777" w:rsidR="002466A8" w:rsidRPr="002466A8" w:rsidRDefault="002466A8" w:rsidP="00824A04">
            <w:pPr>
              <w:ind w:firstLine="0"/>
              <w:jc w:val="center"/>
              <w:rPr>
                <w:rFonts w:eastAsia="Times New Roman"/>
                <w:sz w:val="16"/>
                <w:szCs w:val="16"/>
                <w:lang w:eastAsia="it-IT" w:bidi="hi-IN"/>
              </w:rPr>
            </w:pPr>
          </w:p>
        </w:tc>
        <w:tc>
          <w:tcPr>
            <w:tcW w:w="433" w:type="pct"/>
            <w:tcBorders>
              <w:top w:val="nil"/>
              <w:left w:val="nil"/>
              <w:bottom w:val="single" w:sz="4" w:space="0" w:color="auto"/>
              <w:right w:val="nil"/>
            </w:tcBorders>
            <w:shd w:val="clear" w:color="auto" w:fill="auto"/>
            <w:noWrap/>
            <w:vAlign w:val="center"/>
            <w:hideMark/>
          </w:tcPr>
          <w:p w14:paraId="040D9F0C" w14:textId="4FA8B56D"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11</w:t>
            </w:r>
            <w:r w:rsidR="00061A99" w:rsidRPr="00061A99">
              <w:rPr>
                <w:rFonts w:eastAsia="Times New Roman"/>
                <w:sz w:val="16"/>
                <w:szCs w:val="16"/>
                <w:vertAlign w:val="superscript"/>
                <w:lang w:eastAsia="it-IT" w:bidi="hi-IN"/>
              </w:rPr>
              <w:t xml:space="preserve"> O</w:t>
            </w:r>
          </w:p>
        </w:tc>
        <w:tc>
          <w:tcPr>
            <w:tcW w:w="465" w:type="pct"/>
            <w:tcBorders>
              <w:top w:val="nil"/>
              <w:left w:val="nil"/>
              <w:bottom w:val="single" w:sz="4" w:space="0" w:color="auto"/>
              <w:right w:val="nil"/>
            </w:tcBorders>
            <w:shd w:val="clear" w:color="auto" w:fill="auto"/>
            <w:noWrap/>
            <w:vAlign w:val="center"/>
            <w:hideMark/>
          </w:tcPr>
          <w:p w14:paraId="199B32F4"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232,4</w:t>
            </w:r>
          </w:p>
        </w:tc>
        <w:tc>
          <w:tcPr>
            <w:tcW w:w="523" w:type="pct"/>
            <w:tcBorders>
              <w:top w:val="nil"/>
              <w:left w:val="nil"/>
              <w:bottom w:val="single" w:sz="4" w:space="0" w:color="auto"/>
              <w:right w:val="nil"/>
            </w:tcBorders>
            <w:shd w:val="clear" w:color="auto" w:fill="auto"/>
            <w:noWrap/>
            <w:vAlign w:val="center"/>
            <w:hideMark/>
          </w:tcPr>
          <w:p w14:paraId="71FE78D4"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352,2</w:t>
            </w:r>
          </w:p>
        </w:tc>
        <w:tc>
          <w:tcPr>
            <w:tcW w:w="573" w:type="pct"/>
            <w:tcBorders>
              <w:top w:val="nil"/>
              <w:left w:val="nil"/>
              <w:bottom w:val="single" w:sz="4" w:space="0" w:color="auto"/>
              <w:right w:val="nil"/>
            </w:tcBorders>
            <w:shd w:val="clear" w:color="auto" w:fill="auto"/>
            <w:noWrap/>
            <w:vAlign w:val="center"/>
            <w:hideMark/>
          </w:tcPr>
          <w:p w14:paraId="4A6E5414"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245,5</w:t>
            </w:r>
          </w:p>
        </w:tc>
        <w:tc>
          <w:tcPr>
            <w:tcW w:w="468" w:type="pct"/>
            <w:tcBorders>
              <w:top w:val="nil"/>
              <w:left w:val="nil"/>
              <w:bottom w:val="single" w:sz="4" w:space="0" w:color="auto"/>
              <w:right w:val="nil"/>
            </w:tcBorders>
            <w:shd w:val="clear" w:color="auto" w:fill="auto"/>
            <w:noWrap/>
            <w:vAlign w:val="center"/>
            <w:hideMark/>
          </w:tcPr>
          <w:p w14:paraId="059C4EDF"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4058,8</w:t>
            </w:r>
          </w:p>
        </w:tc>
        <w:tc>
          <w:tcPr>
            <w:tcW w:w="451" w:type="pct"/>
            <w:tcBorders>
              <w:top w:val="nil"/>
              <w:left w:val="nil"/>
              <w:bottom w:val="single" w:sz="4" w:space="0" w:color="auto"/>
              <w:right w:val="nil"/>
            </w:tcBorders>
            <w:shd w:val="clear" w:color="auto" w:fill="auto"/>
            <w:noWrap/>
            <w:vAlign w:val="center"/>
            <w:hideMark/>
          </w:tcPr>
          <w:p w14:paraId="588A7F0D"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679,6</w:t>
            </w:r>
          </w:p>
        </w:tc>
        <w:tc>
          <w:tcPr>
            <w:tcW w:w="627" w:type="pct"/>
            <w:tcBorders>
              <w:top w:val="nil"/>
              <w:left w:val="nil"/>
              <w:bottom w:val="single" w:sz="4" w:space="0" w:color="auto"/>
              <w:right w:val="nil"/>
            </w:tcBorders>
            <w:shd w:val="clear" w:color="auto" w:fill="auto"/>
            <w:noWrap/>
            <w:vAlign w:val="center"/>
            <w:hideMark/>
          </w:tcPr>
          <w:p w14:paraId="5438FED9"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76,0</w:t>
            </w:r>
          </w:p>
        </w:tc>
      </w:tr>
      <w:tr w:rsidR="002466A8" w:rsidRPr="002466A8" w14:paraId="5DD10A05" w14:textId="77777777" w:rsidTr="002C50A2">
        <w:trPr>
          <w:trHeight w:val="281"/>
          <w:jc w:val="center"/>
        </w:trPr>
        <w:tc>
          <w:tcPr>
            <w:tcW w:w="1460" w:type="pct"/>
            <w:vMerge w:val="restart"/>
            <w:tcBorders>
              <w:top w:val="nil"/>
              <w:left w:val="nil"/>
              <w:bottom w:val="single" w:sz="4" w:space="0" w:color="auto"/>
              <w:right w:val="nil"/>
            </w:tcBorders>
            <w:shd w:val="clear" w:color="auto" w:fill="auto"/>
            <w:vAlign w:val="center"/>
            <w:hideMark/>
          </w:tcPr>
          <w:p w14:paraId="6BF256A1" w14:textId="3569957D"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T setting variation</w:t>
            </w:r>
          </w:p>
        </w:tc>
        <w:tc>
          <w:tcPr>
            <w:tcW w:w="433" w:type="pct"/>
            <w:tcBorders>
              <w:top w:val="nil"/>
              <w:left w:val="nil"/>
              <w:bottom w:val="single" w:sz="4" w:space="0" w:color="auto"/>
              <w:right w:val="nil"/>
            </w:tcBorders>
            <w:shd w:val="clear" w:color="auto" w:fill="auto"/>
            <w:noWrap/>
            <w:vAlign w:val="center"/>
            <w:hideMark/>
          </w:tcPr>
          <w:p w14:paraId="4AF252C7" w14:textId="49403DDB"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293</w:t>
            </w:r>
            <w:r w:rsidR="00061A99">
              <w:rPr>
                <w:rFonts w:eastAsia="Times New Roman"/>
                <w:sz w:val="16"/>
                <w:szCs w:val="16"/>
                <w:lang w:eastAsia="it-IT" w:bidi="hi-IN"/>
              </w:rPr>
              <w:t xml:space="preserve"> K</w:t>
            </w:r>
          </w:p>
        </w:tc>
        <w:tc>
          <w:tcPr>
            <w:tcW w:w="465" w:type="pct"/>
            <w:tcBorders>
              <w:top w:val="nil"/>
              <w:left w:val="nil"/>
              <w:bottom w:val="single" w:sz="4" w:space="0" w:color="auto"/>
              <w:right w:val="nil"/>
            </w:tcBorders>
            <w:shd w:val="clear" w:color="auto" w:fill="auto"/>
            <w:noWrap/>
            <w:vAlign w:val="center"/>
            <w:hideMark/>
          </w:tcPr>
          <w:p w14:paraId="4D5E7289"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237,5</w:t>
            </w:r>
          </w:p>
        </w:tc>
        <w:tc>
          <w:tcPr>
            <w:tcW w:w="523" w:type="pct"/>
            <w:tcBorders>
              <w:top w:val="nil"/>
              <w:left w:val="nil"/>
              <w:bottom w:val="single" w:sz="4" w:space="0" w:color="auto"/>
              <w:right w:val="nil"/>
            </w:tcBorders>
            <w:shd w:val="clear" w:color="auto" w:fill="auto"/>
            <w:noWrap/>
            <w:vAlign w:val="center"/>
            <w:hideMark/>
          </w:tcPr>
          <w:p w14:paraId="3B5CCE3B"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360,1</w:t>
            </w:r>
          </w:p>
        </w:tc>
        <w:tc>
          <w:tcPr>
            <w:tcW w:w="573" w:type="pct"/>
            <w:tcBorders>
              <w:top w:val="nil"/>
              <w:left w:val="nil"/>
              <w:bottom w:val="single" w:sz="4" w:space="0" w:color="auto"/>
              <w:right w:val="nil"/>
            </w:tcBorders>
            <w:shd w:val="clear" w:color="auto" w:fill="auto"/>
            <w:noWrap/>
            <w:vAlign w:val="center"/>
            <w:hideMark/>
          </w:tcPr>
          <w:p w14:paraId="72608CD1"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241,3</w:t>
            </w:r>
          </w:p>
        </w:tc>
        <w:tc>
          <w:tcPr>
            <w:tcW w:w="468" w:type="pct"/>
            <w:tcBorders>
              <w:top w:val="nil"/>
              <w:left w:val="nil"/>
              <w:bottom w:val="single" w:sz="4" w:space="0" w:color="auto"/>
              <w:right w:val="nil"/>
            </w:tcBorders>
            <w:shd w:val="clear" w:color="auto" w:fill="auto"/>
            <w:noWrap/>
            <w:vAlign w:val="center"/>
            <w:hideMark/>
          </w:tcPr>
          <w:p w14:paraId="7D071087"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3728,5</w:t>
            </w:r>
          </w:p>
        </w:tc>
        <w:tc>
          <w:tcPr>
            <w:tcW w:w="451" w:type="pct"/>
            <w:tcBorders>
              <w:top w:val="nil"/>
              <w:left w:val="nil"/>
              <w:bottom w:val="single" w:sz="4" w:space="0" w:color="auto"/>
              <w:right w:val="nil"/>
            </w:tcBorders>
            <w:shd w:val="clear" w:color="auto" w:fill="auto"/>
            <w:noWrap/>
            <w:vAlign w:val="center"/>
            <w:hideMark/>
          </w:tcPr>
          <w:p w14:paraId="13120CBF"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801,8</w:t>
            </w:r>
          </w:p>
        </w:tc>
        <w:tc>
          <w:tcPr>
            <w:tcW w:w="627" w:type="pct"/>
            <w:tcBorders>
              <w:top w:val="nil"/>
              <w:left w:val="nil"/>
              <w:bottom w:val="single" w:sz="4" w:space="0" w:color="auto"/>
              <w:right w:val="nil"/>
            </w:tcBorders>
            <w:shd w:val="clear" w:color="auto" w:fill="auto"/>
            <w:noWrap/>
            <w:vAlign w:val="center"/>
            <w:hideMark/>
          </w:tcPr>
          <w:p w14:paraId="367FBF0C"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76,3</w:t>
            </w:r>
          </w:p>
        </w:tc>
      </w:tr>
      <w:tr w:rsidR="002466A8" w:rsidRPr="002466A8" w14:paraId="13EF26B8" w14:textId="77777777" w:rsidTr="002C50A2">
        <w:trPr>
          <w:trHeight w:val="259"/>
          <w:jc w:val="center"/>
        </w:trPr>
        <w:tc>
          <w:tcPr>
            <w:tcW w:w="1460" w:type="pct"/>
            <w:vMerge/>
            <w:tcBorders>
              <w:top w:val="nil"/>
              <w:left w:val="nil"/>
              <w:bottom w:val="single" w:sz="4" w:space="0" w:color="auto"/>
              <w:right w:val="nil"/>
            </w:tcBorders>
            <w:vAlign w:val="center"/>
            <w:hideMark/>
          </w:tcPr>
          <w:p w14:paraId="377A59C7" w14:textId="77777777" w:rsidR="002466A8" w:rsidRPr="002466A8" w:rsidRDefault="002466A8" w:rsidP="00824A04">
            <w:pPr>
              <w:ind w:firstLine="0"/>
              <w:jc w:val="center"/>
              <w:rPr>
                <w:rFonts w:eastAsia="Times New Roman"/>
                <w:sz w:val="16"/>
                <w:szCs w:val="16"/>
                <w:lang w:eastAsia="it-IT" w:bidi="hi-IN"/>
              </w:rPr>
            </w:pPr>
          </w:p>
        </w:tc>
        <w:tc>
          <w:tcPr>
            <w:tcW w:w="433" w:type="pct"/>
            <w:tcBorders>
              <w:top w:val="nil"/>
              <w:left w:val="nil"/>
              <w:bottom w:val="single" w:sz="4" w:space="0" w:color="auto"/>
              <w:right w:val="nil"/>
            </w:tcBorders>
            <w:shd w:val="clear" w:color="auto" w:fill="auto"/>
            <w:noWrap/>
            <w:vAlign w:val="center"/>
            <w:hideMark/>
          </w:tcPr>
          <w:p w14:paraId="6BD2F9B6" w14:textId="1644E8DF"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298</w:t>
            </w:r>
            <w:r w:rsidR="00061A99">
              <w:rPr>
                <w:rFonts w:eastAsia="Times New Roman"/>
                <w:sz w:val="16"/>
                <w:szCs w:val="16"/>
                <w:lang w:eastAsia="it-IT" w:bidi="hi-IN"/>
              </w:rPr>
              <w:t xml:space="preserve"> K</w:t>
            </w:r>
          </w:p>
        </w:tc>
        <w:tc>
          <w:tcPr>
            <w:tcW w:w="465" w:type="pct"/>
            <w:tcBorders>
              <w:top w:val="nil"/>
              <w:left w:val="nil"/>
              <w:bottom w:val="single" w:sz="4" w:space="0" w:color="auto"/>
              <w:right w:val="nil"/>
            </w:tcBorders>
            <w:shd w:val="clear" w:color="auto" w:fill="auto"/>
            <w:noWrap/>
            <w:vAlign w:val="center"/>
            <w:hideMark/>
          </w:tcPr>
          <w:p w14:paraId="17C2B3D4"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236,0</w:t>
            </w:r>
          </w:p>
        </w:tc>
        <w:tc>
          <w:tcPr>
            <w:tcW w:w="523" w:type="pct"/>
            <w:tcBorders>
              <w:top w:val="nil"/>
              <w:left w:val="nil"/>
              <w:bottom w:val="single" w:sz="4" w:space="0" w:color="auto"/>
              <w:right w:val="nil"/>
            </w:tcBorders>
            <w:shd w:val="clear" w:color="auto" w:fill="auto"/>
            <w:noWrap/>
            <w:vAlign w:val="center"/>
            <w:hideMark/>
          </w:tcPr>
          <w:p w14:paraId="23799778"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358,6</w:t>
            </w:r>
          </w:p>
        </w:tc>
        <w:tc>
          <w:tcPr>
            <w:tcW w:w="573" w:type="pct"/>
            <w:tcBorders>
              <w:top w:val="nil"/>
              <w:left w:val="nil"/>
              <w:bottom w:val="single" w:sz="4" w:space="0" w:color="auto"/>
              <w:right w:val="nil"/>
            </w:tcBorders>
            <w:shd w:val="clear" w:color="auto" w:fill="auto"/>
            <w:noWrap/>
            <w:vAlign w:val="center"/>
            <w:hideMark/>
          </w:tcPr>
          <w:p w14:paraId="0AB4AD11"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241,5</w:t>
            </w:r>
          </w:p>
        </w:tc>
        <w:tc>
          <w:tcPr>
            <w:tcW w:w="468" w:type="pct"/>
            <w:tcBorders>
              <w:top w:val="nil"/>
              <w:left w:val="nil"/>
              <w:bottom w:val="single" w:sz="4" w:space="0" w:color="auto"/>
              <w:right w:val="nil"/>
            </w:tcBorders>
            <w:shd w:val="clear" w:color="auto" w:fill="auto"/>
            <w:noWrap/>
            <w:vAlign w:val="center"/>
            <w:hideMark/>
          </w:tcPr>
          <w:p w14:paraId="506009D1"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3758,6</w:t>
            </w:r>
          </w:p>
        </w:tc>
        <w:tc>
          <w:tcPr>
            <w:tcW w:w="451" w:type="pct"/>
            <w:tcBorders>
              <w:top w:val="nil"/>
              <w:left w:val="nil"/>
              <w:bottom w:val="single" w:sz="4" w:space="0" w:color="auto"/>
              <w:right w:val="nil"/>
            </w:tcBorders>
            <w:shd w:val="clear" w:color="auto" w:fill="auto"/>
            <w:noWrap/>
            <w:vAlign w:val="center"/>
            <w:hideMark/>
          </w:tcPr>
          <w:p w14:paraId="0F6569F3"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812,1</w:t>
            </w:r>
          </w:p>
        </w:tc>
        <w:tc>
          <w:tcPr>
            <w:tcW w:w="627" w:type="pct"/>
            <w:tcBorders>
              <w:top w:val="nil"/>
              <w:left w:val="nil"/>
              <w:bottom w:val="single" w:sz="4" w:space="0" w:color="auto"/>
              <w:right w:val="nil"/>
            </w:tcBorders>
            <w:shd w:val="clear" w:color="auto" w:fill="auto"/>
            <w:noWrap/>
            <w:vAlign w:val="center"/>
            <w:hideMark/>
          </w:tcPr>
          <w:p w14:paraId="409E4CA5"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76,1</w:t>
            </w:r>
          </w:p>
        </w:tc>
      </w:tr>
      <w:tr w:rsidR="002466A8" w:rsidRPr="002466A8" w14:paraId="5D536255" w14:textId="77777777" w:rsidTr="002C50A2">
        <w:trPr>
          <w:trHeight w:val="259"/>
          <w:jc w:val="center"/>
        </w:trPr>
        <w:tc>
          <w:tcPr>
            <w:tcW w:w="1460" w:type="pct"/>
            <w:vMerge/>
            <w:tcBorders>
              <w:top w:val="nil"/>
              <w:left w:val="nil"/>
              <w:bottom w:val="single" w:sz="4" w:space="0" w:color="auto"/>
              <w:right w:val="nil"/>
            </w:tcBorders>
            <w:vAlign w:val="center"/>
            <w:hideMark/>
          </w:tcPr>
          <w:p w14:paraId="58AD0CFA" w14:textId="77777777" w:rsidR="002466A8" w:rsidRPr="002466A8" w:rsidRDefault="002466A8" w:rsidP="00824A04">
            <w:pPr>
              <w:ind w:firstLine="0"/>
              <w:jc w:val="center"/>
              <w:rPr>
                <w:rFonts w:eastAsia="Times New Roman"/>
                <w:sz w:val="16"/>
                <w:szCs w:val="16"/>
                <w:lang w:eastAsia="it-IT" w:bidi="hi-IN"/>
              </w:rPr>
            </w:pPr>
          </w:p>
        </w:tc>
        <w:tc>
          <w:tcPr>
            <w:tcW w:w="433" w:type="pct"/>
            <w:tcBorders>
              <w:top w:val="nil"/>
              <w:left w:val="nil"/>
              <w:bottom w:val="single" w:sz="4" w:space="0" w:color="auto"/>
              <w:right w:val="nil"/>
            </w:tcBorders>
            <w:shd w:val="clear" w:color="auto" w:fill="auto"/>
            <w:noWrap/>
            <w:vAlign w:val="center"/>
            <w:hideMark/>
          </w:tcPr>
          <w:p w14:paraId="01D7AC24" w14:textId="33E4B1DE"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303</w:t>
            </w:r>
            <w:r w:rsidR="00061A99">
              <w:rPr>
                <w:rFonts w:eastAsia="Times New Roman"/>
                <w:sz w:val="16"/>
                <w:szCs w:val="16"/>
                <w:lang w:eastAsia="it-IT" w:bidi="hi-IN"/>
              </w:rPr>
              <w:t xml:space="preserve"> K </w:t>
            </w:r>
          </w:p>
        </w:tc>
        <w:tc>
          <w:tcPr>
            <w:tcW w:w="465" w:type="pct"/>
            <w:tcBorders>
              <w:top w:val="nil"/>
              <w:left w:val="nil"/>
              <w:bottom w:val="single" w:sz="4" w:space="0" w:color="auto"/>
              <w:right w:val="nil"/>
            </w:tcBorders>
            <w:shd w:val="clear" w:color="auto" w:fill="auto"/>
            <w:noWrap/>
            <w:vAlign w:val="center"/>
            <w:hideMark/>
          </w:tcPr>
          <w:p w14:paraId="49F381F9"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236,2</w:t>
            </w:r>
          </w:p>
        </w:tc>
        <w:tc>
          <w:tcPr>
            <w:tcW w:w="523" w:type="pct"/>
            <w:tcBorders>
              <w:top w:val="nil"/>
              <w:left w:val="nil"/>
              <w:bottom w:val="single" w:sz="4" w:space="0" w:color="auto"/>
              <w:right w:val="nil"/>
            </w:tcBorders>
            <w:shd w:val="clear" w:color="auto" w:fill="auto"/>
            <w:noWrap/>
            <w:vAlign w:val="center"/>
            <w:hideMark/>
          </w:tcPr>
          <w:p w14:paraId="1DCDFD56"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357,9</w:t>
            </w:r>
          </w:p>
        </w:tc>
        <w:tc>
          <w:tcPr>
            <w:tcW w:w="573" w:type="pct"/>
            <w:tcBorders>
              <w:top w:val="nil"/>
              <w:left w:val="nil"/>
              <w:bottom w:val="single" w:sz="4" w:space="0" w:color="auto"/>
              <w:right w:val="nil"/>
            </w:tcBorders>
            <w:shd w:val="clear" w:color="auto" w:fill="auto"/>
            <w:noWrap/>
            <w:vAlign w:val="center"/>
            <w:hideMark/>
          </w:tcPr>
          <w:p w14:paraId="027C887D"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241,7</w:t>
            </w:r>
          </w:p>
        </w:tc>
        <w:tc>
          <w:tcPr>
            <w:tcW w:w="468" w:type="pct"/>
            <w:tcBorders>
              <w:top w:val="nil"/>
              <w:left w:val="nil"/>
              <w:bottom w:val="single" w:sz="4" w:space="0" w:color="auto"/>
              <w:right w:val="nil"/>
            </w:tcBorders>
            <w:shd w:val="clear" w:color="auto" w:fill="auto"/>
            <w:noWrap/>
            <w:vAlign w:val="center"/>
            <w:hideMark/>
          </w:tcPr>
          <w:p w14:paraId="7E8CD862"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3766,8</w:t>
            </w:r>
          </w:p>
        </w:tc>
        <w:tc>
          <w:tcPr>
            <w:tcW w:w="451" w:type="pct"/>
            <w:tcBorders>
              <w:top w:val="nil"/>
              <w:left w:val="nil"/>
              <w:bottom w:val="single" w:sz="4" w:space="0" w:color="auto"/>
              <w:right w:val="nil"/>
            </w:tcBorders>
            <w:shd w:val="clear" w:color="auto" w:fill="auto"/>
            <w:noWrap/>
            <w:vAlign w:val="center"/>
            <w:hideMark/>
          </w:tcPr>
          <w:p w14:paraId="7C56118D"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814,5</w:t>
            </w:r>
          </w:p>
        </w:tc>
        <w:tc>
          <w:tcPr>
            <w:tcW w:w="627" w:type="pct"/>
            <w:tcBorders>
              <w:top w:val="nil"/>
              <w:left w:val="nil"/>
              <w:bottom w:val="single" w:sz="4" w:space="0" w:color="auto"/>
              <w:right w:val="nil"/>
            </w:tcBorders>
            <w:shd w:val="clear" w:color="auto" w:fill="auto"/>
            <w:noWrap/>
            <w:vAlign w:val="center"/>
            <w:hideMark/>
          </w:tcPr>
          <w:p w14:paraId="0CEC3900"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76,0</w:t>
            </w:r>
          </w:p>
        </w:tc>
      </w:tr>
      <w:tr w:rsidR="002466A8" w:rsidRPr="002466A8" w14:paraId="4C374956" w14:textId="77777777" w:rsidTr="002C50A2">
        <w:trPr>
          <w:trHeight w:val="259"/>
          <w:jc w:val="center"/>
        </w:trPr>
        <w:tc>
          <w:tcPr>
            <w:tcW w:w="1460" w:type="pct"/>
            <w:vMerge w:val="restart"/>
            <w:tcBorders>
              <w:top w:val="nil"/>
              <w:left w:val="nil"/>
              <w:bottom w:val="single" w:sz="4" w:space="0" w:color="auto"/>
              <w:right w:val="nil"/>
            </w:tcBorders>
            <w:shd w:val="clear" w:color="auto" w:fill="auto"/>
            <w:vAlign w:val="center"/>
            <w:hideMark/>
          </w:tcPr>
          <w:p w14:paraId="62F02C98" w14:textId="03432013"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p setting variation</w:t>
            </w:r>
          </w:p>
        </w:tc>
        <w:tc>
          <w:tcPr>
            <w:tcW w:w="433" w:type="pct"/>
            <w:tcBorders>
              <w:top w:val="nil"/>
              <w:left w:val="nil"/>
              <w:bottom w:val="single" w:sz="4" w:space="0" w:color="auto"/>
              <w:right w:val="nil"/>
            </w:tcBorders>
            <w:shd w:val="clear" w:color="auto" w:fill="auto"/>
            <w:noWrap/>
            <w:vAlign w:val="center"/>
            <w:hideMark/>
          </w:tcPr>
          <w:p w14:paraId="32EBBBA1"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-5%</w:t>
            </w:r>
          </w:p>
        </w:tc>
        <w:tc>
          <w:tcPr>
            <w:tcW w:w="465" w:type="pct"/>
            <w:tcBorders>
              <w:top w:val="nil"/>
              <w:left w:val="nil"/>
              <w:bottom w:val="single" w:sz="4" w:space="0" w:color="auto"/>
              <w:right w:val="nil"/>
            </w:tcBorders>
            <w:shd w:val="clear" w:color="auto" w:fill="auto"/>
            <w:noWrap/>
            <w:vAlign w:val="center"/>
            <w:hideMark/>
          </w:tcPr>
          <w:p w14:paraId="1889E55C"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220,2</w:t>
            </w:r>
          </w:p>
        </w:tc>
        <w:tc>
          <w:tcPr>
            <w:tcW w:w="523" w:type="pct"/>
            <w:tcBorders>
              <w:top w:val="nil"/>
              <w:left w:val="nil"/>
              <w:bottom w:val="single" w:sz="4" w:space="0" w:color="auto"/>
              <w:right w:val="nil"/>
            </w:tcBorders>
            <w:shd w:val="clear" w:color="auto" w:fill="auto"/>
            <w:noWrap/>
            <w:vAlign w:val="center"/>
            <w:hideMark/>
          </w:tcPr>
          <w:p w14:paraId="7D30B40A"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333,8</w:t>
            </w:r>
          </w:p>
        </w:tc>
        <w:tc>
          <w:tcPr>
            <w:tcW w:w="573" w:type="pct"/>
            <w:tcBorders>
              <w:top w:val="nil"/>
              <w:left w:val="nil"/>
              <w:bottom w:val="single" w:sz="4" w:space="0" w:color="auto"/>
              <w:right w:val="nil"/>
            </w:tcBorders>
            <w:shd w:val="clear" w:color="auto" w:fill="auto"/>
            <w:noWrap/>
            <w:vAlign w:val="center"/>
            <w:hideMark/>
          </w:tcPr>
          <w:p w14:paraId="5077D79F"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245,5</w:t>
            </w:r>
          </w:p>
        </w:tc>
        <w:tc>
          <w:tcPr>
            <w:tcW w:w="468" w:type="pct"/>
            <w:tcBorders>
              <w:top w:val="nil"/>
              <w:left w:val="nil"/>
              <w:bottom w:val="single" w:sz="4" w:space="0" w:color="auto"/>
              <w:right w:val="nil"/>
            </w:tcBorders>
            <w:shd w:val="clear" w:color="auto" w:fill="auto"/>
            <w:noWrap/>
            <w:vAlign w:val="center"/>
            <w:hideMark/>
          </w:tcPr>
          <w:p w14:paraId="2097CF7F"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3757,5</w:t>
            </w:r>
          </w:p>
        </w:tc>
        <w:tc>
          <w:tcPr>
            <w:tcW w:w="451" w:type="pct"/>
            <w:tcBorders>
              <w:top w:val="nil"/>
              <w:left w:val="nil"/>
              <w:bottom w:val="single" w:sz="4" w:space="0" w:color="auto"/>
              <w:right w:val="nil"/>
            </w:tcBorders>
            <w:shd w:val="clear" w:color="auto" w:fill="auto"/>
            <w:noWrap/>
            <w:vAlign w:val="center"/>
            <w:hideMark/>
          </w:tcPr>
          <w:p w14:paraId="7B0001B7"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763,5</w:t>
            </w:r>
          </w:p>
        </w:tc>
        <w:tc>
          <w:tcPr>
            <w:tcW w:w="627" w:type="pct"/>
            <w:tcBorders>
              <w:top w:val="nil"/>
              <w:left w:val="nil"/>
              <w:bottom w:val="single" w:sz="4" w:space="0" w:color="auto"/>
              <w:right w:val="nil"/>
            </w:tcBorders>
            <w:shd w:val="clear" w:color="auto" w:fill="auto"/>
            <w:noWrap/>
            <w:vAlign w:val="center"/>
            <w:hideMark/>
          </w:tcPr>
          <w:p w14:paraId="4A4ECDBB"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72,0</w:t>
            </w:r>
          </w:p>
        </w:tc>
      </w:tr>
      <w:tr w:rsidR="002466A8" w:rsidRPr="002466A8" w14:paraId="33E40D1D" w14:textId="77777777" w:rsidTr="002C50A2">
        <w:trPr>
          <w:trHeight w:val="259"/>
          <w:jc w:val="center"/>
        </w:trPr>
        <w:tc>
          <w:tcPr>
            <w:tcW w:w="1460" w:type="pct"/>
            <w:vMerge/>
            <w:tcBorders>
              <w:top w:val="nil"/>
              <w:left w:val="nil"/>
              <w:bottom w:val="single" w:sz="4" w:space="0" w:color="auto"/>
              <w:right w:val="nil"/>
            </w:tcBorders>
            <w:vAlign w:val="center"/>
            <w:hideMark/>
          </w:tcPr>
          <w:p w14:paraId="0005503F" w14:textId="77777777" w:rsidR="002466A8" w:rsidRPr="002466A8" w:rsidRDefault="002466A8" w:rsidP="00824A04">
            <w:pPr>
              <w:ind w:firstLine="0"/>
              <w:jc w:val="left"/>
              <w:rPr>
                <w:rFonts w:eastAsia="Times New Roman"/>
                <w:sz w:val="16"/>
                <w:szCs w:val="16"/>
                <w:lang w:eastAsia="it-IT" w:bidi="hi-IN"/>
              </w:rPr>
            </w:pPr>
          </w:p>
        </w:tc>
        <w:tc>
          <w:tcPr>
            <w:tcW w:w="433" w:type="pct"/>
            <w:tcBorders>
              <w:top w:val="nil"/>
              <w:left w:val="nil"/>
              <w:bottom w:val="single" w:sz="4" w:space="0" w:color="auto"/>
              <w:right w:val="nil"/>
            </w:tcBorders>
            <w:shd w:val="clear" w:color="auto" w:fill="auto"/>
            <w:noWrap/>
            <w:vAlign w:val="center"/>
            <w:hideMark/>
          </w:tcPr>
          <w:p w14:paraId="66E438DB"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0%</w:t>
            </w:r>
          </w:p>
        </w:tc>
        <w:tc>
          <w:tcPr>
            <w:tcW w:w="465" w:type="pct"/>
            <w:tcBorders>
              <w:top w:val="nil"/>
              <w:left w:val="nil"/>
              <w:bottom w:val="single" w:sz="4" w:space="0" w:color="auto"/>
              <w:right w:val="nil"/>
            </w:tcBorders>
            <w:shd w:val="clear" w:color="auto" w:fill="auto"/>
            <w:noWrap/>
            <w:vAlign w:val="center"/>
            <w:hideMark/>
          </w:tcPr>
          <w:p w14:paraId="5C661DB3"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234,9</w:t>
            </w:r>
          </w:p>
        </w:tc>
        <w:tc>
          <w:tcPr>
            <w:tcW w:w="523" w:type="pct"/>
            <w:tcBorders>
              <w:top w:val="nil"/>
              <w:left w:val="nil"/>
              <w:bottom w:val="single" w:sz="4" w:space="0" w:color="auto"/>
              <w:right w:val="nil"/>
            </w:tcBorders>
            <w:shd w:val="clear" w:color="auto" w:fill="auto"/>
            <w:noWrap/>
            <w:vAlign w:val="center"/>
            <w:hideMark/>
          </w:tcPr>
          <w:p w14:paraId="548E3232"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356,1</w:t>
            </w:r>
          </w:p>
        </w:tc>
        <w:tc>
          <w:tcPr>
            <w:tcW w:w="573" w:type="pct"/>
            <w:tcBorders>
              <w:top w:val="nil"/>
              <w:left w:val="nil"/>
              <w:bottom w:val="single" w:sz="4" w:space="0" w:color="auto"/>
              <w:right w:val="nil"/>
            </w:tcBorders>
            <w:shd w:val="clear" w:color="auto" w:fill="auto"/>
            <w:noWrap/>
            <w:vAlign w:val="center"/>
            <w:hideMark/>
          </w:tcPr>
          <w:p w14:paraId="6E287DA8"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242,2</w:t>
            </w:r>
          </w:p>
        </w:tc>
        <w:tc>
          <w:tcPr>
            <w:tcW w:w="468" w:type="pct"/>
            <w:tcBorders>
              <w:top w:val="nil"/>
              <w:left w:val="nil"/>
              <w:bottom w:val="single" w:sz="4" w:space="0" w:color="auto"/>
              <w:right w:val="nil"/>
            </w:tcBorders>
            <w:shd w:val="clear" w:color="auto" w:fill="auto"/>
            <w:noWrap/>
            <w:vAlign w:val="center"/>
            <w:hideMark/>
          </w:tcPr>
          <w:p w14:paraId="2269798A"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3800,3</w:t>
            </w:r>
          </w:p>
        </w:tc>
        <w:tc>
          <w:tcPr>
            <w:tcW w:w="451" w:type="pct"/>
            <w:tcBorders>
              <w:top w:val="nil"/>
              <w:left w:val="nil"/>
              <w:bottom w:val="single" w:sz="4" w:space="0" w:color="auto"/>
              <w:right w:val="nil"/>
            </w:tcBorders>
            <w:shd w:val="clear" w:color="auto" w:fill="auto"/>
            <w:noWrap/>
            <w:vAlign w:val="center"/>
            <w:hideMark/>
          </w:tcPr>
          <w:p w14:paraId="43685F00"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829,3</w:t>
            </w:r>
          </w:p>
        </w:tc>
        <w:tc>
          <w:tcPr>
            <w:tcW w:w="627" w:type="pct"/>
            <w:tcBorders>
              <w:top w:val="nil"/>
              <w:left w:val="nil"/>
              <w:bottom w:val="single" w:sz="4" w:space="0" w:color="auto"/>
              <w:right w:val="nil"/>
            </w:tcBorders>
            <w:shd w:val="clear" w:color="auto" w:fill="auto"/>
            <w:noWrap/>
            <w:vAlign w:val="center"/>
            <w:hideMark/>
          </w:tcPr>
          <w:p w14:paraId="161161DD"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75,7</w:t>
            </w:r>
          </w:p>
        </w:tc>
      </w:tr>
      <w:tr w:rsidR="002466A8" w:rsidRPr="002466A8" w14:paraId="77FABF6E" w14:textId="77777777" w:rsidTr="002C50A2">
        <w:trPr>
          <w:trHeight w:val="259"/>
          <w:jc w:val="center"/>
        </w:trPr>
        <w:tc>
          <w:tcPr>
            <w:tcW w:w="1460" w:type="pct"/>
            <w:vMerge/>
            <w:tcBorders>
              <w:top w:val="nil"/>
              <w:left w:val="nil"/>
              <w:bottom w:val="single" w:sz="4" w:space="0" w:color="auto"/>
              <w:right w:val="nil"/>
            </w:tcBorders>
            <w:vAlign w:val="center"/>
            <w:hideMark/>
          </w:tcPr>
          <w:p w14:paraId="4ED7E35B" w14:textId="77777777" w:rsidR="002466A8" w:rsidRPr="002466A8" w:rsidRDefault="002466A8" w:rsidP="00824A04">
            <w:pPr>
              <w:ind w:firstLine="0"/>
              <w:jc w:val="left"/>
              <w:rPr>
                <w:rFonts w:eastAsia="Times New Roman"/>
                <w:sz w:val="16"/>
                <w:szCs w:val="16"/>
                <w:lang w:eastAsia="it-IT" w:bidi="hi-IN"/>
              </w:rPr>
            </w:pPr>
          </w:p>
        </w:tc>
        <w:tc>
          <w:tcPr>
            <w:tcW w:w="433" w:type="pct"/>
            <w:tcBorders>
              <w:top w:val="nil"/>
              <w:left w:val="nil"/>
              <w:bottom w:val="single" w:sz="4" w:space="0" w:color="auto"/>
              <w:right w:val="nil"/>
            </w:tcBorders>
            <w:shd w:val="clear" w:color="auto" w:fill="auto"/>
            <w:noWrap/>
            <w:vAlign w:val="center"/>
            <w:hideMark/>
          </w:tcPr>
          <w:p w14:paraId="4B3A0162"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5%</w:t>
            </w:r>
          </w:p>
        </w:tc>
        <w:tc>
          <w:tcPr>
            <w:tcW w:w="465" w:type="pct"/>
            <w:tcBorders>
              <w:top w:val="nil"/>
              <w:left w:val="nil"/>
              <w:bottom w:val="single" w:sz="4" w:space="0" w:color="auto"/>
              <w:right w:val="nil"/>
            </w:tcBorders>
            <w:shd w:val="clear" w:color="auto" w:fill="auto"/>
            <w:noWrap/>
            <w:vAlign w:val="center"/>
            <w:hideMark/>
          </w:tcPr>
          <w:p w14:paraId="0B53F8F4"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252,0</w:t>
            </w:r>
          </w:p>
        </w:tc>
        <w:tc>
          <w:tcPr>
            <w:tcW w:w="523" w:type="pct"/>
            <w:tcBorders>
              <w:top w:val="nil"/>
              <w:left w:val="nil"/>
              <w:bottom w:val="single" w:sz="4" w:space="0" w:color="auto"/>
              <w:right w:val="nil"/>
            </w:tcBorders>
            <w:shd w:val="clear" w:color="auto" w:fill="auto"/>
            <w:noWrap/>
            <w:vAlign w:val="center"/>
            <w:hideMark/>
          </w:tcPr>
          <w:p w14:paraId="2F824EC8"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381,9</w:t>
            </w:r>
          </w:p>
        </w:tc>
        <w:tc>
          <w:tcPr>
            <w:tcW w:w="573" w:type="pct"/>
            <w:tcBorders>
              <w:top w:val="nil"/>
              <w:left w:val="nil"/>
              <w:bottom w:val="single" w:sz="4" w:space="0" w:color="auto"/>
              <w:right w:val="nil"/>
            </w:tcBorders>
            <w:shd w:val="clear" w:color="auto" w:fill="auto"/>
            <w:noWrap/>
            <w:vAlign w:val="center"/>
            <w:hideMark/>
          </w:tcPr>
          <w:p w14:paraId="35151397"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238,3</w:t>
            </w:r>
          </w:p>
        </w:tc>
        <w:tc>
          <w:tcPr>
            <w:tcW w:w="468" w:type="pct"/>
            <w:tcBorders>
              <w:top w:val="nil"/>
              <w:left w:val="nil"/>
              <w:bottom w:val="single" w:sz="4" w:space="0" w:color="auto"/>
              <w:right w:val="nil"/>
            </w:tcBorders>
            <w:shd w:val="clear" w:color="auto" w:fill="auto"/>
            <w:noWrap/>
            <w:vAlign w:val="center"/>
            <w:hideMark/>
          </w:tcPr>
          <w:p w14:paraId="049D65E5"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3782,4</w:t>
            </w:r>
          </w:p>
        </w:tc>
        <w:tc>
          <w:tcPr>
            <w:tcW w:w="451" w:type="pct"/>
            <w:tcBorders>
              <w:top w:val="nil"/>
              <w:left w:val="nil"/>
              <w:bottom w:val="single" w:sz="4" w:space="0" w:color="auto"/>
              <w:right w:val="nil"/>
            </w:tcBorders>
            <w:shd w:val="clear" w:color="auto" w:fill="auto"/>
            <w:noWrap/>
            <w:vAlign w:val="center"/>
            <w:hideMark/>
          </w:tcPr>
          <w:p w14:paraId="255AB418"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873,6</w:t>
            </w:r>
          </w:p>
        </w:tc>
        <w:tc>
          <w:tcPr>
            <w:tcW w:w="627" w:type="pct"/>
            <w:tcBorders>
              <w:top w:val="nil"/>
              <w:left w:val="nil"/>
              <w:bottom w:val="single" w:sz="4" w:space="0" w:color="auto"/>
              <w:right w:val="nil"/>
            </w:tcBorders>
            <w:shd w:val="clear" w:color="auto" w:fill="auto"/>
            <w:noWrap/>
            <w:vAlign w:val="center"/>
            <w:hideMark/>
          </w:tcPr>
          <w:p w14:paraId="23BBD583" w14:textId="77777777" w:rsidR="002466A8" w:rsidRPr="002466A8" w:rsidRDefault="002466A8" w:rsidP="00824A04">
            <w:pPr>
              <w:ind w:firstLine="0"/>
              <w:jc w:val="center"/>
              <w:rPr>
                <w:rFonts w:eastAsia="Times New Roman"/>
                <w:sz w:val="16"/>
                <w:szCs w:val="16"/>
                <w:lang w:eastAsia="it-IT" w:bidi="hi-IN"/>
              </w:rPr>
            </w:pPr>
            <w:r w:rsidRPr="002466A8">
              <w:rPr>
                <w:rFonts w:eastAsia="Times New Roman"/>
                <w:sz w:val="16"/>
                <w:szCs w:val="16"/>
                <w:lang w:eastAsia="it-IT" w:bidi="hi-IN"/>
              </w:rPr>
              <w:t>80,0</w:t>
            </w:r>
          </w:p>
        </w:tc>
      </w:tr>
    </w:tbl>
    <w:bookmarkEnd w:id="1"/>
    <w:p w14:paraId="4F810BED" w14:textId="21DEAD3C" w:rsidR="004E4881" w:rsidRPr="00092C64" w:rsidRDefault="0042593B" w:rsidP="0042593B">
      <w:pPr>
        <w:pStyle w:val="Titolo1"/>
      </w:pPr>
      <w:r>
        <w:t>Future work</w:t>
      </w:r>
      <w:r w:rsidR="00010C5B">
        <w:t xml:space="preserve"> </w:t>
      </w:r>
      <w:r w:rsidR="00242510">
        <w:t>and conclusions</w:t>
      </w:r>
    </w:p>
    <w:p w14:paraId="656CDD31" w14:textId="77777777" w:rsidR="0063508D" w:rsidRDefault="007F60AD" w:rsidP="0063508D">
      <w:pPr>
        <w:ind w:firstLine="0"/>
      </w:pPr>
      <w:r w:rsidRPr="007F60AD">
        <w:t>From the sensitivity analys</w:t>
      </w:r>
      <w:r w:rsidR="002F51A9">
        <w:t>i</w:t>
      </w:r>
      <w:r w:rsidRPr="007F60AD">
        <w:t xml:space="preserve">s </w:t>
      </w:r>
      <w:r w:rsidR="002F51A9">
        <w:t>provided in Section 5</w:t>
      </w:r>
      <w:r w:rsidRPr="007F60AD">
        <w:t xml:space="preserve">, it can be </w:t>
      </w:r>
      <w:r w:rsidR="002F51A9">
        <w:t>verified</w:t>
      </w:r>
      <w:r w:rsidRPr="007F60AD">
        <w:t xml:space="preserve"> that by increasing the air pressure entering the cylinders, the performance of the engine in simulation approaches the real one. This evidence, since the engine is not supercharged, suggests further insights into the diameters of the ducts and the characteristics of the inlet valves to the cylinders. In fact, by increasing the inlet airflow the results obtained could be realigned to the result obtained with an inlet pressure of 1</w:t>
      </w:r>
      <w:proofErr w:type="gramStart"/>
      <w:r w:rsidR="00EF796A">
        <w:t>,</w:t>
      </w:r>
      <w:r w:rsidRPr="007F60AD">
        <w:t>05</w:t>
      </w:r>
      <w:proofErr w:type="gramEnd"/>
      <w:r w:rsidRPr="007F60AD">
        <w:t xml:space="preserve">. </w:t>
      </w:r>
    </w:p>
    <w:p w14:paraId="7925D200" w14:textId="15B69FB5" w:rsidR="007F60AD" w:rsidRPr="00242510" w:rsidRDefault="007F60AD" w:rsidP="0063508D">
      <w:r w:rsidRPr="007F60AD">
        <w:t>Therefore, by correcting the geometry of the ducts and valves and possibly cross-referencing the results of the other sensitivity analyses, the simulati</w:t>
      </w:r>
      <w:r>
        <w:t>on model can be further refined</w:t>
      </w:r>
      <w:r w:rsidRPr="007F60AD">
        <w:t>. The next step will be the simulation of th</w:t>
      </w:r>
      <w:r w:rsidR="002F51A9">
        <w:t>e</w:t>
      </w:r>
      <w:r w:rsidRPr="007F60AD">
        <w:t xml:space="preserve"> same engine</w:t>
      </w:r>
      <w:r w:rsidR="002F51A9">
        <w:t>,</w:t>
      </w:r>
      <w:r w:rsidRPr="007F60AD">
        <w:t xml:space="preserve"> powered by natural gas following what the technology and real application suggest with the aim of estimating the reduction of </w:t>
      </w:r>
      <w:r w:rsidR="002F51A9">
        <w:t xml:space="preserve">air </w:t>
      </w:r>
      <w:r w:rsidR="005C39CB">
        <w:t xml:space="preserve">pollutant emissions </w:t>
      </w:r>
      <w:r w:rsidR="005C39CB">
        <w:fldChar w:fldCharType="begin"/>
      </w:r>
      <w:r w:rsidR="005C39CB">
        <w:instrText xml:space="preserve"> REF _Ref97821085 \r \h </w:instrText>
      </w:r>
      <w:r w:rsidR="005C39CB">
        <w:fldChar w:fldCharType="separate"/>
      </w:r>
      <w:r w:rsidR="002C50A2">
        <w:t>[15]</w:t>
      </w:r>
      <w:r w:rsidR="005C39CB">
        <w:fldChar w:fldCharType="end"/>
      </w:r>
      <w:proofErr w:type="gramStart"/>
      <w:r w:rsidR="00824A04">
        <w:t>,</w:t>
      </w:r>
      <w:proofErr w:type="gramEnd"/>
      <w:r w:rsidR="005C39CB">
        <w:fldChar w:fldCharType="begin"/>
      </w:r>
      <w:r w:rsidR="005C39CB">
        <w:instrText xml:space="preserve"> REF _Ref97821145 \r \h </w:instrText>
      </w:r>
      <w:r w:rsidR="005C39CB">
        <w:fldChar w:fldCharType="separate"/>
      </w:r>
      <w:r w:rsidR="002C50A2">
        <w:t>[26]</w:t>
      </w:r>
      <w:r w:rsidR="005C39CB">
        <w:fldChar w:fldCharType="end"/>
      </w:r>
      <w:r w:rsidR="00824A04">
        <w:t>,</w:t>
      </w:r>
      <w:r w:rsidR="005C39CB">
        <w:fldChar w:fldCharType="begin"/>
      </w:r>
      <w:r w:rsidR="005C39CB">
        <w:instrText xml:space="preserve"> REF _Ref97821146 \r \h </w:instrText>
      </w:r>
      <w:r w:rsidR="005C39CB">
        <w:fldChar w:fldCharType="separate"/>
      </w:r>
      <w:r w:rsidR="002C50A2">
        <w:t>[27]</w:t>
      </w:r>
      <w:r w:rsidR="005C39CB">
        <w:fldChar w:fldCharType="end"/>
      </w:r>
      <w:r w:rsidRPr="007F60AD">
        <w:t>.</w:t>
      </w:r>
    </w:p>
    <w:p w14:paraId="3EF744F6" w14:textId="77777777" w:rsidR="00B05D6E" w:rsidRDefault="00B05D6E" w:rsidP="00B90B6B">
      <w:pPr>
        <w:pStyle w:val="HeadingUnn1"/>
      </w:pPr>
      <w:r>
        <w:t>References</w:t>
      </w:r>
    </w:p>
    <w:p w14:paraId="2F1D728D" w14:textId="4CB49704" w:rsidR="00AE1751" w:rsidRPr="00AE1751" w:rsidRDefault="00AE1751" w:rsidP="00B90B6B">
      <w:pPr>
        <w:pStyle w:val="References"/>
        <w:rPr>
          <w:snapToGrid w:val="0"/>
        </w:rPr>
      </w:pPr>
      <w:r w:rsidRPr="00AA2AF9">
        <w:rPr>
          <w:snapToGrid w:val="0"/>
          <w:lang w:val="it-IT"/>
        </w:rPr>
        <w:tab/>
      </w:r>
      <w:bookmarkStart w:id="2" w:name="_Ref97819198"/>
      <w:r w:rsidR="00AA2AF9" w:rsidRPr="00AA2AF9">
        <w:rPr>
          <w:snapToGrid w:val="0"/>
          <w:lang w:val="it-IT"/>
        </w:rPr>
        <w:t xml:space="preserve">Dodero, M., Bertagna, S., Marino, A., &amp; Bucci, V. (2020). </w:t>
      </w:r>
      <w:r w:rsidR="00AA2AF9" w:rsidRPr="00AA2AF9">
        <w:rPr>
          <w:snapToGrid w:val="0"/>
        </w:rPr>
        <w:t>Performance in-live of marine engines: A tool for its evaluation. Applied Sciences, 10(16), 5707.</w:t>
      </w:r>
      <w:bookmarkEnd w:id="2"/>
      <w:r w:rsidR="00AA2AF9">
        <w:rPr>
          <w:snapToGrid w:val="0"/>
        </w:rPr>
        <w:t xml:space="preserve"> </w:t>
      </w:r>
    </w:p>
    <w:p w14:paraId="2DC7C92C" w14:textId="289E51B7" w:rsidR="00D67BD7" w:rsidRPr="002D414B" w:rsidRDefault="00AE1751" w:rsidP="002D414B">
      <w:pPr>
        <w:pStyle w:val="References"/>
        <w:rPr>
          <w:snapToGrid w:val="0"/>
        </w:rPr>
      </w:pPr>
      <w:r w:rsidRPr="00AA2AF9">
        <w:rPr>
          <w:snapToGrid w:val="0"/>
          <w:lang w:val="it-IT"/>
        </w:rPr>
        <w:tab/>
      </w:r>
      <w:bookmarkStart w:id="3" w:name="_Ref97819199"/>
      <w:r w:rsidR="00AA2AF9" w:rsidRPr="00AA2AF9">
        <w:rPr>
          <w:lang w:val="it-IT"/>
        </w:rPr>
        <w:t xml:space="preserve">Mocerino, L., Quaranta, F., &amp; Rizzuto, E. (2018). </w:t>
      </w:r>
      <w:r w:rsidR="00AA2AF9" w:rsidRPr="00AA2AF9">
        <w:t>Climate changes and maritime transportation: A state of the art. Technology and Science for the Ships of the Future, 1005-1013.</w:t>
      </w:r>
      <w:bookmarkEnd w:id="3"/>
    </w:p>
    <w:p w14:paraId="22B25085" w14:textId="1CA675E0" w:rsidR="00D67BD7" w:rsidRPr="00AA2AF9" w:rsidRDefault="00D67BD7" w:rsidP="00D67BD7">
      <w:pPr>
        <w:pStyle w:val="References"/>
        <w:rPr>
          <w:snapToGrid w:val="0"/>
        </w:rPr>
      </w:pPr>
      <w:r w:rsidRPr="00BB51C8">
        <w:rPr>
          <w:snapToGrid w:val="0"/>
          <w:lang w:val="it-IT"/>
        </w:rPr>
        <w:tab/>
      </w:r>
      <w:bookmarkStart w:id="4" w:name="_Ref97820137"/>
      <w:r w:rsidRPr="00D67BD7">
        <w:rPr>
          <w:snapToGrid w:val="0"/>
          <w:lang w:val="it-IT"/>
        </w:rPr>
        <w:t xml:space="preserve">Mocerino, L., &amp; Rizzuto, E. (2019, August). </w:t>
      </w:r>
      <w:r w:rsidRPr="00D67BD7">
        <w:rPr>
          <w:snapToGrid w:val="0"/>
        </w:rPr>
        <w:t>Preliminary approach to the application of the Environmental Ship Index. In Sustainable Development and Innovations in Marine Technologies: Proceedings of the 18th International Congress of the Maritime Association of the Mediterranean (IMAM 2019), September 9-11, 2019, Varna, Bulgaria (p. 285). CRC Press.</w:t>
      </w:r>
      <w:bookmarkEnd w:id="4"/>
    </w:p>
    <w:p w14:paraId="61286238" w14:textId="1CDF4452" w:rsidR="003B2161" w:rsidRDefault="00AA2AF9" w:rsidP="003B2161">
      <w:pPr>
        <w:pStyle w:val="References"/>
        <w:rPr>
          <w:snapToGrid w:val="0"/>
        </w:rPr>
      </w:pPr>
      <w:r w:rsidRPr="00D67BD7">
        <w:rPr>
          <w:snapToGrid w:val="0"/>
          <w:lang w:val="it-IT"/>
        </w:rPr>
        <w:lastRenderedPageBreak/>
        <w:tab/>
      </w:r>
      <w:bookmarkStart w:id="5" w:name="_Ref97820037"/>
      <w:r w:rsidRPr="00AA2AF9">
        <w:rPr>
          <w:snapToGrid w:val="0"/>
          <w:lang w:val="it-IT"/>
        </w:rPr>
        <w:t>Coppola, T., L</w:t>
      </w:r>
      <w:r w:rsidR="00D67BD7">
        <w:rPr>
          <w:snapToGrid w:val="0"/>
          <w:lang w:val="it-IT"/>
        </w:rPr>
        <w:t>orenzo</w:t>
      </w:r>
      <w:r w:rsidRPr="00AA2AF9">
        <w:rPr>
          <w:snapToGrid w:val="0"/>
          <w:lang w:val="it-IT"/>
        </w:rPr>
        <w:t xml:space="preserve">, F. D., &amp; Mocerino, L. (2019). </w:t>
      </w:r>
      <w:r w:rsidRPr="00AA2AF9">
        <w:rPr>
          <w:snapToGrid w:val="0"/>
        </w:rPr>
        <w:t>The irradiated noise underwater by the ships: A state of the art. Nautical and Maritime Culture, from the Past to the Future, 90-97.</w:t>
      </w:r>
      <w:bookmarkEnd w:id="5"/>
    </w:p>
    <w:p w14:paraId="3C4CBF80" w14:textId="3D44FF9F" w:rsidR="00CF1981" w:rsidRPr="005C39CB" w:rsidRDefault="00777B08" w:rsidP="00CF1981">
      <w:pPr>
        <w:pStyle w:val="References"/>
        <w:rPr>
          <w:snapToGrid w:val="0"/>
          <w:lang w:val="en-GB"/>
        </w:rPr>
      </w:pPr>
      <w:bookmarkStart w:id="6" w:name="_Ref100043590"/>
      <w:r w:rsidRPr="00D67BD7">
        <w:rPr>
          <w:snapToGrid w:val="0"/>
          <w:lang w:val="it-IT"/>
        </w:rPr>
        <w:tab/>
      </w:r>
      <w:r w:rsidR="00CF1981" w:rsidRPr="00CF1981">
        <w:rPr>
          <w:snapToGrid w:val="0"/>
          <w:lang w:val="en-GB"/>
        </w:rPr>
        <w:t>Altosole, M., Campora, U., Mocerino, L.</w:t>
      </w:r>
      <w:r w:rsidR="00CF1981" w:rsidRPr="005C39CB">
        <w:rPr>
          <w:snapToGrid w:val="0"/>
          <w:lang w:val="en-GB"/>
        </w:rPr>
        <w:t xml:space="preserve">, &amp; Zaccone, R. (2022) </w:t>
      </w:r>
      <w:proofErr w:type="gramStart"/>
      <w:r w:rsidR="00CF1981" w:rsidRPr="005C39CB">
        <w:rPr>
          <w:snapToGrid w:val="0"/>
          <w:lang w:val="en-GB"/>
        </w:rPr>
        <w:t>An</w:t>
      </w:r>
      <w:proofErr w:type="gramEnd"/>
      <w:r w:rsidR="00CF1981" w:rsidRPr="005C39CB">
        <w:rPr>
          <w:snapToGrid w:val="0"/>
          <w:lang w:val="en-GB"/>
        </w:rPr>
        <w:t xml:space="preserve"> innovative variable layout steam plant for waste heat recovery from marine dual-fuel engines</w:t>
      </w:r>
      <w:r w:rsidR="00CF1981">
        <w:rPr>
          <w:snapToGrid w:val="0"/>
          <w:lang w:val="en-GB"/>
        </w:rPr>
        <w:t>. Ships and Offshore Structures, in press.</w:t>
      </w:r>
      <w:bookmarkEnd w:id="6"/>
    </w:p>
    <w:p w14:paraId="49EA43E7" w14:textId="1B0F3A80" w:rsidR="001D2133" w:rsidRPr="005C39CB" w:rsidRDefault="00777B08">
      <w:pPr>
        <w:pStyle w:val="References"/>
        <w:rPr>
          <w:snapToGrid w:val="0"/>
          <w:lang w:val="en-GB"/>
        </w:rPr>
      </w:pPr>
      <w:r w:rsidRPr="00D67BD7">
        <w:rPr>
          <w:snapToGrid w:val="0"/>
          <w:lang w:val="it-IT"/>
        </w:rPr>
        <w:tab/>
      </w:r>
      <w:proofErr w:type="spellStart"/>
      <w:r w:rsidR="001D2133" w:rsidRPr="005C39CB">
        <w:rPr>
          <w:snapToGrid w:val="0"/>
          <w:lang w:val="en-GB"/>
        </w:rPr>
        <w:t>Altosole</w:t>
      </w:r>
      <w:proofErr w:type="spellEnd"/>
      <w:r w:rsidR="001D2133" w:rsidRPr="005C39CB">
        <w:rPr>
          <w:snapToGrid w:val="0"/>
          <w:lang w:val="en-GB"/>
        </w:rPr>
        <w:t xml:space="preserve">, M., Balsamo, F., Campora, U., </w:t>
      </w:r>
      <w:r w:rsidR="00CF1981">
        <w:rPr>
          <w:snapToGrid w:val="0"/>
          <w:lang w:val="en-GB"/>
        </w:rPr>
        <w:t xml:space="preserve">&amp; </w:t>
      </w:r>
      <w:r w:rsidR="001D2133" w:rsidRPr="005C39CB">
        <w:rPr>
          <w:snapToGrid w:val="0"/>
          <w:lang w:val="en-GB"/>
        </w:rPr>
        <w:t>Mocerino, L. (2021) Marine dual-fuel engines power smart management by hybrid turbocharging systems</w:t>
      </w:r>
      <w:r w:rsidR="001D2133">
        <w:rPr>
          <w:snapToGrid w:val="0"/>
          <w:lang w:val="en-GB"/>
        </w:rPr>
        <w:t xml:space="preserve">. </w:t>
      </w:r>
      <w:r w:rsidR="001D2133" w:rsidRPr="00C56C0D">
        <w:rPr>
          <w:snapToGrid w:val="0"/>
        </w:rPr>
        <w:t xml:space="preserve">Journal of Marine Science and Engineering, </w:t>
      </w:r>
      <w:r w:rsidR="001D2133">
        <w:rPr>
          <w:snapToGrid w:val="0"/>
        </w:rPr>
        <w:t>9</w:t>
      </w:r>
      <w:r w:rsidR="001D2133" w:rsidRPr="00C56C0D">
        <w:rPr>
          <w:snapToGrid w:val="0"/>
        </w:rPr>
        <w:t>(</w:t>
      </w:r>
      <w:r w:rsidR="001D2133">
        <w:rPr>
          <w:snapToGrid w:val="0"/>
        </w:rPr>
        <w:t>6</w:t>
      </w:r>
      <w:r w:rsidR="001D2133" w:rsidRPr="00C56C0D">
        <w:rPr>
          <w:snapToGrid w:val="0"/>
        </w:rPr>
        <w:t xml:space="preserve">), </w:t>
      </w:r>
      <w:r w:rsidR="001D2133">
        <w:rPr>
          <w:snapToGrid w:val="0"/>
        </w:rPr>
        <w:t>663</w:t>
      </w:r>
      <w:r w:rsidR="001D2133" w:rsidRPr="00C56C0D">
        <w:rPr>
          <w:snapToGrid w:val="0"/>
        </w:rPr>
        <w:t>.</w:t>
      </w:r>
    </w:p>
    <w:p w14:paraId="66BE954E" w14:textId="5BF1D658" w:rsidR="00C56C0D" w:rsidRPr="00C56C0D" w:rsidRDefault="00C56C0D" w:rsidP="00C56C0D">
      <w:pPr>
        <w:pStyle w:val="References"/>
        <w:rPr>
          <w:snapToGrid w:val="0"/>
        </w:rPr>
      </w:pPr>
      <w:r w:rsidRPr="005C39CB">
        <w:rPr>
          <w:snapToGrid w:val="0"/>
          <w:lang w:val="en-GB"/>
        </w:rPr>
        <w:tab/>
      </w:r>
      <w:bookmarkStart w:id="7" w:name="_Ref97820928"/>
      <w:r w:rsidRPr="00C56C0D">
        <w:rPr>
          <w:snapToGrid w:val="0"/>
          <w:lang w:val="it-IT"/>
        </w:rPr>
        <w:t xml:space="preserve">Pennino, S., Gaglione, S., </w:t>
      </w:r>
      <w:proofErr w:type="spellStart"/>
      <w:r w:rsidRPr="00C56C0D">
        <w:rPr>
          <w:snapToGrid w:val="0"/>
          <w:lang w:val="it-IT"/>
        </w:rPr>
        <w:t>Innac</w:t>
      </w:r>
      <w:proofErr w:type="spellEnd"/>
      <w:r w:rsidRPr="00C56C0D">
        <w:rPr>
          <w:snapToGrid w:val="0"/>
          <w:lang w:val="it-IT"/>
        </w:rPr>
        <w:t xml:space="preserve">, A., Piscopo, V., &amp; Scamardella, A. (2020). </w:t>
      </w:r>
      <w:r w:rsidRPr="00C56C0D">
        <w:rPr>
          <w:snapToGrid w:val="0"/>
        </w:rPr>
        <w:t>Development of a new ship adaptive weather routing model based on seakeeping analysis and optimization. Journal of Marine Science and Engineering, 8(4), 270.</w:t>
      </w:r>
      <w:bookmarkEnd w:id="7"/>
    </w:p>
    <w:p w14:paraId="389D9AD4" w14:textId="3773B9D7" w:rsidR="00CF1981" w:rsidRPr="005C39CB" w:rsidRDefault="00C56C0D" w:rsidP="00BB51C8">
      <w:pPr>
        <w:pStyle w:val="References"/>
        <w:rPr>
          <w:snapToGrid w:val="0"/>
        </w:rPr>
      </w:pPr>
      <w:r w:rsidRPr="00BB51C8">
        <w:rPr>
          <w:snapToGrid w:val="0"/>
          <w:lang w:val="it-IT"/>
        </w:rPr>
        <w:tab/>
      </w:r>
      <w:bookmarkStart w:id="8" w:name="_Ref97820917"/>
      <w:r w:rsidRPr="00C56C0D">
        <w:rPr>
          <w:lang w:val="it-IT"/>
        </w:rPr>
        <w:t xml:space="preserve">De Luca, F., </w:t>
      </w:r>
      <w:r w:rsidR="00D8024A">
        <w:rPr>
          <w:lang w:val="it-IT"/>
        </w:rPr>
        <w:t xml:space="preserve">&amp; </w:t>
      </w:r>
      <w:r w:rsidRPr="00C56C0D">
        <w:rPr>
          <w:lang w:val="it-IT"/>
        </w:rPr>
        <w:t xml:space="preserve">Pensa, C., </w:t>
      </w:r>
      <w:r w:rsidR="00D8024A">
        <w:rPr>
          <w:lang w:val="it-IT"/>
        </w:rPr>
        <w:t>(</w:t>
      </w:r>
      <w:r w:rsidRPr="00C56C0D">
        <w:rPr>
          <w:lang w:val="it-IT"/>
        </w:rPr>
        <w:t>2012</w:t>
      </w:r>
      <w:r w:rsidR="00D8024A">
        <w:rPr>
          <w:lang w:val="it-IT"/>
        </w:rPr>
        <w:t>)</w:t>
      </w:r>
      <w:r w:rsidRPr="00C56C0D">
        <w:rPr>
          <w:lang w:val="it-IT"/>
        </w:rPr>
        <w:t xml:space="preserve">. </w:t>
      </w:r>
      <w:r w:rsidRPr="00D04A2D">
        <w:t xml:space="preserve">Unconventional interceptors in still water and in regular waves: Experimental study on resistance reduction and dynamic instability, in: </w:t>
      </w:r>
      <w:r w:rsidRPr="00D040BF">
        <w:rPr>
          <w:i/>
          <w:iCs/>
        </w:rPr>
        <w:t>NAV International Conference on Ship and Shipping Research</w:t>
      </w:r>
      <w:r w:rsidRPr="00D04A2D">
        <w:t>. p. 216369.</w:t>
      </w:r>
      <w:bookmarkEnd w:id="8"/>
    </w:p>
    <w:p w14:paraId="38D2F8DB" w14:textId="1E92720C" w:rsidR="00D8024A" w:rsidRPr="005C39CB" w:rsidRDefault="00777B08" w:rsidP="00B5541A">
      <w:pPr>
        <w:pStyle w:val="References"/>
        <w:rPr>
          <w:snapToGrid w:val="0"/>
          <w:lang w:val="en-GB"/>
        </w:rPr>
      </w:pPr>
      <w:bookmarkStart w:id="9" w:name="_Ref100043622"/>
      <w:r w:rsidRPr="00D67BD7">
        <w:rPr>
          <w:snapToGrid w:val="0"/>
          <w:lang w:val="it-IT"/>
        </w:rPr>
        <w:tab/>
      </w:r>
      <w:r w:rsidR="00CF1981" w:rsidRPr="005C39CB">
        <w:rPr>
          <w:lang w:val="it-IT"/>
        </w:rPr>
        <w:t>Altosole, M., Benvenuto, G., Figari, M.</w:t>
      </w:r>
      <w:r w:rsidR="00D8024A" w:rsidRPr="00D8024A">
        <w:rPr>
          <w:lang w:val="it-IT"/>
        </w:rPr>
        <w:t xml:space="preserve"> (2005). </w:t>
      </w:r>
      <w:r w:rsidR="00D8024A" w:rsidRPr="005C39CB">
        <w:rPr>
          <w:lang w:val="en-GB"/>
        </w:rPr>
        <w:t>Performance prediction of a planing craft by dynamic numerical simulation</w:t>
      </w:r>
      <w:r w:rsidR="00D8024A" w:rsidRPr="00D8024A">
        <w:rPr>
          <w:lang w:val="en-GB"/>
        </w:rPr>
        <w:t>. Proceedings of the 7th Symposium on High Speed Marine Vehicles, 2005 Conference, HSMV 2005, 105-111</w:t>
      </w:r>
      <w:r w:rsidR="00D8024A">
        <w:rPr>
          <w:lang w:val="en-GB"/>
        </w:rPr>
        <w:t>.</w:t>
      </w:r>
      <w:bookmarkEnd w:id="9"/>
    </w:p>
    <w:p w14:paraId="5768E09C" w14:textId="474D5BED" w:rsidR="00463BA8" w:rsidRPr="005C39CB" w:rsidRDefault="00D8024A" w:rsidP="00463BA8">
      <w:pPr>
        <w:pStyle w:val="References"/>
        <w:rPr>
          <w:snapToGrid w:val="0"/>
          <w:lang w:val="en-GB"/>
        </w:rPr>
      </w:pPr>
      <w:r w:rsidRPr="00463BA8">
        <w:rPr>
          <w:lang w:val="en-GB"/>
        </w:rPr>
        <w:t xml:space="preserve">Altosole, M., Benvenuto, G., </w:t>
      </w:r>
      <w:proofErr w:type="spellStart"/>
      <w:r w:rsidRPr="00463BA8">
        <w:rPr>
          <w:lang w:val="en-GB"/>
        </w:rPr>
        <w:t>Figari</w:t>
      </w:r>
      <w:proofErr w:type="spellEnd"/>
      <w:r w:rsidRPr="00463BA8">
        <w:rPr>
          <w:lang w:val="en-GB"/>
        </w:rPr>
        <w:t xml:space="preserve">, M., (...), </w:t>
      </w:r>
      <w:proofErr w:type="spellStart"/>
      <w:r w:rsidRPr="00463BA8">
        <w:rPr>
          <w:lang w:val="en-GB"/>
        </w:rPr>
        <w:t>Michetti</w:t>
      </w:r>
      <w:proofErr w:type="spellEnd"/>
      <w:r w:rsidRPr="00463BA8">
        <w:rPr>
          <w:lang w:val="en-GB"/>
        </w:rPr>
        <w:t xml:space="preserve">, S., </w:t>
      </w:r>
      <w:r w:rsidR="00463BA8">
        <w:rPr>
          <w:lang w:val="en-GB"/>
        </w:rPr>
        <w:t xml:space="preserve">&amp; </w:t>
      </w:r>
      <w:proofErr w:type="spellStart"/>
      <w:r w:rsidRPr="00463BA8">
        <w:rPr>
          <w:lang w:val="en-GB"/>
        </w:rPr>
        <w:t>Ratto</w:t>
      </w:r>
      <w:proofErr w:type="spellEnd"/>
      <w:r w:rsidRPr="00463BA8">
        <w:rPr>
          <w:lang w:val="en-GB"/>
        </w:rPr>
        <w:t>, M.</w:t>
      </w:r>
      <w:r w:rsidR="00463BA8" w:rsidRPr="005C39CB">
        <w:rPr>
          <w:lang w:val="en-GB"/>
        </w:rPr>
        <w:t xml:space="preserve"> Real time simulation of the propulsion plant dynamic behaviour of the Aircraft Carrier "Cavour"</w:t>
      </w:r>
      <w:r w:rsidR="00463BA8">
        <w:rPr>
          <w:lang w:val="en-GB"/>
        </w:rPr>
        <w:t xml:space="preserve">. </w:t>
      </w:r>
      <w:r w:rsidR="00463BA8" w:rsidRPr="00463BA8">
        <w:rPr>
          <w:lang w:val="en-GB"/>
        </w:rPr>
        <w:t>Conference Proceedings of the Institute of Marine Engineering, Science and Technology - INEC 2008: Embracing the Future</w:t>
      </w:r>
      <w:r w:rsidR="00463BA8">
        <w:rPr>
          <w:lang w:val="en-GB"/>
        </w:rPr>
        <w:t>.</w:t>
      </w:r>
    </w:p>
    <w:p w14:paraId="5070BED5" w14:textId="77777777" w:rsidR="005A342D" w:rsidRPr="005C39CB" w:rsidRDefault="00463BA8" w:rsidP="0093375C">
      <w:pPr>
        <w:pStyle w:val="References"/>
        <w:rPr>
          <w:snapToGrid w:val="0"/>
          <w:lang w:val="en-GB"/>
        </w:rPr>
      </w:pPr>
      <w:r w:rsidRPr="005C39CB">
        <w:rPr>
          <w:lang w:val="it-IT"/>
        </w:rPr>
        <w:t xml:space="preserve">Altosole, M., Boote, D., Brizzolara, S., </w:t>
      </w:r>
      <w:r w:rsidRPr="005A342D">
        <w:rPr>
          <w:lang w:val="it-IT"/>
        </w:rPr>
        <w:t xml:space="preserve">&amp; </w:t>
      </w:r>
      <w:r w:rsidRPr="005C39CB">
        <w:rPr>
          <w:lang w:val="it-IT"/>
        </w:rPr>
        <w:t>Viviani, M.</w:t>
      </w:r>
      <w:r w:rsidRPr="005A342D">
        <w:rPr>
          <w:lang w:val="it-IT"/>
        </w:rPr>
        <w:t xml:space="preserve"> (2013)</w:t>
      </w:r>
      <w:r w:rsidR="005A342D" w:rsidRPr="005A342D">
        <w:rPr>
          <w:lang w:val="it-IT"/>
        </w:rPr>
        <w:t xml:space="preserve">. </w:t>
      </w:r>
      <w:r w:rsidR="005A342D" w:rsidRPr="005C39CB">
        <w:rPr>
          <w:lang w:val="en-GB"/>
        </w:rPr>
        <w:t xml:space="preserve">Integration of numerical </w:t>
      </w:r>
      <w:proofErr w:type="spellStart"/>
      <w:r w:rsidR="005A342D" w:rsidRPr="005C39CB">
        <w:rPr>
          <w:lang w:val="en-GB"/>
        </w:rPr>
        <w:t>modeling</w:t>
      </w:r>
      <w:proofErr w:type="spellEnd"/>
      <w:r w:rsidR="005A342D" w:rsidRPr="005C39CB">
        <w:rPr>
          <w:lang w:val="en-GB"/>
        </w:rPr>
        <w:t xml:space="preserve"> and simulation techniques for the analysis of towing operations of cargo ships</w:t>
      </w:r>
      <w:r w:rsidR="005A342D" w:rsidRPr="005A342D">
        <w:rPr>
          <w:lang w:val="en-GB"/>
        </w:rPr>
        <w:t xml:space="preserve">. </w:t>
      </w:r>
      <w:r w:rsidR="005A342D" w:rsidRPr="005A342D">
        <w:rPr>
          <w:lang w:val="en-GB"/>
        </w:rPr>
        <w:tab/>
        <w:t>International Review of Mechanical Engineering</w:t>
      </w:r>
      <w:r w:rsidR="005A342D">
        <w:rPr>
          <w:lang w:val="en-GB"/>
        </w:rPr>
        <w:t xml:space="preserve">, </w:t>
      </w:r>
      <w:r w:rsidR="005A342D" w:rsidRPr="005A342D">
        <w:rPr>
          <w:lang w:val="en-GB"/>
        </w:rPr>
        <w:t>7(7), 1236-1245</w:t>
      </w:r>
      <w:r w:rsidR="005A342D">
        <w:rPr>
          <w:lang w:val="en-GB"/>
        </w:rPr>
        <w:t>.</w:t>
      </w:r>
    </w:p>
    <w:p w14:paraId="56F1C2B6" w14:textId="77777777" w:rsidR="005A342D" w:rsidRPr="005C39CB" w:rsidRDefault="005A342D" w:rsidP="00F61240">
      <w:pPr>
        <w:pStyle w:val="References"/>
        <w:rPr>
          <w:snapToGrid w:val="0"/>
          <w:lang w:val="it-IT"/>
        </w:rPr>
      </w:pPr>
      <w:r w:rsidRPr="005C39CB">
        <w:rPr>
          <w:lang w:val="it-IT"/>
        </w:rPr>
        <w:t xml:space="preserve">Ircani, A., Martelli, M., Viviani, M., (...), Podenzana-Bonvino, C., </w:t>
      </w:r>
      <w:r w:rsidRPr="005A342D">
        <w:rPr>
          <w:lang w:val="it-IT"/>
        </w:rPr>
        <w:t xml:space="preserve">&amp; </w:t>
      </w:r>
      <w:r w:rsidRPr="005C39CB">
        <w:rPr>
          <w:lang w:val="it-IT"/>
        </w:rPr>
        <w:t>Grassi, D.</w:t>
      </w:r>
      <w:r w:rsidRPr="005A342D">
        <w:rPr>
          <w:lang w:val="it-IT"/>
        </w:rPr>
        <w:t xml:space="preserve"> (2016). </w:t>
      </w:r>
      <w:r w:rsidRPr="005C39CB">
        <w:rPr>
          <w:lang w:val="en-GB"/>
        </w:rPr>
        <w:t>A simulation approach for planing boats propulsion and manoeuvrability. International Journal of Small Craft Technology</w:t>
      </w:r>
      <w:r w:rsidRPr="005A342D">
        <w:rPr>
          <w:lang w:val="en-GB"/>
        </w:rPr>
        <w:t>,</w:t>
      </w:r>
      <w:r>
        <w:rPr>
          <w:lang w:val="en-GB"/>
        </w:rPr>
        <w:t xml:space="preserve"> </w:t>
      </w:r>
      <w:r w:rsidRPr="005A342D">
        <w:rPr>
          <w:lang w:val="it-IT"/>
        </w:rPr>
        <w:t>158, B-27-B-42</w:t>
      </w:r>
      <w:r>
        <w:rPr>
          <w:lang w:val="it-IT"/>
        </w:rPr>
        <w:t>.</w:t>
      </w:r>
    </w:p>
    <w:p w14:paraId="0EC65C4F" w14:textId="3B132045" w:rsidR="002F5121" w:rsidRPr="005C39CB" w:rsidRDefault="005A342D" w:rsidP="00D44BCA">
      <w:pPr>
        <w:pStyle w:val="References"/>
        <w:rPr>
          <w:snapToGrid w:val="0"/>
          <w:lang w:val="en-GB"/>
        </w:rPr>
      </w:pPr>
      <w:bookmarkStart w:id="10" w:name="_Ref100043624"/>
      <w:r w:rsidRPr="00B21EBD">
        <w:rPr>
          <w:lang w:val="it-IT"/>
        </w:rPr>
        <w:t xml:space="preserve">Acanfora, M., Altosole, M., Balsamo, F., Micoli, L., &amp; Campora, U. (2022). </w:t>
      </w:r>
      <w:r w:rsidRPr="005C39CB">
        <w:rPr>
          <w:lang w:val="en-GB"/>
        </w:rPr>
        <w:t>Simulation Modeling of a Ship Propulsion System in Waves for Control Purposes</w:t>
      </w:r>
      <w:r w:rsidRPr="00B21EBD">
        <w:rPr>
          <w:lang w:val="en-GB"/>
        </w:rPr>
        <w:t xml:space="preserve">. </w:t>
      </w:r>
      <w:r w:rsidR="00B21EBD" w:rsidRPr="00B21EBD">
        <w:rPr>
          <w:lang w:val="en-GB"/>
        </w:rPr>
        <w:t>Journal of Marine Science and Engineering,</w:t>
      </w:r>
      <w:r w:rsidR="00B21EBD">
        <w:rPr>
          <w:lang w:val="en-GB"/>
        </w:rPr>
        <w:t xml:space="preserve"> </w:t>
      </w:r>
      <w:r w:rsidR="00B21EBD" w:rsidRPr="00B21EBD">
        <w:rPr>
          <w:lang w:val="en-GB"/>
        </w:rPr>
        <w:t>10(1),</w:t>
      </w:r>
      <w:r w:rsidR="00B21EBD">
        <w:rPr>
          <w:lang w:val="en-GB"/>
        </w:rPr>
        <w:t xml:space="preserve"> </w:t>
      </w:r>
      <w:r w:rsidR="00B21EBD" w:rsidRPr="00B21EBD">
        <w:rPr>
          <w:lang w:val="en-GB"/>
        </w:rPr>
        <w:t>36</w:t>
      </w:r>
      <w:r w:rsidR="00B21EBD">
        <w:rPr>
          <w:lang w:val="en-GB"/>
        </w:rPr>
        <w:t>.</w:t>
      </w:r>
      <w:bookmarkEnd w:id="10"/>
    </w:p>
    <w:p w14:paraId="4FECBD5C" w14:textId="67C9D314" w:rsidR="00FF3AAD" w:rsidRPr="005C39CB" w:rsidRDefault="003B2161" w:rsidP="008333A4">
      <w:pPr>
        <w:pStyle w:val="References"/>
        <w:rPr>
          <w:snapToGrid w:val="0"/>
          <w:lang w:val="en-GB"/>
        </w:rPr>
      </w:pPr>
      <w:bookmarkStart w:id="11" w:name="_Ref97820054"/>
      <w:bookmarkStart w:id="12" w:name="_Ref97820919"/>
      <w:r w:rsidRPr="00FF3AAD">
        <w:rPr>
          <w:snapToGrid w:val="0"/>
        </w:rPr>
        <w:t xml:space="preserve">Chidambaram K, Thulasi V (2016) </w:t>
      </w:r>
      <w:proofErr w:type="gramStart"/>
      <w:r w:rsidRPr="00FF3AAD">
        <w:rPr>
          <w:snapToGrid w:val="0"/>
        </w:rPr>
        <w:t>Two</w:t>
      </w:r>
      <w:proofErr w:type="gramEnd"/>
      <w:r w:rsidRPr="00FF3AAD">
        <w:rPr>
          <w:snapToGrid w:val="0"/>
        </w:rPr>
        <w:t xml:space="preserve"> zone modeling of combustion, performance and emission characteristics of a cylinder head porous medium engine with experimental validation. Multidiscip Model Mater </w:t>
      </w:r>
      <w:proofErr w:type="spellStart"/>
      <w:r w:rsidRPr="00FF3AAD">
        <w:rPr>
          <w:snapToGrid w:val="0"/>
        </w:rPr>
        <w:t>Struct</w:t>
      </w:r>
      <w:proofErr w:type="spellEnd"/>
      <w:r w:rsidRPr="00FF3AAD">
        <w:rPr>
          <w:snapToGrid w:val="0"/>
        </w:rPr>
        <w:t xml:space="preserve"> 12(3):495–51</w:t>
      </w:r>
      <w:bookmarkEnd w:id="11"/>
      <w:r w:rsidR="00D67BD7" w:rsidRPr="00FF3AAD">
        <w:rPr>
          <w:snapToGrid w:val="0"/>
        </w:rPr>
        <w:t>3.</w:t>
      </w:r>
      <w:bookmarkStart w:id="13" w:name="_Ref97820199"/>
      <w:bookmarkEnd w:id="12"/>
    </w:p>
    <w:p w14:paraId="1094A10A" w14:textId="41E25013" w:rsidR="00BB51C8" w:rsidRDefault="00BB51C8" w:rsidP="00BB51C8">
      <w:pPr>
        <w:pStyle w:val="References"/>
        <w:rPr>
          <w:snapToGrid w:val="0"/>
        </w:rPr>
      </w:pPr>
      <w:bookmarkStart w:id="14" w:name="_Ref97821085"/>
      <w:bookmarkEnd w:id="13"/>
      <w:proofErr w:type="spellStart"/>
      <w:r w:rsidRPr="002D414B">
        <w:rPr>
          <w:snapToGrid w:val="0"/>
        </w:rPr>
        <w:t>Reif</w:t>
      </w:r>
      <w:proofErr w:type="spellEnd"/>
      <w:r w:rsidRPr="002D414B">
        <w:rPr>
          <w:snapToGrid w:val="0"/>
        </w:rPr>
        <w:t>, K. (2015). Gasoline engine management. Bosch Professional Automotive Information, DOI, 10, 978-3</w:t>
      </w:r>
      <w:r>
        <w:rPr>
          <w:snapToGrid w:val="0"/>
        </w:rPr>
        <w:t>.</w:t>
      </w:r>
      <w:bookmarkEnd w:id="14"/>
    </w:p>
    <w:p w14:paraId="08CF3A5C" w14:textId="393BA4EB" w:rsidR="00BB51C8" w:rsidRDefault="00BB51C8" w:rsidP="00BB51C8">
      <w:pPr>
        <w:pStyle w:val="References"/>
        <w:rPr>
          <w:snapToGrid w:val="0"/>
        </w:rPr>
      </w:pPr>
      <w:bookmarkStart w:id="15" w:name="_Ref97821753"/>
      <w:proofErr w:type="spellStart"/>
      <w:r w:rsidRPr="002F5121">
        <w:rPr>
          <w:snapToGrid w:val="0"/>
        </w:rPr>
        <w:t>Stapf</w:t>
      </w:r>
      <w:proofErr w:type="spellEnd"/>
      <w:r w:rsidRPr="002F5121">
        <w:rPr>
          <w:snapToGrid w:val="0"/>
        </w:rPr>
        <w:t xml:space="preserve">, K. G., </w:t>
      </w:r>
      <w:proofErr w:type="spellStart"/>
      <w:r w:rsidRPr="002F5121">
        <w:rPr>
          <w:snapToGrid w:val="0"/>
        </w:rPr>
        <w:t>Seebach</w:t>
      </w:r>
      <w:proofErr w:type="spellEnd"/>
      <w:r w:rsidRPr="002F5121">
        <w:rPr>
          <w:snapToGrid w:val="0"/>
        </w:rPr>
        <w:t xml:space="preserve">, D., </w:t>
      </w:r>
      <w:proofErr w:type="spellStart"/>
      <w:r w:rsidRPr="002F5121">
        <w:rPr>
          <w:snapToGrid w:val="0"/>
        </w:rPr>
        <w:t>Pischinger</w:t>
      </w:r>
      <w:proofErr w:type="spellEnd"/>
      <w:r w:rsidRPr="002F5121">
        <w:rPr>
          <w:snapToGrid w:val="0"/>
        </w:rPr>
        <w:t xml:space="preserve">, S., </w:t>
      </w:r>
      <w:proofErr w:type="spellStart"/>
      <w:r w:rsidRPr="002F5121">
        <w:rPr>
          <w:snapToGrid w:val="0"/>
        </w:rPr>
        <w:t>Adomeit</w:t>
      </w:r>
      <w:proofErr w:type="spellEnd"/>
      <w:r w:rsidRPr="002F5121">
        <w:rPr>
          <w:snapToGrid w:val="0"/>
        </w:rPr>
        <w:t>, P., &amp; Ewald, J. (2009). Modeling and Simulation of Gasoline Auto-Ignition Engines. IFAC Proceedings Volumes, 42(26), 40-47.</w:t>
      </w:r>
      <w:bookmarkEnd w:id="15"/>
    </w:p>
    <w:p w14:paraId="4032AE80" w14:textId="6BE1953D" w:rsidR="00082172" w:rsidRPr="00082172" w:rsidRDefault="00082172" w:rsidP="00082172">
      <w:pPr>
        <w:pStyle w:val="References"/>
        <w:rPr>
          <w:snapToGrid w:val="0"/>
          <w:lang w:val="it-IT"/>
        </w:rPr>
      </w:pPr>
      <w:bookmarkStart w:id="16" w:name="_Ref100043993"/>
      <w:r w:rsidRPr="00FF3AAD">
        <w:rPr>
          <w:snapToGrid w:val="0"/>
          <w:lang w:val="it-IT"/>
        </w:rPr>
        <w:t xml:space="preserve">Mocerino, L., Soares, C. G., Rizzuto, E., Balsamo, F., &amp; Quaranta, F. (2021). </w:t>
      </w:r>
      <w:r w:rsidRPr="00FF3AAD">
        <w:rPr>
          <w:snapToGrid w:val="0"/>
        </w:rPr>
        <w:t xml:space="preserve">Validation of an Emission Model for a Marine Diesel Engine with Data from Sea Operations. </w:t>
      </w:r>
      <w:r w:rsidRPr="00FF3AAD">
        <w:rPr>
          <w:snapToGrid w:val="0"/>
          <w:lang w:val="it-IT"/>
        </w:rPr>
        <w:t>Journal of Marine Science and Application, 20(3), 534-545.</w:t>
      </w:r>
      <w:bookmarkEnd w:id="16"/>
    </w:p>
    <w:p w14:paraId="60E26037" w14:textId="0818102F" w:rsidR="007D45CE" w:rsidRPr="00BB51C8" w:rsidRDefault="007D45CE" w:rsidP="002D414B">
      <w:pPr>
        <w:pStyle w:val="References"/>
        <w:rPr>
          <w:snapToGrid w:val="0"/>
        </w:rPr>
      </w:pPr>
      <w:bookmarkStart w:id="17" w:name="_Ref97821273"/>
      <w:bookmarkStart w:id="18" w:name="_Ref97826871"/>
      <w:r w:rsidRPr="00892827">
        <w:rPr>
          <w:snapToGrid w:val="0"/>
        </w:rPr>
        <w:t>https://marine.suzuki.it/modelli.aspx</w:t>
      </w:r>
      <w:bookmarkEnd w:id="17"/>
      <w:bookmarkEnd w:id="18"/>
    </w:p>
    <w:p w14:paraId="33469FA9" w14:textId="4E0B181D" w:rsidR="007D45CE" w:rsidRDefault="007D45CE" w:rsidP="007D45CE">
      <w:pPr>
        <w:pStyle w:val="References"/>
        <w:rPr>
          <w:rStyle w:val="Collegamentoipertestuale"/>
          <w:snapToGrid w:val="0"/>
        </w:rPr>
      </w:pPr>
      <w:bookmarkStart w:id="19" w:name="_Ref77000263"/>
      <w:r w:rsidRPr="00892827">
        <w:rPr>
          <w:snapToGrid w:val="0"/>
        </w:rPr>
        <w:t>https://www.boatmag.it/37077-suzuki-df40-ari-arkos-21-test-motore-gommone/</w:t>
      </w:r>
      <w:bookmarkEnd w:id="19"/>
    </w:p>
    <w:p w14:paraId="5C0C1A6A" w14:textId="2F62C4E3" w:rsidR="00247AC9" w:rsidRDefault="00247AC9" w:rsidP="00247AC9">
      <w:pPr>
        <w:pStyle w:val="References"/>
      </w:pPr>
      <w:bookmarkStart w:id="20" w:name="_Ref98315300"/>
      <w:r w:rsidRPr="00247AC9">
        <w:t>Fenimore, C. P. “Formation of Nitric Oxide in Premixed Hydrocarbon Flames”. Proceedings of the Combustion Institute Vol. 13 (1970): 373</w:t>
      </w:r>
      <w:bookmarkEnd w:id="20"/>
    </w:p>
    <w:p w14:paraId="14EF7A24" w14:textId="77777777" w:rsidR="00247AC9" w:rsidRDefault="00247AC9" w:rsidP="00247AC9">
      <w:pPr>
        <w:pStyle w:val="References"/>
      </w:pPr>
      <w:bookmarkStart w:id="21" w:name="_Ref98315372"/>
      <w:r w:rsidRPr="00247AC9">
        <w:t>Heywood, J. B. (2018). Internal combustion engine fundamentals. McGraw-Hill Education.</w:t>
      </w:r>
      <w:bookmarkEnd w:id="21"/>
    </w:p>
    <w:p w14:paraId="42FEBFA4" w14:textId="728F1A1B" w:rsidR="00247AC9" w:rsidRPr="00247AC9" w:rsidRDefault="00247AC9" w:rsidP="00C63873">
      <w:pPr>
        <w:pStyle w:val="References"/>
      </w:pPr>
      <w:bookmarkStart w:id="22" w:name="_Ref98315538"/>
      <w:r w:rsidRPr="00247AC9">
        <w:t>EMEP EEEA 2019. EMEP/EEA air pollutant emission inventory guidebook. Copenhagen, Denmark: European</w:t>
      </w:r>
      <w:r>
        <w:t xml:space="preserve"> </w:t>
      </w:r>
      <w:r w:rsidRPr="00247AC9">
        <w:t>Environment Agency.</w:t>
      </w:r>
      <w:bookmarkEnd w:id="22"/>
    </w:p>
    <w:p w14:paraId="29463549" w14:textId="5F3A0B05" w:rsidR="00477BE7" w:rsidRDefault="00477BE7" w:rsidP="00477BE7">
      <w:pPr>
        <w:pStyle w:val="References"/>
        <w:rPr>
          <w:snapToGrid w:val="0"/>
        </w:rPr>
      </w:pPr>
      <w:bookmarkStart w:id="23" w:name="_Ref97820271"/>
      <w:r w:rsidRPr="00AA2AF9">
        <w:rPr>
          <w:snapToGrid w:val="0"/>
          <w:lang w:val="it-IT"/>
        </w:rPr>
        <w:t xml:space="preserve">Benvenuto, G., Campora, U., Altosole, M., &amp; Balsamo, F. (2021). </w:t>
      </w:r>
      <w:r w:rsidRPr="00477BE7">
        <w:rPr>
          <w:snapToGrid w:val="0"/>
        </w:rPr>
        <w:t>Numerical modelling and analysis of the ambient conditions influence on the performance of a marine diesel engine. In Developments in Maritime Technology and Engineering (pp. 463-474). CRC Press.</w:t>
      </w:r>
      <w:bookmarkEnd w:id="23"/>
    </w:p>
    <w:p w14:paraId="50C5ADC9" w14:textId="29A49E17" w:rsidR="007D45CE" w:rsidRDefault="007D45CE" w:rsidP="00477BE7">
      <w:pPr>
        <w:pStyle w:val="References"/>
        <w:rPr>
          <w:snapToGrid w:val="0"/>
        </w:rPr>
      </w:pPr>
      <w:bookmarkStart w:id="24" w:name="_Ref97821548"/>
      <w:proofErr w:type="spellStart"/>
      <w:r w:rsidRPr="007D45CE">
        <w:rPr>
          <w:snapToGrid w:val="0"/>
        </w:rPr>
        <w:t>Rakopoulos</w:t>
      </w:r>
      <w:proofErr w:type="spellEnd"/>
      <w:r w:rsidRPr="007D45CE">
        <w:rPr>
          <w:snapToGrid w:val="0"/>
        </w:rPr>
        <w:t xml:space="preserve">, C. D., &amp; </w:t>
      </w:r>
      <w:proofErr w:type="spellStart"/>
      <w:r w:rsidRPr="007D45CE">
        <w:rPr>
          <w:snapToGrid w:val="0"/>
        </w:rPr>
        <w:t>Glakoumis</w:t>
      </w:r>
      <w:proofErr w:type="spellEnd"/>
      <w:r w:rsidRPr="007D45CE">
        <w:rPr>
          <w:snapToGrid w:val="0"/>
        </w:rPr>
        <w:t>, E. G. (2006). Sensitivity analysis of transient diesel engine simulation. Proceedings of the Institution of Mechanical Engineers, Part D: Journal of Automobile Engineering, 220(1), 89-101.</w:t>
      </w:r>
      <w:bookmarkEnd w:id="24"/>
    </w:p>
    <w:p w14:paraId="2B51B172" w14:textId="50A54FA5" w:rsidR="002F5121" w:rsidRPr="00AE1751" w:rsidRDefault="002F5121" w:rsidP="00477BE7">
      <w:pPr>
        <w:pStyle w:val="References"/>
        <w:rPr>
          <w:snapToGrid w:val="0"/>
        </w:rPr>
      </w:pPr>
      <w:bookmarkStart w:id="25" w:name="_Ref97821607"/>
      <w:r w:rsidRPr="002F5121">
        <w:rPr>
          <w:snapToGrid w:val="0"/>
        </w:rPr>
        <w:t xml:space="preserve">Pal, P., Probst, D., Pei, Y., Zhang, Y., Traver, M., Cleary, D., &amp; </w:t>
      </w:r>
      <w:proofErr w:type="spellStart"/>
      <w:r w:rsidRPr="002F5121">
        <w:rPr>
          <w:snapToGrid w:val="0"/>
        </w:rPr>
        <w:t>Som</w:t>
      </w:r>
      <w:proofErr w:type="spellEnd"/>
      <w:r w:rsidRPr="002F5121">
        <w:rPr>
          <w:snapToGrid w:val="0"/>
        </w:rPr>
        <w:t>, S. (2017). Numerical investigation of a gasoline-like fuel in a heavy-duty compression ignition engine using global sensitivity analysis. SAE International Journal of Fuels and Lubricants, 10(1), 56-68.</w:t>
      </w:r>
      <w:bookmarkEnd w:id="25"/>
    </w:p>
    <w:p w14:paraId="4F46D254" w14:textId="1F353B72" w:rsidR="00855C89" w:rsidRPr="00855C89" w:rsidRDefault="00D67BD7" w:rsidP="00855C89">
      <w:pPr>
        <w:pStyle w:val="References"/>
        <w:rPr>
          <w:snapToGrid w:val="0"/>
        </w:rPr>
      </w:pPr>
      <w:bookmarkStart w:id="26" w:name="_Ref97821145"/>
      <w:r w:rsidRPr="00D67BD7">
        <w:rPr>
          <w:lang w:val="it-IT"/>
        </w:rPr>
        <w:t xml:space="preserve">Altosole, M., Benvenuto, G., Campora, U., Laviola, M., &amp; Zaccone, R. (2017). </w:t>
      </w:r>
      <w:r w:rsidRPr="00D67BD7">
        <w:t>Simulation and performance com-parison between diesel and natural gas engines for ma-</w:t>
      </w:r>
      <w:proofErr w:type="spellStart"/>
      <w:r w:rsidRPr="00D67BD7">
        <w:t>rine</w:t>
      </w:r>
      <w:proofErr w:type="spellEnd"/>
      <w:r w:rsidRPr="00D67BD7">
        <w:t xml:space="preserve"> applications. Proceedings of the Institution of Mechanical Engineers, Part M: Journal of Engineering for the Maritime Environment, 231(2), 690-704</w:t>
      </w:r>
      <w:bookmarkEnd w:id="26"/>
    </w:p>
    <w:p w14:paraId="05C66A04" w14:textId="13BE3550" w:rsidR="00142F3C" w:rsidRPr="007F60AD" w:rsidRDefault="00855C89" w:rsidP="007F60AD">
      <w:pPr>
        <w:pStyle w:val="References"/>
      </w:pPr>
      <w:bookmarkStart w:id="27" w:name="_Ref97821146"/>
      <w:r w:rsidRPr="00C56C0D">
        <w:rPr>
          <w:lang w:val="it-IT"/>
        </w:rPr>
        <w:t xml:space="preserve">Altosole, M., Buglioni, G., Figari, M., </w:t>
      </w:r>
      <w:r w:rsidR="005C39CB">
        <w:rPr>
          <w:lang w:val="it-IT"/>
        </w:rPr>
        <w:t>(</w:t>
      </w:r>
      <w:r w:rsidRPr="00C56C0D">
        <w:rPr>
          <w:lang w:val="it-IT"/>
        </w:rPr>
        <w:t>2014</w:t>
      </w:r>
      <w:r w:rsidR="005C39CB">
        <w:rPr>
          <w:lang w:val="it-IT"/>
        </w:rPr>
        <w:t>)</w:t>
      </w:r>
      <w:r w:rsidRPr="00C56C0D">
        <w:rPr>
          <w:lang w:val="it-IT"/>
        </w:rPr>
        <w:t xml:space="preserve">. </w:t>
      </w:r>
      <w:r w:rsidRPr="00D04A2D">
        <w:t xml:space="preserve">Alternative Propulsion Technologies for Fishing Vessels: a Case Study. </w:t>
      </w:r>
      <w:r w:rsidR="005A342D">
        <w:t>International Review of Mechanical Engineering,</w:t>
      </w:r>
      <w:r w:rsidR="005A342D" w:rsidRPr="00D04A2D">
        <w:t xml:space="preserve"> </w:t>
      </w:r>
      <w:r w:rsidRPr="00D04A2D">
        <w:t>8</w:t>
      </w:r>
      <w:r w:rsidR="005A342D">
        <w:t xml:space="preserve"> (2)</w:t>
      </w:r>
      <w:r w:rsidRPr="00D04A2D">
        <w:t>, 296–301. https://doi.org/10.15866/IREME.V8I2.459</w:t>
      </w:r>
      <w:bookmarkEnd w:id="27"/>
      <w:r w:rsidR="00802907">
        <w:t>.</w:t>
      </w:r>
    </w:p>
    <w:sectPr w:rsidR="00142F3C" w:rsidRPr="007F60AD">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97A51" w14:textId="77777777" w:rsidR="00420171" w:rsidRDefault="00420171" w:rsidP="00B90B6B">
      <w:r>
        <w:separator/>
      </w:r>
    </w:p>
  </w:endnote>
  <w:endnote w:type="continuationSeparator" w:id="0">
    <w:p w14:paraId="7FB2933B" w14:textId="77777777" w:rsidR="00420171" w:rsidRDefault="00420171" w:rsidP="00B9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C7476" w14:textId="77777777" w:rsidR="00420171" w:rsidRDefault="00420171" w:rsidP="00B90B6B">
      <w:r>
        <w:separator/>
      </w:r>
    </w:p>
  </w:footnote>
  <w:footnote w:type="continuationSeparator" w:id="0">
    <w:p w14:paraId="4CD2EEEE" w14:textId="77777777" w:rsidR="00420171" w:rsidRDefault="00420171" w:rsidP="00B90B6B">
      <w:r>
        <w:continuationSeparator/>
      </w:r>
    </w:p>
  </w:footnote>
  <w:footnote w:id="1">
    <w:p w14:paraId="2441C4DC" w14:textId="5879E08D" w:rsidR="00C63873" w:rsidRPr="006161C2" w:rsidRDefault="00C63873" w:rsidP="00B90B6B">
      <w:pPr>
        <w:pStyle w:val="Testonotaapidipagina"/>
        <w:rPr>
          <w:rStyle w:val="FootnoteChar"/>
          <w:szCs w:val="16"/>
        </w:rPr>
      </w:pPr>
      <w:r>
        <w:rPr>
          <w:rStyle w:val="Rimandonotaapidipagina"/>
        </w:rPr>
        <w:footnoteRef/>
      </w:r>
      <w:r>
        <w:rPr>
          <w:rStyle w:val="FootnoteChar"/>
        </w:rPr>
        <w:t xml:space="preserve"> Corresponding Author</w:t>
      </w:r>
      <w:r>
        <w:rPr>
          <w:rStyle w:val="FootnoteChar"/>
          <w:szCs w:val="16"/>
        </w:rPr>
        <w:t>,</w:t>
      </w:r>
      <w:r w:rsidRPr="006161C2">
        <w:rPr>
          <w:lang w:val="en-GB"/>
        </w:rPr>
        <w:t xml:space="preserve"> E-mail: </w:t>
      </w:r>
      <w:r>
        <w:rPr>
          <w:lang w:val="en-GB"/>
        </w:rPr>
        <w:t>luigia.mocerino@unina.it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00206A73"/>
    <w:multiLevelType w:val="hybridMultilevel"/>
    <w:tmpl w:val="55B8F7DA"/>
    <w:lvl w:ilvl="0" w:tplc="49C0E0C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B42292"/>
    <w:multiLevelType w:val="hybridMultilevel"/>
    <w:tmpl w:val="B294477A"/>
    <w:lvl w:ilvl="0" w:tplc="A5BA7F94">
      <w:start w:val="1"/>
      <w:numFmt w:val="bullet"/>
      <w:lvlText w:val="-"/>
      <w:lvlJc w:val="left"/>
      <w:pPr>
        <w:ind w:left="717" w:hanging="360"/>
      </w:pPr>
      <w:rPr>
        <w:rFonts w:ascii="Times New Roman" w:eastAsia="MS Mincho"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nsid w:val="142622DE"/>
    <w:multiLevelType w:val="hybridMultilevel"/>
    <w:tmpl w:val="9760D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93359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EB6C8F"/>
    <w:multiLevelType w:val="hybridMultilevel"/>
    <w:tmpl w:val="E39EE4A0"/>
    <w:lvl w:ilvl="0" w:tplc="04100001">
      <w:start w:val="1"/>
      <w:numFmt w:val="bullet"/>
      <w:lvlText w:val=""/>
      <w:lvlJc w:val="left"/>
      <w:pPr>
        <w:ind w:left="717" w:hanging="360"/>
      </w:pPr>
      <w:rPr>
        <w:rFonts w:ascii="Symbol" w:hAnsi="Symbol"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7">
    <w:nsid w:val="34DD40D1"/>
    <w:multiLevelType w:val="multilevel"/>
    <w:tmpl w:val="B0D8CD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7C8455A"/>
    <w:multiLevelType w:val="hybridMultilevel"/>
    <w:tmpl w:val="E6D06748"/>
    <w:lvl w:ilvl="0" w:tplc="95207F52">
      <w:start w:val="1"/>
      <w:numFmt w:val="decimal"/>
      <w:lvlText w:val="[%1]"/>
      <w:lvlJc w:val="left"/>
      <w:pPr>
        <w:ind w:left="720" w:hanging="360"/>
      </w:pPr>
      <w:rPr>
        <w:color w:val="00206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50BB51F1"/>
    <w:multiLevelType w:val="multilevel"/>
    <w:tmpl w:val="D558440E"/>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1">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3">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4">
    <w:nsid w:val="6C140BB8"/>
    <w:multiLevelType w:val="hybridMultilevel"/>
    <w:tmpl w:val="DC96F6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49D7927"/>
    <w:multiLevelType w:val="multilevel"/>
    <w:tmpl w:val="E82C9EBC"/>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6">
    <w:nsid w:val="75A50369"/>
    <w:multiLevelType w:val="hybridMultilevel"/>
    <w:tmpl w:val="E4FAE6E6"/>
    <w:lvl w:ilvl="0" w:tplc="D7821CCA">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7">
    <w:nsid w:val="76F27992"/>
    <w:multiLevelType w:val="hybridMultilevel"/>
    <w:tmpl w:val="B3AAEFF4"/>
    <w:lvl w:ilvl="0" w:tplc="ED02120A">
      <w:start w:val="1"/>
      <w:numFmt w:val="decimal"/>
      <w:pStyle w:val="References"/>
      <w:lvlText w:val="[%1]"/>
      <w:lvlJc w:val="left"/>
      <w:pPr>
        <w:tabs>
          <w:tab w:val="num" w:pos="255"/>
        </w:tabs>
        <w:ind w:left="369" w:hanging="369"/>
      </w:pPr>
      <w:rPr>
        <w:rFonts w:hint="default"/>
        <w:color w:val="auto"/>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0"/>
  </w:num>
  <w:num w:numId="4">
    <w:abstractNumId w:val="15"/>
  </w:num>
  <w:num w:numId="5">
    <w:abstractNumId w:val="9"/>
  </w:num>
  <w:num w:numId="6">
    <w:abstractNumId w:val="13"/>
  </w:num>
  <w:num w:numId="7">
    <w:abstractNumId w:val="17"/>
  </w:num>
  <w:num w:numId="8">
    <w:abstractNumId w:val="11"/>
  </w:num>
  <w:num w:numId="9">
    <w:abstractNumId w:val="17"/>
  </w:num>
  <w:num w:numId="10">
    <w:abstractNumId w:val="5"/>
  </w:num>
  <w:num w:numId="11">
    <w:abstractNumId w:val="17"/>
    <w:lvlOverride w:ilvl="0">
      <w:startOverride w:val="1"/>
    </w:lvlOverride>
  </w:num>
  <w:num w:numId="12">
    <w:abstractNumId w:val="4"/>
  </w:num>
  <w:num w:numId="13">
    <w:abstractNumId w:val="15"/>
  </w:num>
  <w:num w:numId="14">
    <w:abstractNumId w:val="15"/>
  </w:num>
  <w:num w:numId="15">
    <w:abstractNumId w:val="15"/>
  </w:num>
  <w:num w:numId="16">
    <w:abstractNumId w:val="15"/>
  </w:num>
  <w:num w:numId="17">
    <w:abstractNumId w:val="1"/>
  </w:num>
  <w:num w:numId="18">
    <w:abstractNumId w:val="17"/>
  </w:num>
  <w:num w:numId="19">
    <w:abstractNumId w:val="17"/>
  </w:num>
  <w:num w:numId="20">
    <w:abstractNumId w:val="17"/>
  </w:num>
  <w:num w:numId="21">
    <w:abstractNumId w:val="1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num>
  <w:num w:numId="25">
    <w:abstractNumId w:val="17"/>
  </w:num>
  <w:num w:numId="26">
    <w:abstractNumId w:val="17"/>
  </w:num>
  <w:num w:numId="27">
    <w:abstractNumId w:val="15"/>
  </w:num>
  <w:num w:numId="28">
    <w:abstractNumId w:val="15"/>
  </w:num>
  <w:num w:numId="29">
    <w:abstractNumId w:val="3"/>
  </w:num>
  <w:num w:numId="30">
    <w:abstractNumId w:val="2"/>
  </w:num>
  <w:num w:numId="31">
    <w:abstractNumId w:val="17"/>
  </w:num>
  <w:num w:numId="32">
    <w:abstractNumId w:val="17"/>
  </w:num>
  <w:num w:numId="33">
    <w:abstractNumId w:val="7"/>
  </w:num>
  <w:num w:numId="34">
    <w:abstractNumId w:val="16"/>
  </w:num>
  <w:num w:numId="35">
    <w:abstractNumId w:val="14"/>
  </w:num>
  <w:num w:numId="36">
    <w:abstractNumId w:val="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41"/>
    <w:rsid w:val="00010C5B"/>
    <w:rsid w:val="000320E8"/>
    <w:rsid w:val="00061A99"/>
    <w:rsid w:val="00082172"/>
    <w:rsid w:val="00083B97"/>
    <w:rsid w:val="00090D26"/>
    <w:rsid w:val="00092C64"/>
    <w:rsid w:val="000A48BF"/>
    <w:rsid w:val="000B26D7"/>
    <w:rsid w:val="000E61F4"/>
    <w:rsid w:val="001163B5"/>
    <w:rsid w:val="00142F3C"/>
    <w:rsid w:val="00162E8D"/>
    <w:rsid w:val="00180FEC"/>
    <w:rsid w:val="00190CC7"/>
    <w:rsid w:val="00190DD5"/>
    <w:rsid w:val="00194FC4"/>
    <w:rsid w:val="001D2133"/>
    <w:rsid w:val="001E2741"/>
    <w:rsid w:val="001F1B75"/>
    <w:rsid w:val="00225860"/>
    <w:rsid w:val="00227589"/>
    <w:rsid w:val="00235062"/>
    <w:rsid w:val="00242510"/>
    <w:rsid w:val="002466A8"/>
    <w:rsid w:val="00247AC9"/>
    <w:rsid w:val="00256794"/>
    <w:rsid w:val="002659D7"/>
    <w:rsid w:val="00270784"/>
    <w:rsid w:val="00281B3B"/>
    <w:rsid w:val="00295590"/>
    <w:rsid w:val="002B41FD"/>
    <w:rsid w:val="002C50A2"/>
    <w:rsid w:val="002D414B"/>
    <w:rsid w:val="002E2223"/>
    <w:rsid w:val="002E2F59"/>
    <w:rsid w:val="002F5121"/>
    <w:rsid w:val="002F51A9"/>
    <w:rsid w:val="00323D16"/>
    <w:rsid w:val="003310B5"/>
    <w:rsid w:val="0035562E"/>
    <w:rsid w:val="003B0902"/>
    <w:rsid w:val="003B2161"/>
    <w:rsid w:val="003B63F4"/>
    <w:rsid w:val="003F2BC1"/>
    <w:rsid w:val="00420171"/>
    <w:rsid w:val="0042593B"/>
    <w:rsid w:val="004459E5"/>
    <w:rsid w:val="00463BA8"/>
    <w:rsid w:val="00477BE7"/>
    <w:rsid w:val="00482178"/>
    <w:rsid w:val="0048628B"/>
    <w:rsid w:val="00490636"/>
    <w:rsid w:val="004A65E4"/>
    <w:rsid w:val="004B6B77"/>
    <w:rsid w:val="004E2EBD"/>
    <w:rsid w:val="004E4881"/>
    <w:rsid w:val="004F59F3"/>
    <w:rsid w:val="004F7BBA"/>
    <w:rsid w:val="00505A11"/>
    <w:rsid w:val="005268D0"/>
    <w:rsid w:val="00533A82"/>
    <w:rsid w:val="005A342D"/>
    <w:rsid w:val="005C145A"/>
    <w:rsid w:val="005C39CB"/>
    <w:rsid w:val="005D6171"/>
    <w:rsid w:val="005E6C64"/>
    <w:rsid w:val="00614BB5"/>
    <w:rsid w:val="006161C2"/>
    <w:rsid w:val="0063017F"/>
    <w:rsid w:val="00631672"/>
    <w:rsid w:val="0063508D"/>
    <w:rsid w:val="00657CF7"/>
    <w:rsid w:val="006B2CDB"/>
    <w:rsid w:val="006D653B"/>
    <w:rsid w:val="006E2C09"/>
    <w:rsid w:val="007320BB"/>
    <w:rsid w:val="007622F0"/>
    <w:rsid w:val="007672A6"/>
    <w:rsid w:val="00777B08"/>
    <w:rsid w:val="00791773"/>
    <w:rsid w:val="007A645C"/>
    <w:rsid w:val="007D45CE"/>
    <w:rsid w:val="007E3263"/>
    <w:rsid w:val="007F60AD"/>
    <w:rsid w:val="00802907"/>
    <w:rsid w:val="008117BA"/>
    <w:rsid w:val="00824A04"/>
    <w:rsid w:val="008356B7"/>
    <w:rsid w:val="008471B5"/>
    <w:rsid w:val="00850380"/>
    <w:rsid w:val="008532D8"/>
    <w:rsid w:val="00855C89"/>
    <w:rsid w:val="0087781E"/>
    <w:rsid w:val="00892827"/>
    <w:rsid w:val="008A25AE"/>
    <w:rsid w:val="008B3F00"/>
    <w:rsid w:val="008E2F9E"/>
    <w:rsid w:val="008F0346"/>
    <w:rsid w:val="008F1D4F"/>
    <w:rsid w:val="0092401D"/>
    <w:rsid w:val="0093604C"/>
    <w:rsid w:val="00972F84"/>
    <w:rsid w:val="009829C9"/>
    <w:rsid w:val="009853DF"/>
    <w:rsid w:val="00997E9C"/>
    <w:rsid w:val="009A6172"/>
    <w:rsid w:val="009B5CD7"/>
    <w:rsid w:val="009F0CD7"/>
    <w:rsid w:val="00A35A74"/>
    <w:rsid w:val="00A605D9"/>
    <w:rsid w:val="00AA2AF9"/>
    <w:rsid w:val="00AC2CE6"/>
    <w:rsid w:val="00AC7CEA"/>
    <w:rsid w:val="00AE0F9E"/>
    <w:rsid w:val="00AE1751"/>
    <w:rsid w:val="00AE43AB"/>
    <w:rsid w:val="00B05D6E"/>
    <w:rsid w:val="00B21EBD"/>
    <w:rsid w:val="00B24230"/>
    <w:rsid w:val="00B62F86"/>
    <w:rsid w:val="00B82D3A"/>
    <w:rsid w:val="00B90B6B"/>
    <w:rsid w:val="00B97916"/>
    <w:rsid w:val="00BB51C8"/>
    <w:rsid w:val="00BB7D4A"/>
    <w:rsid w:val="00BF0F42"/>
    <w:rsid w:val="00C0337B"/>
    <w:rsid w:val="00C24263"/>
    <w:rsid w:val="00C33549"/>
    <w:rsid w:val="00C367A7"/>
    <w:rsid w:val="00C56C0D"/>
    <w:rsid w:val="00C615AD"/>
    <w:rsid w:val="00C63873"/>
    <w:rsid w:val="00C7462D"/>
    <w:rsid w:val="00C7684A"/>
    <w:rsid w:val="00C95EDC"/>
    <w:rsid w:val="00C97D11"/>
    <w:rsid w:val="00CF1981"/>
    <w:rsid w:val="00CF5C91"/>
    <w:rsid w:val="00D02770"/>
    <w:rsid w:val="00D03A64"/>
    <w:rsid w:val="00D25AD5"/>
    <w:rsid w:val="00D33B92"/>
    <w:rsid w:val="00D67BD7"/>
    <w:rsid w:val="00D75E7E"/>
    <w:rsid w:val="00D77302"/>
    <w:rsid w:val="00D8024A"/>
    <w:rsid w:val="00D82BC9"/>
    <w:rsid w:val="00D84AB4"/>
    <w:rsid w:val="00D947E0"/>
    <w:rsid w:val="00DD267B"/>
    <w:rsid w:val="00DF582C"/>
    <w:rsid w:val="00E00F00"/>
    <w:rsid w:val="00E15D6B"/>
    <w:rsid w:val="00E45EF4"/>
    <w:rsid w:val="00E56BD5"/>
    <w:rsid w:val="00E6622F"/>
    <w:rsid w:val="00EF4156"/>
    <w:rsid w:val="00EF796A"/>
    <w:rsid w:val="00F07FC3"/>
    <w:rsid w:val="00F13091"/>
    <w:rsid w:val="00F4253E"/>
    <w:rsid w:val="00F47DDE"/>
    <w:rsid w:val="00F84A41"/>
    <w:rsid w:val="00F916A5"/>
    <w:rsid w:val="00FE707B"/>
    <w:rsid w:val="00FE7CC6"/>
    <w:rsid w:val="00FF3AAD"/>
  </w:rsids>
  <m:mathPr>
    <m:mathFont m:val="Cambria Math"/>
    <m:brkBin m:val="before"/>
    <m:brkBinSub m:val="--"/>
    <m:smallFrac m:val="0"/>
    <m:dispDef/>
    <m:lMargin m:val="0"/>
    <m:rMargin m:val="0"/>
    <m:defJc m:val="centerGroup"/>
    <m:wrapIndent m:val="1440"/>
    <m:intLim m:val="subSup"/>
    <m:naryLim m:val="undOvr"/>
  </m:mathPr>
  <w:themeFontLang w:val="nl-NL"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F3C1B"/>
  <w15:chartTrackingRefBased/>
  <w15:docId w15:val="{201846AA-1BC3-4909-80EF-58CA846D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0B6B"/>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uiPriority w:val="35"/>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ind w:firstLine="0"/>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NormaleWeb">
    <w:name w:val="Normal (Web)"/>
    <w:basedOn w:val="Normale"/>
    <w:uiPriority w:val="99"/>
    <w:semiHidden/>
    <w:unhideWhenUsed/>
    <w:rsid w:val="005E6C64"/>
    <w:pPr>
      <w:spacing w:before="100" w:beforeAutospacing="1" w:after="100" w:afterAutospacing="1"/>
      <w:ind w:firstLine="0"/>
      <w:jc w:val="left"/>
    </w:pPr>
    <w:rPr>
      <w:rFonts w:eastAsia="Times New Roman"/>
      <w:sz w:val="24"/>
      <w:lang w:val="it-IT" w:eastAsia="it-IT"/>
    </w:rPr>
  </w:style>
  <w:style w:type="table" w:styleId="Grigliatabella">
    <w:name w:val="Table Grid"/>
    <w:basedOn w:val="Tabellanormale"/>
    <w:uiPriority w:val="39"/>
    <w:rsid w:val="005E6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indentNormal"/>
    <w:uiPriority w:val="34"/>
    <w:qFormat/>
    <w:rsid w:val="00B90B6B"/>
  </w:style>
  <w:style w:type="character" w:styleId="Collegamentoipertestuale">
    <w:name w:val="Hyperlink"/>
    <w:basedOn w:val="Carpredefinitoparagrafo"/>
    <w:uiPriority w:val="99"/>
    <w:unhideWhenUsed/>
    <w:rsid w:val="007D45CE"/>
    <w:rPr>
      <w:color w:val="0563C1" w:themeColor="hyperlink"/>
      <w:u w:val="single"/>
    </w:rPr>
  </w:style>
  <w:style w:type="character" w:customStyle="1" w:styleId="Menzionenonrisolta1">
    <w:name w:val="Menzione non risolta1"/>
    <w:basedOn w:val="Carpredefinitoparagrafo"/>
    <w:uiPriority w:val="99"/>
    <w:semiHidden/>
    <w:unhideWhenUsed/>
    <w:rsid w:val="007D45CE"/>
    <w:rPr>
      <w:color w:val="605E5C"/>
      <w:shd w:val="clear" w:color="auto" w:fill="E1DFDD"/>
    </w:rPr>
  </w:style>
  <w:style w:type="paragraph" w:styleId="Revisione">
    <w:name w:val="Revision"/>
    <w:hidden/>
    <w:uiPriority w:val="99"/>
    <w:semiHidden/>
    <w:rsid w:val="002F5121"/>
    <w:rPr>
      <w:szCs w:val="24"/>
      <w:lang w:val="en-US" w:eastAsia="ja-JP"/>
    </w:rPr>
  </w:style>
  <w:style w:type="paragraph" w:styleId="Intestazione">
    <w:name w:val="header"/>
    <w:basedOn w:val="Normale"/>
    <w:link w:val="IntestazioneCarattere"/>
    <w:uiPriority w:val="99"/>
    <w:unhideWhenUsed/>
    <w:rsid w:val="00614BB5"/>
    <w:pPr>
      <w:tabs>
        <w:tab w:val="center" w:pos="4819"/>
        <w:tab w:val="right" w:pos="9638"/>
      </w:tabs>
    </w:pPr>
  </w:style>
  <w:style w:type="character" w:customStyle="1" w:styleId="IntestazioneCarattere">
    <w:name w:val="Intestazione Carattere"/>
    <w:basedOn w:val="Carpredefinitoparagrafo"/>
    <w:link w:val="Intestazione"/>
    <w:uiPriority w:val="99"/>
    <w:rsid w:val="00614BB5"/>
    <w:rPr>
      <w:szCs w:val="24"/>
      <w:lang w:val="en-US" w:eastAsia="ja-JP"/>
    </w:rPr>
  </w:style>
  <w:style w:type="paragraph" w:styleId="Pidipagina">
    <w:name w:val="footer"/>
    <w:basedOn w:val="Normale"/>
    <w:link w:val="PidipaginaCarattere"/>
    <w:uiPriority w:val="99"/>
    <w:unhideWhenUsed/>
    <w:rsid w:val="00614BB5"/>
    <w:pPr>
      <w:tabs>
        <w:tab w:val="center" w:pos="4819"/>
        <w:tab w:val="right" w:pos="9638"/>
      </w:tabs>
    </w:pPr>
  </w:style>
  <w:style w:type="character" w:customStyle="1" w:styleId="PidipaginaCarattere">
    <w:name w:val="Piè di pagina Carattere"/>
    <w:basedOn w:val="Carpredefinitoparagrafo"/>
    <w:link w:val="Pidipagina"/>
    <w:uiPriority w:val="99"/>
    <w:rsid w:val="00614BB5"/>
    <w:rPr>
      <w:szCs w:val="24"/>
      <w:lang w:val="en-US" w:eastAsia="ja-JP"/>
    </w:rPr>
  </w:style>
  <w:style w:type="paragraph" w:styleId="Testofumetto">
    <w:name w:val="Balloon Text"/>
    <w:basedOn w:val="Normale"/>
    <w:link w:val="TestofumettoCarattere"/>
    <w:uiPriority w:val="99"/>
    <w:semiHidden/>
    <w:unhideWhenUsed/>
    <w:rsid w:val="00090D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0D26"/>
    <w:rPr>
      <w:rFonts w:ascii="Segoe UI"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0831">
      <w:bodyDiv w:val="1"/>
      <w:marLeft w:val="0"/>
      <w:marRight w:val="0"/>
      <w:marTop w:val="0"/>
      <w:marBottom w:val="0"/>
      <w:divBdr>
        <w:top w:val="none" w:sz="0" w:space="0" w:color="auto"/>
        <w:left w:val="none" w:sz="0" w:space="0" w:color="auto"/>
        <w:bottom w:val="none" w:sz="0" w:space="0" w:color="auto"/>
        <w:right w:val="none" w:sz="0" w:space="0" w:color="auto"/>
      </w:divBdr>
    </w:div>
    <w:div w:id="840125235">
      <w:bodyDiv w:val="1"/>
      <w:marLeft w:val="0"/>
      <w:marRight w:val="0"/>
      <w:marTop w:val="0"/>
      <w:marBottom w:val="0"/>
      <w:divBdr>
        <w:top w:val="none" w:sz="0" w:space="0" w:color="auto"/>
        <w:left w:val="none" w:sz="0" w:space="0" w:color="auto"/>
        <w:bottom w:val="none" w:sz="0" w:space="0" w:color="auto"/>
        <w:right w:val="none" w:sz="0" w:space="0" w:color="auto"/>
      </w:divBdr>
    </w:div>
    <w:div w:id="1765496799">
      <w:bodyDiv w:val="1"/>
      <w:marLeft w:val="0"/>
      <w:marRight w:val="0"/>
      <w:marTop w:val="0"/>
      <w:marBottom w:val="0"/>
      <w:divBdr>
        <w:top w:val="none" w:sz="0" w:space="0" w:color="auto"/>
        <w:left w:val="none" w:sz="0" w:space="0" w:color="auto"/>
        <w:bottom w:val="none" w:sz="0" w:space="0" w:color="auto"/>
        <w:right w:val="none" w:sz="0" w:space="0" w:color="auto"/>
      </w:divBdr>
    </w:div>
    <w:div w:id="18497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gia\AppData\Local\Temp\Rar$DIa23500.47511\IOSPressBookArticleWordTemplate%20with%20Tex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uigia\Desktop\Progetto%20TME\Dati%20per%20deliverab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uigia\OneDrive%20-%20Universit&#224;%20di%20Napoli%20Federico%20II\Desktop\Progetto%20TME\Resul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60898605766986"/>
          <c:y val="5.605124430267746E-2"/>
          <c:w val="0.7326603621541341"/>
          <c:h val="0.68721027550514957"/>
        </c:manualLayout>
      </c:layout>
      <c:scatterChart>
        <c:scatterStyle val="lineMarker"/>
        <c:varyColors val="0"/>
        <c:ser>
          <c:idx val="1"/>
          <c:order val="1"/>
          <c:tx>
            <c:strRef>
              <c:f>'Prove in mare trovate in rete'!$E$12</c:f>
              <c:strCache>
                <c:ptCount val="1"/>
                <c:pt idx="0">
                  <c:v>[l/h]</c:v>
                </c:pt>
              </c:strCache>
            </c:strRef>
          </c:tx>
          <c:spPr>
            <a:ln w="6350" cap="rnd">
              <a:solidFill>
                <a:schemeClr val="tx1"/>
              </a:solidFill>
              <a:prstDash val="dash"/>
              <a:round/>
            </a:ln>
            <a:effectLst/>
          </c:spPr>
          <c:marker>
            <c:symbol val="none"/>
          </c:marker>
          <c:xVal>
            <c:numRef>
              <c:f>'Prove in mare trovate in rete'!$K$31:$K$41</c:f>
              <c:numCache>
                <c:formatCode>General</c:formatCode>
                <c:ptCount val="11"/>
                <c:pt idx="0">
                  <c:v>600</c:v>
                </c:pt>
                <c:pt idx="1">
                  <c:v>1000</c:v>
                </c:pt>
                <c:pt idx="2">
                  <c:v>1500</c:v>
                </c:pt>
                <c:pt idx="3">
                  <c:v>2000</c:v>
                </c:pt>
                <c:pt idx="4">
                  <c:v>2500</c:v>
                </c:pt>
                <c:pt idx="5">
                  <c:v>3000</c:v>
                </c:pt>
                <c:pt idx="6">
                  <c:v>3500</c:v>
                </c:pt>
                <c:pt idx="7">
                  <c:v>4000</c:v>
                </c:pt>
                <c:pt idx="8">
                  <c:v>4500</c:v>
                </c:pt>
                <c:pt idx="9">
                  <c:v>5000</c:v>
                </c:pt>
                <c:pt idx="10">
                  <c:v>6300</c:v>
                </c:pt>
              </c:numCache>
            </c:numRef>
          </c:xVal>
          <c:yVal>
            <c:numRef>
              <c:f>'Prove in mare trovate in rete'!$M$31:$M$41</c:f>
              <c:numCache>
                <c:formatCode>General</c:formatCode>
                <c:ptCount val="11"/>
                <c:pt idx="0">
                  <c:v>4.7</c:v>
                </c:pt>
                <c:pt idx="1">
                  <c:v>8.3000000000000007</c:v>
                </c:pt>
                <c:pt idx="2">
                  <c:v>14.8</c:v>
                </c:pt>
                <c:pt idx="3">
                  <c:v>22</c:v>
                </c:pt>
                <c:pt idx="4">
                  <c:v>31.3</c:v>
                </c:pt>
                <c:pt idx="5">
                  <c:v>48</c:v>
                </c:pt>
                <c:pt idx="6">
                  <c:v>64</c:v>
                </c:pt>
                <c:pt idx="7">
                  <c:v>79</c:v>
                </c:pt>
                <c:pt idx="8">
                  <c:v>110</c:v>
                </c:pt>
                <c:pt idx="9">
                  <c:v>125</c:v>
                </c:pt>
                <c:pt idx="10">
                  <c:v>210</c:v>
                </c:pt>
              </c:numCache>
            </c:numRef>
          </c:yVal>
          <c:smooth val="0"/>
          <c:extLst xmlns:c16r2="http://schemas.microsoft.com/office/drawing/2015/06/chart">
            <c:ext xmlns:c16="http://schemas.microsoft.com/office/drawing/2014/chart" uri="{C3380CC4-5D6E-409C-BE32-E72D297353CC}">
              <c16:uniqueId val="{00000000-0B9B-4CE8-83B8-3C40609A66CA}"/>
            </c:ext>
          </c:extLst>
        </c:ser>
        <c:dLbls>
          <c:showLegendKey val="0"/>
          <c:showVal val="0"/>
          <c:showCatName val="0"/>
          <c:showSerName val="0"/>
          <c:showPercent val="0"/>
          <c:showBubbleSize val="0"/>
        </c:dLbls>
        <c:axId val="366248088"/>
        <c:axId val="366248872"/>
      </c:scatterChart>
      <c:scatterChart>
        <c:scatterStyle val="lineMarker"/>
        <c:varyColors val="0"/>
        <c:ser>
          <c:idx val="0"/>
          <c:order val="0"/>
          <c:tx>
            <c:strRef>
              <c:f>'Prove in mare trovate in rete'!$D$12</c:f>
              <c:strCache>
                <c:ptCount val="1"/>
                <c:pt idx="0">
                  <c:v>[kn ]</c:v>
                </c:pt>
              </c:strCache>
            </c:strRef>
          </c:tx>
          <c:spPr>
            <a:ln w="6350" cap="rnd">
              <a:solidFill>
                <a:schemeClr val="tx1"/>
              </a:solidFill>
              <a:round/>
            </a:ln>
            <a:effectLst/>
          </c:spPr>
          <c:marker>
            <c:symbol val="none"/>
          </c:marker>
          <c:xVal>
            <c:numRef>
              <c:f>'Prove in mare trovate in rete'!$K$31:$K$41</c:f>
              <c:numCache>
                <c:formatCode>General</c:formatCode>
                <c:ptCount val="11"/>
                <c:pt idx="0">
                  <c:v>600</c:v>
                </c:pt>
                <c:pt idx="1">
                  <c:v>1000</c:v>
                </c:pt>
                <c:pt idx="2">
                  <c:v>1500</c:v>
                </c:pt>
                <c:pt idx="3">
                  <c:v>2000</c:v>
                </c:pt>
                <c:pt idx="4">
                  <c:v>2500</c:v>
                </c:pt>
                <c:pt idx="5">
                  <c:v>3000</c:v>
                </c:pt>
                <c:pt idx="6">
                  <c:v>3500</c:v>
                </c:pt>
                <c:pt idx="7">
                  <c:v>4000</c:v>
                </c:pt>
                <c:pt idx="8">
                  <c:v>4500</c:v>
                </c:pt>
                <c:pt idx="9">
                  <c:v>5000</c:v>
                </c:pt>
                <c:pt idx="10">
                  <c:v>6300</c:v>
                </c:pt>
              </c:numCache>
            </c:numRef>
          </c:xVal>
          <c:yVal>
            <c:numRef>
              <c:f>'Prove in mare trovate in rete'!$L$31:$L$41</c:f>
              <c:numCache>
                <c:formatCode>General</c:formatCode>
                <c:ptCount val="11"/>
                <c:pt idx="0">
                  <c:v>3.8</c:v>
                </c:pt>
                <c:pt idx="1">
                  <c:v>5.5</c:v>
                </c:pt>
                <c:pt idx="2">
                  <c:v>7.7</c:v>
                </c:pt>
                <c:pt idx="3">
                  <c:v>10.6</c:v>
                </c:pt>
                <c:pt idx="4">
                  <c:v>15.4</c:v>
                </c:pt>
                <c:pt idx="5">
                  <c:v>22.6</c:v>
                </c:pt>
                <c:pt idx="6">
                  <c:v>28</c:v>
                </c:pt>
                <c:pt idx="7">
                  <c:v>32</c:v>
                </c:pt>
                <c:pt idx="8">
                  <c:v>38.700000000000003</c:v>
                </c:pt>
                <c:pt idx="9">
                  <c:v>42</c:v>
                </c:pt>
                <c:pt idx="10">
                  <c:v>54.5</c:v>
                </c:pt>
              </c:numCache>
            </c:numRef>
          </c:yVal>
          <c:smooth val="0"/>
          <c:extLst xmlns:c16r2="http://schemas.microsoft.com/office/drawing/2015/06/chart">
            <c:ext xmlns:c16="http://schemas.microsoft.com/office/drawing/2014/chart" uri="{C3380CC4-5D6E-409C-BE32-E72D297353CC}">
              <c16:uniqueId val="{00000001-0B9B-4CE8-83B8-3C40609A66CA}"/>
            </c:ext>
          </c:extLst>
        </c:ser>
        <c:dLbls>
          <c:showLegendKey val="0"/>
          <c:showVal val="0"/>
          <c:showCatName val="0"/>
          <c:showSerName val="0"/>
          <c:showPercent val="0"/>
          <c:showBubbleSize val="0"/>
        </c:dLbls>
        <c:axId val="491194720"/>
        <c:axId val="491195112"/>
      </c:scatterChart>
      <c:valAx>
        <c:axId val="366248088"/>
        <c:scaling>
          <c:orientation val="minMax"/>
          <c:max val="70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[rpm]</a:t>
                </a:r>
              </a:p>
            </c:rich>
          </c:tx>
          <c:layout>
            <c:manualLayout>
              <c:xMode val="edge"/>
              <c:yMode val="edge"/>
              <c:x val="0.43530045206028906"/>
              <c:y val="0.86379575383879603"/>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366248872"/>
        <c:crosses val="autoZero"/>
        <c:crossBetween val="midCat"/>
      </c:valAx>
      <c:valAx>
        <c:axId val="366248872"/>
        <c:scaling>
          <c:orientation val="minMax"/>
          <c:max val="24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consumption [l/h]</a:t>
                </a:r>
              </a:p>
            </c:rich>
          </c:tx>
          <c:layout>
            <c:manualLayout>
              <c:xMode val="edge"/>
              <c:yMode val="edge"/>
              <c:x val="3.6812775757615272E-3"/>
              <c:y val="7.3348206474190727E-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366248088"/>
        <c:crosses val="autoZero"/>
        <c:crossBetween val="midCat"/>
        <c:majorUnit val="80"/>
      </c:valAx>
      <c:valAx>
        <c:axId val="491195112"/>
        <c:scaling>
          <c:orientation val="minMax"/>
        </c:scaling>
        <c:delete val="0"/>
        <c:axPos val="r"/>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speed [kn]</a:t>
                </a:r>
              </a:p>
            </c:rich>
          </c:tx>
          <c:layout>
            <c:manualLayout>
              <c:xMode val="edge"/>
              <c:yMode val="edge"/>
              <c:x val="0.93176057788554312"/>
              <c:y val="0.227130339727056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491194720"/>
        <c:crosses val="max"/>
        <c:crossBetween val="midCat"/>
        <c:majorUnit val="20"/>
      </c:valAx>
      <c:valAx>
        <c:axId val="491194720"/>
        <c:scaling>
          <c:orientation val="minMax"/>
        </c:scaling>
        <c:delete val="1"/>
        <c:axPos val="b"/>
        <c:numFmt formatCode="General" sourceLinked="1"/>
        <c:majorTickMark val="out"/>
        <c:minorTickMark val="none"/>
        <c:tickLblPos val="nextTo"/>
        <c:crossAx val="491195112"/>
        <c:crosses val="autoZero"/>
        <c:crossBetween val="midCat"/>
      </c:valAx>
      <c:spPr>
        <a:noFill/>
        <a:ln>
          <a:noFill/>
        </a:ln>
        <a:effectLst/>
      </c:spPr>
    </c:plotArea>
    <c:legend>
      <c:legendPos val="b"/>
      <c:layout>
        <c:manualLayout>
          <c:xMode val="edge"/>
          <c:yMode val="edge"/>
          <c:x val="0.14034174558095799"/>
          <c:y val="6.2317544962308569E-2"/>
          <c:w val="0.23878422917280093"/>
          <c:h val="0.3119070577258655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97362704411447"/>
          <c:y val="5.5499495459132187E-2"/>
          <c:w val="0.7884709050647225"/>
          <c:h val="0.73569698283127449"/>
        </c:manualLayout>
      </c:layout>
      <c:scatterChart>
        <c:scatterStyle val="lineMarker"/>
        <c:varyColors val="0"/>
        <c:ser>
          <c:idx val="0"/>
          <c:order val="0"/>
          <c:tx>
            <c:v>Seatrials</c:v>
          </c:tx>
          <c:spPr>
            <a:ln w="9525" cap="rnd">
              <a:solidFill>
                <a:schemeClr val="accent1"/>
              </a:solidFill>
              <a:round/>
            </a:ln>
            <a:effectLst/>
          </c:spPr>
          <c:marker>
            <c:symbol val="square"/>
            <c:size val="3"/>
            <c:spPr>
              <a:noFill/>
              <a:ln w="9525">
                <a:solidFill>
                  <a:schemeClr val="accent1"/>
                </a:solidFill>
              </a:ln>
              <a:effectLst/>
            </c:spPr>
          </c:marker>
          <c:dLbls>
            <c:dLbl>
              <c:idx val="11"/>
              <c:layout>
                <c:manualLayout>
                  <c:x val="-3.6703982382089804E-3"/>
                  <c:y val="-2.57731958762886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E32-450F-88CD-F85F56107A97}"/>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'Prove in mare trovate in rete'!$P$31:$P$42</c:f>
              <c:numCache>
                <c:formatCode>General</c:formatCode>
                <c:ptCount val="12"/>
                <c:pt idx="0">
                  <c:v>600</c:v>
                </c:pt>
                <c:pt idx="1">
                  <c:v>1000</c:v>
                </c:pt>
                <c:pt idx="2">
                  <c:v>1500</c:v>
                </c:pt>
                <c:pt idx="3">
                  <c:v>2000</c:v>
                </c:pt>
                <c:pt idx="4">
                  <c:v>2500</c:v>
                </c:pt>
                <c:pt idx="5">
                  <c:v>3000</c:v>
                </c:pt>
                <c:pt idx="6">
                  <c:v>3500</c:v>
                </c:pt>
                <c:pt idx="7">
                  <c:v>4000</c:v>
                </c:pt>
                <c:pt idx="8">
                  <c:v>4500</c:v>
                </c:pt>
                <c:pt idx="9">
                  <c:v>5000</c:v>
                </c:pt>
                <c:pt idx="10">
                  <c:v>6000</c:v>
                </c:pt>
                <c:pt idx="11">
                  <c:v>6300</c:v>
                </c:pt>
              </c:numCache>
            </c:numRef>
          </c:xVal>
          <c:yVal>
            <c:numRef>
              <c:f>'Prove in mare trovate in rete'!$S$31:$S$42</c:f>
              <c:numCache>
                <c:formatCode>General</c:formatCode>
                <c:ptCount val="12"/>
                <c:pt idx="0">
                  <c:v>2.35</c:v>
                </c:pt>
                <c:pt idx="1">
                  <c:v>4.1500000000000004</c:v>
                </c:pt>
                <c:pt idx="2">
                  <c:v>7.4</c:v>
                </c:pt>
                <c:pt idx="3">
                  <c:v>11</c:v>
                </c:pt>
                <c:pt idx="4">
                  <c:v>15.65</c:v>
                </c:pt>
                <c:pt idx="5">
                  <c:v>24</c:v>
                </c:pt>
                <c:pt idx="6">
                  <c:v>32</c:v>
                </c:pt>
                <c:pt idx="7">
                  <c:v>39.5</c:v>
                </c:pt>
                <c:pt idx="8">
                  <c:v>55</c:v>
                </c:pt>
                <c:pt idx="9">
                  <c:v>62.5</c:v>
                </c:pt>
                <c:pt idx="10">
                  <c:v>73.935400000000001</c:v>
                </c:pt>
                <c:pt idx="11">
                  <c:v>83.205399999999997</c:v>
                </c:pt>
              </c:numCache>
            </c:numRef>
          </c:yVal>
          <c:smooth val="0"/>
          <c:extLst xmlns:c16r2="http://schemas.microsoft.com/office/drawing/2015/06/chart">
            <c:ext xmlns:c16="http://schemas.microsoft.com/office/drawing/2014/chart" uri="{C3380CC4-5D6E-409C-BE32-E72D297353CC}">
              <c16:uniqueId val="{00000000-AD61-47DE-A874-37299C3E9570}"/>
            </c:ext>
          </c:extLst>
        </c:ser>
        <c:ser>
          <c:idx val="1"/>
          <c:order val="1"/>
          <c:tx>
            <c:v>Simulations</c:v>
          </c:tx>
          <c:spPr>
            <a:ln w="9525" cap="rnd">
              <a:solidFill>
                <a:schemeClr val="accent2"/>
              </a:solidFill>
              <a:round/>
            </a:ln>
            <a:effectLst/>
          </c:spPr>
          <c:marker>
            <c:symbol val="x"/>
            <c:size val="3"/>
            <c:spPr>
              <a:noFill/>
              <a:ln w="9525">
                <a:solidFill>
                  <a:schemeClr val="accent2"/>
                </a:solidFill>
              </a:ln>
              <a:effectLst/>
            </c:spPr>
          </c:marker>
          <c:dLbls>
            <c:dLbl>
              <c:idx val="0"/>
              <c:layout>
                <c:manualLayout>
                  <c:x val="-3.3033584143879614E-2"/>
                  <c:y val="0.1030927835051546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E32-450F-88CD-F85F56107A97}"/>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'Prove in mare trovate in rete'!$S$3:$S$8</c:f>
              <c:numCache>
                <c:formatCode>General</c:formatCode>
                <c:ptCount val="6"/>
                <c:pt idx="0">
                  <c:v>6300</c:v>
                </c:pt>
                <c:pt idx="1">
                  <c:v>6000</c:v>
                </c:pt>
                <c:pt idx="2">
                  <c:v>5000</c:v>
                </c:pt>
                <c:pt idx="3">
                  <c:v>4500</c:v>
                </c:pt>
                <c:pt idx="4">
                  <c:v>4000</c:v>
                </c:pt>
                <c:pt idx="5">
                  <c:v>3000</c:v>
                </c:pt>
              </c:numCache>
            </c:numRef>
          </c:xVal>
          <c:yVal>
            <c:numRef>
              <c:f>'Prove in mare trovate in rete'!$T$3:$T$8</c:f>
              <c:numCache>
                <c:formatCode>General</c:formatCode>
                <c:ptCount val="6"/>
                <c:pt idx="0" formatCode="#,##0">
                  <c:v>76.22</c:v>
                </c:pt>
                <c:pt idx="1">
                  <c:v>76.180000000000007</c:v>
                </c:pt>
                <c:pt idx="2" formatCode="#,##0">
                  <c:v>62.6708</c:v>
                </c:pt>
                <c:pt idx="3" formatCode="#,##0">
                  <c:v>55.484200000000001</c:v>
                </c:pt>
                <c:pt idx="4" formatCode="#,##0">
                  <c:v>48.147799999999997</c:v>
                </c:pt>
                <c:pt idx="5" formatCode="#,##0">
                  <c:v>31.1</c:v>
                </c:pt>
              </c:numCache>
            </c:numRef>
          </c:yVal>
          <c:smooth val="0"/>
          <c:extLst xmlns:c16r2="http://schemas.microsoft.com/office/drawing/2015/06/chart">
            <c:ext xmlns:c16="http://schemas.microsoft.com/office/drawing/2014/chart" uri="{C3380CC4-5D6E-409C-BE32-E72D297353CC}">
              <c16:uniqueId val="{00000001-AD61-47DE-A874-37299C3E9570}"/>
            </c:ext>
          </c:extLst>
        </c:ser>
        <c:dLbls>
          <c:showLegendKey val="0"/>
          <c:showVal val="0"/>
          <c:showCatName val="0"/>
          <c:showSerName val="0"/>
          <c:showPercent val="0"/>
          <c:showBubbleSize val="0"/>
        </c:dLbls>
        <c:axId val="491193936"/>
        <c:axId val="491195896"/>
      </c:scatterChart>
      <c:valAx>
        <c:axId val="491193936"/>
        <c:scaling>
          <c:orientation val="minMax"/>
          <c:min val="4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rpm</a:t>
                </a:r>
              </a:p>
            </c:rich>
          </c:tx>
          <c:layout>
            <c:manualLayout>
              <c:xMode val="edge"/>
              <c:yMode val="edge"/>
              <c:x val="0.51594383423672341"/>
              <c:y val="0.78834591552344613"/>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491195896"/>
        <c:crosses val="autoZero"/>
        <c:crossBetween val="midCat"/>
      </c:valAx>
      <c:valAx>
        <c:axId val="491195896"/>
        <c:scaling>
          <c:orientation val="minMax"/>
          <c:min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Specific fuel consumption (g/kWh)</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491193936"/>
        <c:crosses val="autoZero"/>
        <c:crossBetween val="midCat"/>
        <c:majorUnit val="15"/>
      </c:valAx>
      <c:spPr>
        <a:noFill/>
        <a:ln>
          <a:noFill/>
        </a:ln>
        <a:effectLst/>
      </c:spPr>
    </c:plotArea>
    <c:legend>
      <c:legendPos val="r"/>
      <c:layout>
        <c:manualLayout>
          <c:xMode val="edge"/>
          <c:yMode val="edge"/>
          <c:x val="0.35817747191049937"/>
          <c:y val="0.6653018372703412"/>
          <c:w val="0.59420793234179059"/>
          <c:h val="0.10964030606164139"/>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8037-9C84-42C6-8975-8DE0FE1A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Text.dotx</Template>
  <TotalTime>134</TotalTime>
  <Pages>8</Pages>
  <Words>3643</Words>
  <Characters>20771</Characters>
  <Application>Microsoft Office Word</Application>
  <DocSecurity>0</DocSecurity>
  <Lines>173</Lines>
  <Paragraphs>48</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24366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luigia</dc:creator>
  <cp:keywords/>
  <cp:lastModifiedBy>luigia mocerino</cp:lastModifiedBy>
  <cp:revision>12</cp:revision>
  <cp:lastPrinted>2022-04-05T13:24:00Z</cp:lastPrinted>
  <dcterms:created xsi:type="dcterms:W3CDTF">2022-03-29T16:39:00Z</dcterms:created>
  <dcterms:modified xsi:type="dcterms:W3CDTF">2022-04-05T13:25:00Z</dcterms:modified>
</cp:coreProperties>
</file>