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05D6E" w:rsidP="00087524" w:rsidRDefault="00087524" w14:paraId="7163699E" w14:textId="2DEC1958">
      <w:pPr>
        <w:pStyle w:val="Title"/>
      </w:pPr>
      <w:r>
        <w:t>Classifying the Innovation: The Certification of New Designs for Power Generation, Conversion and Energy Storage Focusing on the Reduction of Ships Emissions</w:t>
      </w:r>
    </w:p>
    <w:p w:rsidRPr="00460B4D" w:rsidR="00B05D6E" w:rsidRDefault="00395F65" w14:paraId="0DD7C784" w14:textId="0E9BBF93">
      <w:pPr>
        <w:pStyle w:val="Author"/>
        <w:rPr>
          <w:lang w:val="it-IT"/>
        </w:rPr>
      </w:pPr>
      <w:r w:rsidRPr="00460B4D">
        <w:rPr>
          <w:lang w:val="it-IT"/>
        </w:rPr>
        <w:t>Matteo</w:t>
      </w:r>
      <w:r w:rsidRPr="00460B4D" w:rsidR="00B05D6E">
        <w:rPr>
          <w:lang w:val="it-IT"/>
        </w:rPr>
        <w:t xml:space="preserve"> </w:t>
      </w:r>
      <w:proofErr w:type="spellStart"/>
      <w:r w:rsidRPr="00460B4D">
        <w:rPr>
          <w:lang w:val="it-IT"/>
        </w:rPr>
        <w:t>ROIAZ</w:t>
      </w:r>
      <w:r w:rsidRPr="00460B4D" w:rsidR="00B05D6E">
        <w:rPr>
          <w:vertAlign w:val="superscript"/>
          <w:lang w:val="it-IT"/>
        </w:rPr>
        <w:t>a</w:t>
      </w:r>
      <w:proofErr w:type="spellEnd"/>
      <w:r w:rsidRPr="00460B4D" w:rsidR="00B05D6E">
        <w:rPr>
          <w:vertAlign w:val="superscript"/>
          <w:lang w:val="it-IT"/>
        </w:rPr>
        <w:t>,</w:t>
      </w:r>
      <w:r w:rsidR="00B05D6E">
        <w:rPr>
          <w:rStyle w:val="FootnoteReference"/>
        </w:rPr>
        <w:footnoteReference w:id="2"/>
      </w:r>
      <w:r w:rsidRPr="00460B4D" w:rsidR="00B05D6E">
        <w:rPr>
          <w:lang w:val="it-IT"/>
        </w:rPr>
        <w:t xml:space="preserve"> </w:t>
      </w:r>
      <w:r w:rsidRPr="00460B4D" w:rsidR="00460B4D">
        <w:rPr>
          <w:lang w:val="it-IT"/>
        </w:rPr>
        <w:t xml:space="preserve">Paolo </w:t>
      </w:r>
      <w:proofErr w:type="spellStart"/>
      <w:r w:rsidRPr="00460B4D" w:rsidR="00460B4D">
        <w:rPr>
          <w:lang w:val="it-IT"/>
        </w:rPr>
        <w:t>SCIALLA</w:t>
      </w:r>
      <w:r w:rsidRPr="00460B4D" w:rsidR="00044F88">
        <w:rPr>
          <w:vertAlign w:val="superscript"/>
          <w:lang w:val="it-IT"/>
        </w:rPr>
        <w:t>a</w:t>
      </w:r>
      <w:proofErr w:type="spellEnd"/>
      <w:r w:rsidRPr="00460B4D" w:rsidR="00460B4D">
        <w:rPr>
          <w:lang w:val="it-IT"/>
        </w:rPr>
        <w:t xml:space="preserve">, Fabrizio </w:t>
      </w:r>
      <w:proofErr w:type="spellStart"/>
      <w:r w:rsidRPr="00460B4D" w:rsidR="00460B4D">
        <w:rPr>
          <w:lang w:val="it-IT"/>
        </w:rPr>
        <w:t>CADENARO</w:t>
      </w:r>
      <w:r w:rsidRPr="00460B4D" w:rsidR="00044F88">
        <w:rPr>
          <w:vertAlign w:val="superscript"/>
          <w:lang w:val="it-IT"/>
        </w:rPr>
        <w:t>a</w:t>
      </w:r>
      <w:proofErr w:type="spellEnd"/>
      <w:r w:rsidRPr="00460B4D" w:rsidR="00460B4D">
        <w:rPr>
          <w:lang w:val="it-IT"/>
        </w:rPr>
        <w:t xml:space="preserve">, </w:t>
      </w:r>
      <w:r w:rsidR="00460B4D">
        <w:rPr>
          <w:lang w:val="it-IT"/>
        </w:rPr>
        <w:t xml:space="preserve">Marco </w:t>
      </w:r>
      <w:proofErr w:type="spellStart"/>
      <w:r w:rsidR="00460B4D">
        <w:rPr>
          <w:lang w:val="it-IT"/>
        </w:rPr>
        <w:t>NARDO</w:t>
      </w:r>
      <w:r w:rsidRPr="00460B4D" w:rsidR="00044F88">
        <w:rPr>
          <w:vertAlign w:val="superscript"/>
          <w:lang w:val="it-IT"/>
        </w:rPr>
        <w:t>a</w:t>
      </w:r>
      <w:proofErr w:type="spellEnd"/>
      <w:r w:rsidR="00460B4D">
        <w:rPr>
          <w:lang w:val="it-IT"/>
        </w:rPr>
        <w:t xml:space="preserve">, Gabriele </w:t>
      </w:r>
      <w:proofErr w:type="spellStart"/>
      <w:r w:rsidR="00460B4D">
        <w:rPr>
          <w:lang w:val="it-IT"/>
        </w:rPr>
        <w:t>SANCIN</w:t>
      </w:r>
      <w:r w:rsidRPr="00460B4D" w:rsidR="00044F88">
        <w:rPr>
          <w:vertAlign w:val="superscript"/>
          <w:lang w:val="it-IT"/>
        </w:rPr>
        <w:t>a</w:t>
      </w:r>
      <w:proofErr w:type="spellEnd"/>
    </w:p>
    <w:p w:rsidRPr="00044F88" w:rsidR="00B05D6E" w:rsidRDefault="00B05D6E" w14:paraId="2A0DC2D5" w14:textId="35492CDD">
      <w:pPr>
        <w:pStyle w:val="Affiliation"/>
        <w:rPr>
          <w:lang w:val="en-GB"/>
        </w:rPr>
      </w:pPr>
      <w:r w:rsidRPr="00044F88">
        <w:rPr>
          <w:i w:val="0"/>
          <w:vertAlign w:val="superscript"/>
          <w:lang w:val="en-GB"/>
        </w:rPr>
        <w:t>a</w:t>
      </w:r>
      <w:r w:rsidRPr="00044F88">
        <w:rPr>
          <w:sz w:val="8"/>
          <w:szCs w:val="8"/>
          <w:lang w:val="en-GB"/>
        </w:rPr>
        <w:t xml:space="preserve"> </w:t>
      </w:r>
      <w:r w:rsidRPr="00044F88" w:rsidR="00044F88">
        <w:rPr>
          <w:lang w:val="en-GB"/>
        </w:rPr>
        <w:t>Lloyd’s Register</w:t>
      </w:r>
    </w:p>
    <w:p w:rsidR="00B05D6E" w:rsidP="008A5ABE" w:rsidRDefault="00B05D6E" w14:paraId="0B02B47E" w14:textId="2B18EF9D">
      <w:pPr>
        <w:pStyle w:val="Abstract"/>
      </w:pPr>
      <w:r w:rsidRPr="76C272FB">
        <w:rPr>
          <w:b/>
          <w:bCs/>
          <w:lang w:val="en-GB"/>
        </w:rPr>
        <w:t>Abstract.</w:t>
      </w:r>
      <w:r w:rsidRPr="76C272FB">
        <w:rPr>
          <w:lang w:val="en-GB"/>
        </w:rPr>
        <w:t xml:space="preserve"> </w:t>
      </w:r>
      <w:r w:rsidR="008A5ABE">
        <w:t>In recent times the ship building and yacht industries have seen a surge in the requests for the application to the power generation, conversion and energy storage of technologies which were previously reserved to land</w:t>
      </w:r>
      <w:r w:rsidR="00564F05">
        <w:t>-</w:t>
      </w:r>
      <w:r w:rsidR="008A5ABE">
        <w:t>based</w:t>
      </w:r>
      <w:r w:rsidR="00564F05">
        <w:t xml:space="preserve"> </w:t>
      </w:r>
      <w:r w:rsidR="008A5ABE">
        <w:t>uses or to niche sectors such as space, military, and scientific research. Such requests are often driven by</w:t>
      </w:r>
      <w:r w:rsidR="00564F05">
        <w:t xml:space="preserve"> </w:t>
      </w:r>
      <w:r w:rsidR="008A5ABE">
        <w:t>seeking cleaner exhaust emissions, more efficient fuel consumption and higher passenger and crew comfort.</w:t>
      </w:r>
      <w:r w:rsidR="00564F05">
        <w:t xml:space="preserve"> </w:t>
      </w:r>
      <w:r w:rsidR="008A5ABE">
        <w:t>Among these novel technologies we can mention fuel cells and (large) batteries based on Li-ion chemistries.</w:t>
      </w:r>
      <w:r w:rsidR="00564F05">
        <w:t xml:space="preserve"> </w:t>
      </w:r>
      <w:r w:rsidR="008A5ABE">
        <w:t xml:space="preserve">These solutions are not only unconventional per se, </w:t>
      </w:r>
      <w:proofErr w:type="gramStart"/>
      <w:r w:rsidR="008A5ABE">
        <w:t>they</w:t>
      </w:r>
      <w:proofErr w:type="gramEnd"/>
      <w:r w:rsidR="008A5ABE">
        <w:t xml:space="preserve"> also carry along the necessity for advanced electrical</w:t>
      </w:r>
      <w:r w:rsidR="00564F05">
        <w:t xml:space="preserve"> </w:t>
      </w:r>
      <w:r w:rsidR="008A5ABE">
        <w:t>system integration (even more so if combined in a hybrid architecture) or, for fuel cells, the need for the storage</w:t>
      </w:r>
      <w:r w:rsidR="00564F05">
        <w:t xml:space="preserve"> </w:t>
      </w:r>
      <w:r w:rsidR="008A5ABE">
        <w:t>of dedicated fuels, e.g., liquid, or compressed hydrogen or methanol, and fuel treatment, e.g., evaporators and</w:t>
      </w:r>
      <w:r w:rsidR="00564F05">
        <w:t xml:space="preserve"> </w:t>
      </w:r>
      <w:r w:rsidR="008A5ABE">
        <w:t>chemical reformers. The lack of prescriptive regulations covering such innovative solutions, both in terms of</w:t>
      </w:r>
      <w:r w:rsidR="00564F05">
        <w:t xml:space="preserve"> </w:t>
      </w:r>
      <w:r w:rsidR="008A5ABE">
        <w:t>equipment and fuel, adds in challenge to their acceptance and certification from Regulatory Bodies and Flag</w:t>
      </w:r>
      <w:r w:rsidR="00564F05">
        <w:t xml:space="preserve"> </w:t>
      </w:r>
      <w:r w:rsidR="008A5ABE">
        <w:t>Administrations. Furthermore, although high-level guidelines are provided, they often need to be tailored</w:t>
      </w:r>
      <w:r w:rsidR="00564F05">
        <w:t xml:space="preserve"> </w:t>
      </w:r>
      <w:r w:rsidR="008A5ABE">
        <w:t>on a case-by-case basis and integrated with risk assessment exercises. The aim of this work is to give a</w:t>
      </w:r>
      <w:r w:rsidR="00564F05">
        <w:t xml:space="preserve"> </w:t>
      </w:r>
      <w:r w:rsidR="008A5ABE">
        <w:t>comprehensive overview of the Classification tools available to date – be it prescriptive or risk-based – for</w:t>
      </w:r>
      <w:r w:rsidR="00564F05">
        <w:t xml:space="preserve"> </w:t>
      </w:r>
      <w:r w:rsidR="008A5ABE">
        <w:t>the approval of novel designs and how do they relate to the existing statutory guidelines and to the established</w:t>
      </w:r>
      <w:r w:rsidR="00564F05">
        <w:t xml:space="preserve"> </w:t>
      </w:r>
      <w:r w:rsidR="008A5ABE">
        <w:t>risk analysis instruments. The discussion will be corroborated by insights into some hands-on case studies in</w:t>
      </w:r>
      <w:r w:rsidR="00564F05">
        <w:t xml:space="preserve"> </w:t>
      </w:r>
      <w:r w:rsidR="008A5ABE">
        <w:t>the yacht and cruise ship industry segments.</w:t>
      </w:r>
    </w:p>
    <w:p w:rsidR="00B05D6E" w:rsidRDefault="00B05D6E" w14:paraId="01D30218" w14:textId="0321C76C">
      <w:pPr>
        <w:pStyle w:val="Keywords"/>
      </w:pPr>
      <w:r>
        <w:rPr>
          <w:b/>
        </w:rPr>
        <w:t>Keywords.</w:t>
      </w:r>
      <w:r>
        <w:t xml:space="preserve"> </w:t>
      </w:r>
      <w:r w:rsidR="00363118">
        <w:t xml:space="preserve">Lloyd’s Register, </w:t>
      </w:r>
      <w:r w:rsidR="004C29F5">
        <w:t>Classification,</w:t>
      </w:r>
      <w:r w:rsidR="00363118">
        <w:t xml:space="preserve"> </w:t>
      </w:r>
      <w:r w:rsidR="00482E62">
        <w:t xml:space="preserve">Alternative Design, Risk-based </w:t>
      </w:r>
      <w:r w:rsidR="00867F66">
        <w:t>c</w:t>
      </w:r>
      <w:r w:rsidR="00482E62">
        <w:t xml:space="preserve">ertification, Passenger </w:t>
      </w:r>
      <w:r w:rsidR="00867F66">
        <w:t>s</w:t>
      </w:r>
      <w:r w:rsidR="00482E62">
        <w:t xml:space="preserve">hip, Yacht, </w:t>
      </w:r>
      <w:r w:rsidR="00DA607F">
        <w:t xml:space="preserve">Natural gas, </w:t>
      </w:r>
      <w:r w:rsidR="00FA6BF8">
        <w:t>H</w:t>
      </w:r>
      <w:r w:rsidR="00DA607F">
        <w:t xml:space="preserve">ydrogen, </w:t>
      </w:r>
      <w:r w:rsidR="00FA6BF8">
        <w:t xml:space="preserve">Methanol, Ammonia, Lithium battery, Fuel cell, </w:t>
      </w:r>
      <w:r w:rsidR="00A754F1">
        <w:t>Hybrid, Power generation, Power conversion, Energy storage</w:t>
      </w:r>
      <w:r w:rsidR="00A37692">
        <w:t>.</w:t>
      </w:r>
    </w:p>
    <w:p w:rsidR="00B05D6E" w:rsidP="00F07FC3" w:rsidRDefault="00B05D6E" w14:paraId="17040EAA" w14:textId="78A2170D">
      <w:pPr>
        <w:pStyle w:val="Heading1"/>
      </w:pPr>
      <w:r>
        <w:t>Introduction</w:t>
      </w:r>
    </w:p>
    <w:p w:rsidRPr="00EC49E7" w:rsidR="00EC49E7" w:rsidP="00EC49E7" w:rsidRDefault="007D4697" w14:paraId="7D5B55B7" w14:textId="10CC80C9">
      <w:pPr>
        <w:pStyle w:val="NoindentNormal"/>
      </w:pPr>
      <w:r w:rsidR="007D4697">
        <w:rPr/>
        <w:t xml:space="preserve">In the search for cleaner </w:t>
      </w:r>
      <w:r w:rsidR="00416B72">
        <w:rPr/>
        <w:t xml:space="preserve">exhaust gas emission, several </w:t>
      </w:r>
      <w:r w:rsidR="00E168A1">
        <w:rPr/>
        <w:t>energy sources</w:t>
      </w:r>
      <w:r w:rsidR="008D106D">
        <w:rPr/>
        <w:t xml:space="preserve"> other than oil-based</w:t>
      </w:r>
      <w:r w:rsidR="00416B72">
        <w:rPr/>
        <w:t xml:space="preserve"> are currently being </w:t>
      </w:r>
      <w:r w:rsidR="008D106D">
        <w:rPr/>
        <w:t xml:space="preserve">investigated for maritime applications. </w:t>
      </w:r>
      <w:r w:rsidR="0070293F">
        <w:rPr/>
        <w:t xml:space="preserve">Some of these </w:t>
      </w:r>
      <w:r w:rsidR="00E168A1">
        <w:rPr/>
        <w:t>are</w:t>
      </w:r>
      <w:r w:rsidR="005A5491">
        <w:rPr/>
        <w:t xml:space="preserve"> </w:t>
      </w:r>
      <w:r w:rsidR="005A5491">
        <w:rPr/>
        <w:t>reviewed</w:t>
      </w:r>
      <w:r w:rsidR="00E168A1">
        <w:rPr/>
        <w:t xml:space="preserve"> below, both from the fuels </w:t>
      </w:r>
      <w:r w:rsidR="00DE132B">
        <w:rPr/>
        <w:t xml:space="preserve">perspective (such as hydrogen, ammonia, methanol) and power equipment one (fuel cells, lithium batteries, hybrid power systems). </w:t>
      </w:r>
      <w:r w:rsidR="00574021">
        <w:rPr/>
        <w:t xml:space="preserve">The available Flag Administration and Class </w:t>
      </w:r>
      <w:r w:rsidR="00D84EFD">
        <w:rPr/>
        <w:t xml:space="preserve">approval </w:t>
      </w:r>
      <w:r w:rsidR="004B25CF">
        <w:rPr/>
        <w:t xml:space="preserve">tools and </w:t>
      </w:r>
      <w:r w:rsidR="00D84EFD">
        <w:rPr/>
        <w:t>resources are then discussed for such solutions. For certain applications, an Alternative Design and/</w:t>
      </w:r>
      <w:r w:rsidR="00024C16">
        <w:rPr/>
        <w:t xml:space="preserve">or risk-based certification approaches need to be followed, and </w:t>
      </w:r>
      <w:r w:rsidR="00991B41">
        <w:rPr/>
        <w:t>they are accordingly described.</w:t>
      </w:r>
    </w:p>
    <w:p w:rsidR="00B05D6E" w:rsidRDefault="00C13F59" w14:paraId="597049C9" w14:textId="6630775F">
      <w:pPr>
        <w:pStyle w:val="Heading1"/>
        <w:rPr>
          <w:szCs w:val="20"/>
          <w:lang w:eastAsia="en-US"/>
        </w:rPr>
      </w:pPr>
      <w:r>
        <w:rPr>
          <w:lang w:eastAsia="en-US"/>
        </w:rPr>
        <w:t xml:space="preserve">Unconventional fuels and </w:t>
      </w:r>
      <w:r w:rsidR="00AE389B">
        <w:rPr>
          <w:lang w:eastAsia="en-US"/>
        </w:rPr>
        <w:t xml:space="preserve">power </w:t>
      </w:r>
      <w:r>
        <w:rPr>
          <w:lang w:eastAsia="en-US"/>
        </w:rPr>
        <w:t>equipment</w:t>
      </w:r>
    </w:p>
    <w:p w:rsidR="00B05D6E" w:rsidRDefault="7C584EC8" w14:paraId="07455ADE" w14:textId="23F47AF4">
      <w:pPr>
        <w:pStyle w:val="Heading2"/>
        <w:rPr>
          <w:lang w:eastAsia="en-US"/>
        </w:rPr>
      </w:pPr>
      <w:r w:rsidRPr="3529857D">
        <w:rPr>
          <w:lang w:eastAsia="en-US"/>
        </w:rPr>
        <w:t>Unconventional fuels</w:t>
      </w:r>
    </w:p>
    <w:p w:rsidR="00B05D6E" w:rsidP="3353BEFB" w:rsidRDefault="5FE2B89A" w14:paraId="247E4E67" w14:textId="3894EF2C">
      <w:pPr>
        <w:pStyle w:val="NoindentNormal"/>
        <w:rPr>
          <w:rFonts w:eastAsia="Times New Roman"/>
        </w:rPr>
      </w:pPr>
      <w:r w:rsidRPr="5FAC9EA2">
        <w:rPr>
          <w:rFonts w:eastAsia="Times New Roman"/>
        </w:rPr>
        <w:t xml:space="preserve">Current day ships operate mostly on residual fuel such as </w:t>
      </w:r>
      <w:proofErr w:type="spellStart"/>
      <w:r w:rsidRPr="5FAC9EA2">
        <w:rPr>
          <w:rFonts w:eastAsia="Times New Roman"/>
        </w:rPr>
        <w:t>HFO</w:t>
      </w:r>
      <w:proofErr w:type="spellEnd"/>
      <w:r w:rsidRPr="5FAC9EA2">
        <w:rPr>
          <w:rFonts w:eastAsia="Times New Roman"/>
        </w:rPr>
        <w:t xml:space="preserve"> (heavy fuel oil) or distilled fuels like </w:t>
      </w:r>
      <w:proofErr w:type="spellStart"/>
      <w:r w:rsidRPr="5FAC9EA2">
        <w:rPr>
          <w:rFonts w:eastAsia="Times New Roman"/>
        </w:rPr>
        <w:t>MDO</w:t>
      </w:r>
      <w:proofErr w:type="spellEnd"/>
      <w:r w:rsidRPr="5FAC9EA2">
        <w:rPr>
          <w:rFonts w:eastAsia="Times New Roman"/>
        </w:rPr>
        <w:t xml:space="preserve"> (marine diesel oil). Various grades of such fuel exist. However, they are all hydrocarbon fuels based on oil. </w:t>
      </w:r>
      <w:r w:rsidRPr="5FAC9EA2" w:rsidR="11818D11">
        <w:rPr>
          <w:rFonts w:eastAsia="Times New Roman"/>
        </w:rPr>
        <w:t>This aspect</w:t>
      </w:r>
      <w:r w:rsidRPr="5FAC9EA2">
        <w:rPr>
          <w:rFonts w:eastAsia="Times New Roman"/>
        </w:rPr>
        <w:t xml:space="preserve"> has promoted the investigation of alternative fuels to eliminate or at least reduce the carbon dioxide (CO</w:t>
      </w:r>
      <w:r w:rsidRPr="5FAC9EA2">
        <w:rPr>
          <w:rFonts w:eastAsia="Times New Roman"/>
          <w:vertAlign w:val="subscript"/>
        </w:rPr>
        <w:t>2</w:t>
      </w:r>
      <w:r w:rsidRPr="5FAC9EA2">
        <w:rPr>
          <w:rFonts w:eastAsia="Times New Roman"/>
        </w:rPr>
        <w:t>) emissions. These fuels shall either be zero-carbon fuels, i.e., containing no carbon at all, thus ruling out all hydrocarbons; or net-zero fuels, i.e., fuels whose carbon content, released in the atmosphere during the combustion, is compensated by capturing it with technologies such as carbon capture or biofuels, where the plants would do that through photosynt</w:t>
      </w:r>
      <w:r w:rsidRPr="5FAC9EA2" w:rsidR="18520B29">
        <w:rPr>
          <w:rFonts w:eastAsia="Times New Roman"/>
        </w:rPr>
        <w:t>h</w:t>
      </w:r>
      <w:r w:rsidRPr="5FAC9EA2">
        <w:rPr>
          <w:rFonts w:eastAsia="Times New Roman"/>
        </w:rPr>
        <w:t>es</w:t>
      </w:r>
      <w:r w:rsidRPr="5FAC9EA2" w:rsidR="3B3F0221">
        <w:rPr>
          <w:rFonts w:eastAsia="Times New Roman"/>
        </w:rPr>
        <w:t>i</w:t>
      </w:r>
      <w:r w:rsidRPr="5FAC9EA2">
        <w:rPr>
          <w:rFonts w:eastAsia="Times New Roman"/>
        </w:rPr>
        <w:t>s.</w:t>
      </w:r>
    </w:p>
    <w:p w:rsidR="00B05D6E" w:rsidP="3353BEFB" w:rsidRDefault="5FE2B89A" w14:paraId="6690C484" w14:textId="3605CFAB">
      <w:pPr>
        <w:spacing w:line="259" w:lineRule="auto"/>
        <w:rPr>
          <w:rFonts w:eastAsia="Times New Roman"/>
        </w:rPr>
      </w:pPr>
      <w:r w:rsidRPr="1654FE34">
        <w:rPr>
          <w:rFonts w:eastAsia="Times New Roman"/>
        </w:rPr>
        <w:t>Among zero carbon fuels hydrogen, H</w:t>
      </w:r>
      <w:r w:rsidRPr="1654FE34">
        <w:rPr>
          <w:rFonts w:eastAsia="Times New Roman"/>
          <w:vertAlign w:val="subscript"/>
        </w:rPr>
        <w:t>2</w:t>
      </w:r>
      <w:r w:rsidRPr="1654FE34">
        <w:rPr>
          <w:rFonts w:eastAsia="Times New Roman"/>
        </w:rPr>
        <w:t xml:space="preserve">, is one of the most promising. It is a light, non-toxic, </w:t>
      </w:r>
      <w:proofErr w:type="spellStart"/>
      <w:r w:rsidRPr="1654FE34">
        <w:rPr>
          <w:rFonts w:eastAsia="Times New Roman"/>
        </w:rPr>
        <w:t>colourless</w:t>
      </w:r>
      <w:proofErr w:type="spellEnd"/>
      <w:r w:rsidRPr="1654FE34">
        <w:rPr>
          <w:rFonts w:eastAsia="Times New Roman"/>
        </w:rPr>
        <w:t xml:space="preserve"> and </w:t>
      </w:r>
      <w:proofErr w:type="spellStart"/>
      <w:r w:rsidRPr="1654FE34">
        <w:rPr>
          <w:rFonts w:eastAsia="Times New Roman"/>
        </w:rPr>
        <w:t>odourless</w:t>
      </w:r>
      <w:proofErr w:type="spellEnd"/>
      <w:r w:rsidRPr="1654FE34">
        <w:rPr>
          <w:rFonts w:eastAsia="Times New Roman"/>
        </w:rPr>
        <w:t xml:space="preserve"> gas, easily flammable in air between 4% and 75%. It liquefies at atmospheric pressure at abt. -254 °C and its critical point is at abt. -240 °C, making it difficult to liquefy and keep liquid due to the small liquid range. It </w:t>
      </w:r>
      <w:r w:rsidRPr="1654FE34" w:rsidR="6D358CE8">
        <w:rPr>
          <w:rFonts w:eastAsia="Times New Roman"/>
        </w:rPr>
        <w:t>maintains</w:t>
      </w:r>
      <w:r w:rsidRPr="1654FE34">
        <w:rPr>
          <w:rFonts w:eastAsia="Times New Roman"/>
        </w:rPr>
        <w:t xml:space="preserve"> its lightness in the liquid state with a density of abt. 71 kg/m</w:t>
      </w:r>
      <w:r w:rsidRPr="1654FE34">
        <w:rPr>
          <w:rFonts w:eastAsia="Times New Roman"/>
          <w:vertAlign w:val="superscript"/>
        </w:rPr>
        <w:t>3</w:t>
      </w:r>
      <w:r w:rsidRPr="1654FE34">
        <w:rPr>
          <w:rFonts w:eastAsia="Times New Roman"/>
        </w:rPr>
        <w:t xml:space="preserve">. Alternatively, chemical storage solutions exist for hydrogen, such as metal hydrides and </w:t>
      </w:r>
      <w:proofErr w:type="spellStart"/>
      <w:r w:rsidRPr="1654FE34">
        <w:rPr>
          <w:rFonts w:eastAsia="Times New Roman"/>
        </w:rPr>
        <w:t>LOHC</w:t>
      </w:r>
      <w:proofErr w:type="spellEnd"/>
      <w:r w:rsidRPr="1654FE34">
        <w:rPr>
          <w:rFonts w:eastAsia="Times New Roman"/>
        </w:rPr>
        <w:t xml:space="preserve"> (Liquid Organic Hydrogen Carriers), with the aim to reduce the risks and technical issues in storage while preserving and, if possible, improving the fuel storage density.</w:t>
      </w:r>
    </w:p>
    <w:p w:rsidR="00B05D6E" w:rsidP="5FAC9EA2" w:rsidRDefault="5FAC9EA2" w14:paraId="543FF742" w14:textId="5B43344C">
      <w:pPr>
        <w:spacing w:line="259" w:lineRule="auto"/>
        <w:rPr>
          <w:rFonts w:eastAsia="Times New Roman"/>
        </w:rPr>
      </w:pPr>
      <w:r w:rsidRPr="132193BD" w:rsidR="5FAC9EA2">
        <w:rPr>
          <w:rFonts w:eastAsia="Times New Roman"/>
        </w:rPr>
        <w:t>Another option is ammonia: with a chemical formula NH</w:t>
      </w:r>
      <w:r w:rsidRPr="132193BD" w:rsidR="5FAC9EA2">
        <w:rPr>
          <w:rFonts w:eastAsia="Times New Roman"/>
          <w:vertAlign w:val="subscript"/>
        </w:rPr>
        <w:t>3</w:t>
      </w:r>
      <w:r w:rsidRPr="132193BD" w:rsidR="5FAC9EA2">
        <w:rPr>
          <w:rFonts w:eastAsia="Times New Roman"/>
        </w:rPr>
        <w:t xml:space="preserve"> it contains no carbon, and a given volume of ammonia contains </w:t>
      </w:r>
      <w:r w:rsidRPr="132193BD" w:rsidR="5FAC9EA2">
        <w:rPr>
          <w:rFonts w:eastAsia="Times New Roman"/>
        </w:rPr>
        <w:t>almost twice</w:t>
      </w:r>
      <w:r w:rsidRPr="132193BD" w:rsidR="5FAC9EA2">
        <w:rPr>
          <w:rFonts w:eastAsia="Times New Roman"/>
        </w:rPr>
        <w:t xml:space="preserve"> as much hydrogen than pure hydrogen. It liquefies at -33 °C at atmospheric pressure and it is the most widely produced chemical in the world. This makes it an ideal candidate for </w:t>
      </w:r>
      <w:r w:rsidRPr="132193BD" w:rsidR="5FAC9EA2">
        <w:rPr>
          <w:rFonts w:eastAsia="Times New Roman"/>
        </w:rPr>
        <w:t>fuel;</w:t>
      </w:r>
      <w:r w:rsidRPr="132193BD" w:rsidR="5FAC9EA2">
        <w:rPr>
          <w:rFonts w:eastAsia="Times New Roman"/>
        </w:rPr>
        <w:t xml:space="preserve"> however, it has some drawbacks: it is highly toxic, in concentrations in the range of PPM in air and to be used with fuel cells it must be cracked first, separating the hydrogen from nitrogen. It is also typically dangerous to fuel cells, therefore even traces of it after cracking must be removed.</w:t>
      </w:r>
    </w:p>
    <w:p w:rsidR="00B05D6E" w:rsidP="5FAC9EA2" w:rsidRDefault="5FE2B89A" w14:paraId="31B64726" w14:textId="697AE136">
      <w:pPr>
        <w:spacing w:line="259" w:lineRule="auto"/>
        <w:rPr>
          <w:rFonts w:eastAsia="Times New Roman"/>
        </w:rPr>
      </w:pPr>
      <w:r w:rsidRPr="76C272FB">
        <w:rPr>
          <w:rFonts w:eastAsia="Times New Roman"/>
        </w:rPr>
        <w:t xml:space="preserve">Perhaps the most known net-zero fuel is methanol. It contains carbon, but it can be distilled from biomass: this means that the amount of carbon released into the atmosphere during the combustion phase matches that captured by the plant – source of the biomass – throughout its life, hence giving a zero balance. At atmospheric pressure and room temperature it is a liquid (volatile, with a boiling point of 65°C) and can be stored and handled as such. </w:t>
      </w:r>
    </w:p>
    <w:p w:rsidR="00B05D6E" w:rsidP="3353BEFB" w:rsidRDefault="5FE2B89A" w14:paraId="1EEA80C0" w14:textId="3B0F0112">
      <w:pPr>
        <w:spacing w:line="259" w:lineRule="auto"/>
        <w:rPr>
          <w:rFonts w:eastAsia="Times New Roman"/>
        </w:rPr>
      </w:pPr>
      <w:r w:rsidRPr="76C272FB">
        <w:rPr>
          <w:rFonts w:eastAsia="Times New Roman"/>
        </w:rPr>
        <w:t xml:space="preserve">All these fuels are in principle free of Sulphur therefore </w:t>
      </w:r>
      <w:proofErr w:type="spellStart"/>
      <w:r w:rsidRPr="76C272FB">
        <w:rPr>
          <w:rFonts w:eastAsia="Times New Roman"/>
        </w:rPr>
        <w:t>SO</w:t>
      </w:r>
      <w:r w:rsidRPr="76C272FB">
        <w:rPr>
          <w:rFonts w:eastAsia="Times New Roman"/>
          <w:vertAlign w:val="subscript"/>
        </w:rPr>
        <w:t>x</w:t>
      </w:r>
      <w:proofErr w:type="spellEnd"/>
      <w:r w:rsidRPr="76C272FB">
        <w:rPr>
          <w:rFonts w:eastAsia="Times New Roman"/>
        </w:rPr>
        <w:t xml:space="preserve"> are not released. Regarding NO</w:t>
      </w:r>
      <w:r w:rsidRPr="76C272FB">
        <w:rPr>
          <w:rFonts w:eastAsia="Times New Roman"/>
          <w:vertAlign w:val="subscript"/>
        </w:rPr>
        <w:t xml:space="preserve">x </w:t>
      </w:r>
      <w:r w:rsidRPr="76C272FB">
        <w:rPr>
          <w:rFonts w:eastAsia="Times New Roman"/>
        </w:rPr>
        <w:t>emissions, they depend on power generation technology rather than on fuel itself. In general, improvements over traditional hydrocarbon fuels can be obtained, especially using fuel cells, even though the amount of nitrogen contained in the ammonia may require some attention.</w:t>
      </w:r>
    </w:p>
    <w:p w:rsidR="007339D9" w:rsidP="007339D9" w:rsidRDefault="007339D9" w14:paraId="1A7E2477" w14:textId="4067256F">
      <w:pPr>
        <w:pStyle w:val="Heading2"/>
      </w:pPr>
      <w:r>
        <w:lastRenderedPageBreak/>
        <w:t xml:space="preserve">Unconventional </w:t>
      </w:r>
      <w:r w:rsidR="00E329F4">
        <w:t xml:space="preserve">power </w:t>
      </w:r>
      <w:r>
        <w:t>equipment</w:t>
      </w:r>
    </w:p>
    <w:p w:rsidR="3529857D" w:rsidP="3529857D" w:rsidRDefault="3529857D" w14:paraId="2CEBB172" w14:textId="11DBDC23">
      <w:pPr>
        <w:pStyle w:val="NoindentNormal"/>
        <w:spacing w:line="259" w:lineRule="auto"/>
        <w:rPr>
          <w:lang w:val="en-GB"/>
        </w:rPr>
      </w:pPr>
      <w:r w:rsidRPr="76C272FB">
        <w:rPr>
          <w:lang w:val="en-GB"/>
        </w:rPr>
        <w:t xml:space="preserve">The motivations which push towards the move to unconventional fuels (e.g., hydrogen, methanol, ammonia, etc.) versus the well-established </w:t>
      </w:r>
      <w:proofErr w:type="spellStart"/>
      <w:r w:rsidRPr="76C272FB">
        <w:rPr>
          <w:lang w:val="en-GB"/>
        </w:rPr>
        <w:t>HFO</w:t>
      </w:r>
      <w:proofErr w:type="spellEnd"/>
      <w:r w:rsidRPr="76C272FB">
        <w:rPr>
          <w:lang w:val="en-GB"/>
        </w:rPr>
        <w:t xml:space="preserve">, </w:t>
      </w:r>
      <w:proofErr w:type="spellStart"/>
      <w:r w:rsidRPr="76C272FB">
        <w:rPr>
          <w:lang w:val="en-GB"/>
        </w:rPr>
        <w:t>MDO</w:t>
      </w:r>
      <w:proofErr w:type="spellEnd"/>
      <w:r w:rsidRPr="76C272FB">
        <w:rPr>
          <w:lang w:val="en-GB"/>
        </w:rPr>
        <w:t xml:space="preserve"> carry along the need to modify the existing electric power generation and propulsion equipment or even develop entirely novel solutions.</w:t>
      </w:r>
    </w:p>
    <w:p w:rsidR="3529857D" w:rsidP="7B45BCD0" w:rsidRDefault="3529857D" w14:paraId="4B51CC45" w14:textId="14AE7E11">
      <w:pPr>
        <w:spacing w:line="259" w:lineRule="auto"/>
        <w:rPr>
          <w:lang w:val="en-GB"/>
        </w:rPr>
      </w:pPr>
      <w:r w:rsidRPr="76C272FB">
        <w:rPr>
          <w:lang w:val="en-GB"/>
        </w:rPr>
        <w:t xml:space="preserve">In fact, the chief power generation equipment is represented by the internal combustion engine (ICE) running on oil-based fuels. This is providing mechanical propulsion power – either directly or through gearing – or electrical power when driving an alternator since the beginning of 1900. While </w:t>
      </w:r>
      <w:proofErr w:type="spellStart"/>
      <w:r w:rsidRPr="76C272FB">
        <w:rPr>
          <w:lang w:val="en-GB"/>
        </w:rPr>
        <w:t>ICEs</w:t>
      </w:r>
      <w:proofErr w:type="spellEnd"/>
      <w:r w:rsidRPr="76C272FB">
        <w:rPr>
          <w:lang w:val="en-GB"/>
        </w:rPr>
        <w:t xml:space="preserve"> can in principle run on the unconventional fuels, no market-ready solutions are available to date.</w:t>
      </w:r>
    </w:p>
    <w:p w:rsidR="3529857D" w:rsidP="3529857D" w:rsidRDefault="3529857D" w14:paraId="34098A9F" w14:textId="44183C70">
      <w:pPr>
        <w:spacing w:line="259" w:lineRule="auto"/>
        <w:rPr>
          <w:lang w:val="en-GB"/>
        </w:rPr>
      </w:pPr>
      <w:r w:rsidRPr="76C272FB">
        <w:rPr>
          <w:lang w:val="en-GB"/>
        </w:rPr>
        <w:t xml:space="preserve">A parallel route consists in developing equipment that currently have less (if at all) heritage in merchant shipping. A candidate in this respect is represented by the fuel cell – a thermodynamic engine capable of directly converting to electrical work the energy released by the same oxidation reactions which can be exploited in </w:t>
      </w:r>
      <w:proofErr w:type="spellStart"/>
      <w:r w:rsidRPr="76C272FB">
        <w:rPr>
          <w:lang w:val="en-GB"/>
        </w:rPr>
        <w:t>ICEs</w:t>
      </w:r>
      <w:proofErr w:type="spellEnd"/>
      <w:r w:rsidRPr="76C272FB">
        <w:rPr>
          <w:lang w:val="en-GB"/>
        </w:rPr>
        <w:t xml:space="preserve"> [1]. Among the advantages of fuel cells to </w:t>
      </w:r>
      <w:proofErr w:type="spellStart"/>
      <w:r w:rsidRPr="76C272FB">
        <w:rPr>
          <w:lang w:val="en-GB"/>
        </w:rPr>
        <w:t>ICEs</w:t>
      </w:r>
      <w:proofErr w:type="spellEnd"/>
      <w:r w:rsidRPr="76C272FB">
        <w:rPr>
          <w:lang w:val="en-GB"/>
        </w:rPr>
        <w:t xml:space="preserve"> we can mention higher efficiency, virtually no moving parts, and silent operation. Several types of fuel cells are available, with the most common being the polymer electrolyte membrane fuel cell (</w:t>
      </w:r>
      <w:proofErr w:type="spellStart"/>
      <w:r w:rsidRPr="76C272FB">
        <w:rPr>
          <w:lang w:val="en-GB"/>
        </w:rPr>
        <w:t>PEMFC</w:t>
      </w:r>
      <w:proofErr w:type="spellEnd"/>
      <w:r w:rsidRPr="76C272FB">
        <w:rPr>
          <w:lang w:val="en-GB"/>
        </w:rPr>
        <w:t xml:space="preserve">) running on hydrogen and air. Hydrogen can either be directly fed from a storage onboard or obtained from other fuels such as methane or methanol by steam reforming, and from ammonia by cracking [2]. Furthermore, other fuel cell types running on different fuels (direct methanol </w:t>
      </w:r>
      <w:proofErr w:type="spellStart"/>
      <w:r w:rsidRPr="76C272FB">
        <w:rPr>
          <w:lang w:val="en-GB"/>
        </w:rPr>
        <w:t>PEMFC</w:t>
      </w:r>
      <w:proofErr w:type="spellEnd"/>
      <w:r w:rsidRPr="76C272FB">
        <w:rPr>
          <w:lang w:val="en-GB"/>
        </w:rPr>
        <w:t>,</w:t>
      </w:r>
      <w:r w:rsidRPr="76C272FB" w:rsidR="00B2670F">
        <w:rPr>
          <w:lang w:val="en-GB"/>
        </w:rPr>
        <w:t xml:space="preserve"> ammonia fuel cell,</w:t>
      </w:r>
      <w:r w:rsidRPr="76C272FB">
        <w:rPr>
          <w:lang w:val="en-GB"/>
        </w:rPr>
        <w:t xml:space="preserve"> </w:t>
      </w:r>
      <w:proofErr w:type="spellStart"/>
      <w:r w:rsidRPr="76C272FB">
        <w:rPr>
          <w:lang w:val="en-GB"/>
        </w:rPr>
        <w:t>SOFC</w:t>
      </w:r>
      <w:proofErr w:type="spellEnd"/>
      <w:r w:rsidRPr="76C272FB">
        <w:rPr>
          <w:lang w:val="en-GB"/>
        </w:rPr>
        <w:t xml:space="preserve"> (solid oxide fuel cell) with internal reforming of methane</w:t>
      </w:r>
      <w:r w:rsidRPr="76C272FB" w:rsidR="00B2670F">
        <w:rPr>
          <w:lang w:val="en-GB"/>
        </w:rPr>
        <w:t>, etc.</w:t>
      </w:r>
      <w:r w:rsidRPr="76C272FB">
        <w:rPr>
          <w:lang w:val="en-GB"/>
        </w:rPr>
        <w:t>) are available or under development.</w:t>
      </w:r>
    </w:p>
    <w:p w:rsidR="3529857D" w:rsidP="7B45BCD0" w:rsidRDefault="3529857D" w14:paraId="09FB9C8E" w14:textId="1E745E5D">
      <w:pPr>
        <w:spacing w:line="259" w:lineRule="auto"/>
        <w:rPr>
          <w:lang w:val="en-GB"/>
        </w:rPr>
      </w:pPr>
      <w:r w:rsidRPr="76C272FB">
        <w:rPr>
          <w:lang w:val="en-GB"/>
        </w:rPr>
        <w:t>Another approach when it comes to the availability of electrical power onboard is focusing on storage. Electric batteries are a promising solution: recent advances in Lithium-ion cells technology have improved the combination of available power produced and energy available with respect to lead-acid and nickel cadmium cell chemistries [3]. Applications can range from peak shaving and optimising the operating point of generators, to backup uninterruptible power supply (UPS), energy storage from recovery or renewables, booster of power (e.g., for tugs) or even being the sole source of main electrical power. This last application represents a huge attraction as giving the chance to sail (even though for a limited and brief period) into areas where zero-emissions are imposed by local authorities (e.g., Norwegian fjords) and enhancing the comfort of the yachts’ guests by having absence of noise.</w:t>
      </w:r>
    </w:p>
    <w:p w:rsidR="3529857D" w:rsidP="3529857D" w:rsidRDefault="3529857D" w14:paraId="7D98C3C0" w14:textId="7806624C">
      <w:pPr>
        <w:spacing w:line="259" w:lineRule="auto"/>
        <w:rPr>
          <w:lang w:val="en-GB"/>
        </w:rPr>
      </w:pPr>
      <w:r w:rsidRPr="132193BD" w:rsidR="3529857D">
        <w:rPr>
          <w:lang w:val="en-GB"/>
        </w:rPr>
        <w:t>Lastly, it is worth mentioning that also hydrogen can be viewed from an energy storage perspective. It can be obtained by water electrolysis when extra electrical energy is available (</w:t>
      </w:r>
      <w:r w:rsidRPr="132193BD" w:rsidR="3529857D">
        <w:rPr>
          <w:lang w:val="en-GB"/>
        </w:rPr>
        <w:t>e.g.,</w:t>
      </w:r>
      <w:r w:rsidRPr="132193BD" w:rsidR="3529857D">
        <w:rPr>
          <w:lang w:val="en-GB"/>
        </w:rPr>
        <w:t xml:space="preserve"> excess energy from running generators or from renewables) and then stored and be employed as fuel.</w:t>
      </w:r>
    </w:p>
    <w:p w:rsidR="00E4497C" w:rsidP="00E4497C" w:rsidRDefault="00A94BB6" w14:paraId="09302F9C" w14:textId="0C8F3764">
      <w:pPr>
        <w:pStyle w:val="Heading1"/>
      </w:pPr>
      <w:r>
        <w:t>Statutory and Class</w:t>
      </w:r>
      <w:r w:rsidR="00A61593">
        <w:t xml:space="preserve"> approval</w:t>
      </w:r>
      <w:r>
        <w:t xml:space="preserve"> tools</w:t>
      </w:r>
    </w:p>
    <w:p w:rsidR="00803663" w:rsidP="00803663" w:rsidRDefault="00A94BB6" w14:paraId="23EF1F1F" w14:textId="267A1FA4">
      <w:pPr>
        <w:pStyle w:val="Heading2"/>
      </w:pPr>
      <w:r>
        <w:t>Statutory tools</w:t>
      </w:r>
    </w:p>
    <w:p w:rsidRPr="00B73D47" w:rsidR="00803663" w:rsidP="3529857D" w:rsidRDefault="53A4CE07" w14:paraId="397DED89" w14:textId="5D1144E7">
      <w:pPr>
        <w:pStyle w:val="NoindentNormal"/>
        <w:rPr>
          <w:lang w:val="en-GB"/>
        </w:rPr>
      </w:pPr>
      <w:r w:rsidRPr="76C272FB">
        <w:rPr>
          <w:lang w:val="en-GB"/>
        </w:rPr>
        <w:t xml:space="preserve">With the introduction of the LNG-as-fuel concept for non-LNG carrier ships (already covered by the </w:t>
      </w:r>
      <w:proofErr w:type="spellStart"/>
      <w:r w:rsidRPr="76C272FB">
        <w:rPr>
          <w:lang w:val="en-GB"/>
        </w:rPr>
        <w:t>IGC</w:t>
      </w:r>
      <w:proofErr w:type="spellEnd"/>
      <w:r w:rsidRPr="76C272FB">
        <w:rPr>
          <w:lang w:val="en-GB"/>
        </w:rPr>
        <w:t xml:space="preserve"> code) some regulatory tools were needed. The first comprehensive </w:t>
      </w:r>
      <w:r w:rsidRPr="76C272FB">
        <w:rPr>
          <w:lang w:val="en-GB"/>
        </w:rPr>
        <w:lastRenderedPageBreak/>
        <w:t xml:space="preserve">tool was the IMO Resolution MSC.285(86) introduced in 2009. It was then developed into the IMO Resolution MSC.391(95) (adopted on 11 June 2015) also known as the </w:t>
      </w:r>
      <w:proofErr w:type="spellStart"/>
      <w:r w:rsidRPr="76C272FB">
        <w:rPr>
          <w:lang w:val="en-GB"/>
        </w:rPr>
        <w:t>IGF</w:t>
      </w:r>
      <w:proofErr w:type="spellEnd"/>
      <w:r w:rsidRPr="76C272FB">
        <w:rPr>
          <w:lang w:val="en-GB"/>
        </w:rPr>
        <w:t xml:space="preserve"> </w:t>
      </w:r>
      <w:r w:rsidRPr="76C272FB" w:rsidR="006362F8">
        <w:rPr>
          <w:lang w:val="en-GB"/>
        </w:rPr>
        <w:t>C</w:t>
      </w:r>
      <w:r w:rsidRPr="76C272FB">
        <w:rPr>
          <w:lang w:val="en-GB"/>
        </w:rPr>
        <w:t>ode</w:t>
      </w:r>
      <w:r w:rsidRPr="76C272FB" w:rsidR="00581F54">
        <w:rPr>
          <w:lang w:val="en-GB"/>
        </w:rPr>
        <w:t xml:space="preserve"> [</w:t>
      </w:r>
      <w:r w:rsidRPr="76C272FB" w:rsidR="006362F8">
        <w:rPr>
          <w:lang w:val="en-GB"/>
        </w:rPr>
        <w:t>4</w:t>
      </w:r>
      <w:r w:rsidRPr="76C272FB" w:rsidR="00581F54">
        <w:rPr>
          <w:lang w:val="en-GB"/>
        </w:rPr>
        <w:t>]</w:t>
      </w:r>
      <w:r w:rsidRPr="76C272FB">
        <w:rPr>
          <w:lang w:val="en-GB"/>
        </w:rPr>
        <w:t>. This goal-based code provides general goal and functional requirements valid for any low-flashpoint fuels, plus a considerable extent of specific requirements for LNG.</w:t>
      </w:r>
    </w:p>
    <w:p w:rsidRPr="00B73D47" w:rsidR="00803663" w:rsidP="3529857D" w:rsidRDefault="53A4CE07" w14:paraId="5FCB904F" w14:textId="318A8AFC">
      <w:pPr>
        <w:spacing w:line="259" w:lineRule="auto"/>
        <w:rPr>
          <w:lang w:val="en-GB"/>
        </w:rPr>
      </w:pPr>
      <w:r w:rsidRPr="76C272FB">
        <w:rPr>
          <w:lang w:val="en-GB"/>
        </w:rPr>
        <w:t xml:space="preserve">The </w:t>
      </w:r>
      <w:proofErr w:type="spellStart"/>
      <w:r w:rsidRPr="76C272FB">
        <w:rPr>
          <w:lang w:val="en-GB"/>
        </w:rPr>
        <w:t>IGF</w:t>
      </w:r>
      <w:proofErr w:type="spellEnd"/>
      <w:r w:rsidRPr="76C272FB">
        <w:rPr>
          <w:lang w:val="en-GB"/>
        </w:rPr>
        <w:t xml:space="preserve"> code has been widely adopted in the LNG-as-fuel ships and it is now under development to provide specific and detailed requirements for other gases and low flashpoint fuels, such as hydrogen and methanol. In this respect, on 7 December 2020, the IMO has published the MSC.1/Circular.1621 Interim Guidelines for the Safety of Ships Using Methyl/Ethyl Alcohol as Fuel</w:t>
      </w:r>
      <w:r w:rsidRPr="76C272FB" w:rsidR="006362F8">
        <w:rPr>
          <w:lang w:val="en-GB"/>
        </w:rPr>
        <w:t xml:space="preserve"> [5]</w:t>
      </w:r>
      <w:r w:rsidRPr="76C272FB">
        <w:rPr>
          <w:lang w:val="en-GB"/>
        </w:rPr>
        <w:t xml:space="preserve"> aiming to provide provisions for the arrangement, installation, control and monitoring of machinery, equipment and systems using methyl/ethyl alcohol as fuel to minimize the risk to ship, crew, and environment.</w:t>
      </w:r>
    </w:p>
    <w:p w:rsidRPr="00B73D47" w:rsidR="00803663" w:rsidP="3529857D" w:rsidRDefault="53A4CE07" w14:paraId="7E03CDA0" w14:textId="288C49F7">
      <w:pPr>
        <w:spacing w:line="259" w:lineRule="auto"/>
        <w:rPr>
          <w:lang w:val="en-GB"/>
        </w:rPr>
      </w:pPr>
      <w:r w:rsidRPr="76C272FB">
        <w:rPr>
          <w:lang w:val="en-GB"/>
        </w:rPr>
        <w:t xml:space="preserve">In a similar fashion, the IMO is developing, through the MSC Sub-Committee on Carriage of Cargoes and Containers (CCC), interim guidelines for ship using fuel cells. At the time of writing, they have been drafted </w:t>
      </w:r>
      <w:r w:rsidRPr="76C272FB" w:rsidR="006362F8">
        <w:rPr>
          <w:lang w:val="en-GB"/>
        </w:rPr>
        <w:t xml:space="preserve">[6] </w:t>
      </w:r>
      <w:r w:rsidRPr="76C272FB">
        <w:rPr>
          <w:lang w:val="en-GB"/>
        </w:rPr>
        <w:t>on CCC7 meeting in September 2021 and will be forwarded to the Maritime Safety Committee - MSC - for approval at its 105</w:t>
      </w:r>
      <w:r w:rsidRPr="76C272FB">
        <w:rPr>
          <w:vertAlign w:val="superscript"/>
          <w:lang w:val="en-GB"/>
        </w:rPr>
        <w:t>th</w:t>
      </w:r>
      <w:r w:rsidRPr="76C272FB">
        <w:rPr>
          <w:lang w:val="en-GB"/>
        </w:rPr>
        <w:t xml:space="preserve"> session scheduled for April 2022. It is to be noted that all these regulations are goal-based and rely on risk assessment processes to identify and mitigate, if necessary, the risks introduced using alternative fuels. This represents a difference with traditional, prescriptive approach rules. Part of the reason is that these rules are meant to cover many diverse types of ships, from tugs to tankers, from ferries, to cruise vessels, making therefore particularly difficult to introduce requirements that are applicable to all these different ships.</w:t>
      </w:r>
    </w:p>
    <w:p w:rsidR="00DC0924" w:rsidP="00DC0924" w:rsidRDefault="008F1DE9" w14:paraId="771C236C" w14:textId="0CB44CD3">
      <w:pPr>
        <w:pStyle w:val="Heading2"/>
        <w:rPr>
          <w:lang w:val="en-GB"/>
        </w:rPr>
      </w:pPr>
      <w:r>
        <w:rPr>
          <w:lang w:val="en-GB"/>
        </w:rPr>
        <w:t>Class tools</w:t>
      </w:r>
    </w:p>
    <w:p w:rsidRPr="00362CCF" w:rsidR="00362CCF" w:rsidP="00362CCF" w:rsidRDefault="00362CCF" w14:paraId="50D02CA4" w14:textId="61452422">
      <w:pPr>
        <w:pStyle w:val="NoindentNormal"/>
        <w:rPr>
          <w:lang w:val="en-GB"/>
        </w:rPr>
      </w:pPr>
      <w:r w:rsidRPr="7B45BCD0">
        <w:rPr>
          <w:lang w:val="en-GB"/>
        </w:rPr>
        <w:t xml:space="preserve">The Lloyd’s Register (LR) Group Ltd. </w:t>
      </w:r>
      <w:r w:rsidRPr="7B45BCD0" w:rsidR="7B45BCD0">
        <w:rPr>
          <w:lang w:val="en-GB"/>
        </w:rPr>
        <w:t xml:space="preserve">was established for the purpose of producing a faithful and accurate classification of merchant shipping and now, </w:t>
      </w:r>
      <w:r w:rsidRPr="7B45BCD0">
        <w:rPr>
          <w:lang w:val="en-GB"/>
        </w:rPr>
        <w:t xml:space="preserve">as other Class Societies, primarily produces classification Rules. Ships, Crafts and Yachts built </w:t>
      </w:r>
      <w:r w:rsidRPr="7B45BCD0" w:rsidR="00931AEF">
        <w:rPr>
          <w:lang w:val="en-GB"/>
        </w:rPr>
        <w:t>in compliance with</w:t>
      </w:r>
      <w:r w:rsidRPr="7B45BCD0">
        <w:rPr>
          <w:lang w:val="en-GB"/>
        </w:rPr>
        <w:t xml:space="preserve"> the Rules </w:t>
      </w:r>
      <w:r w:rsidRPr="7B45BCD0" w:rsidR="00204E35">
        <w:rPr>
          <w:lang w:val="en-GB"/>
        </w:rPr>
        <w:t>are</w:t>
      </w:r>
      <w:r w:rsidRPr="7B45BCD0">
        <w:rPr>
          <w:lang w:val="en-GB"/>
        </w:rPr>
        <w:t xml:space="preserve"> accordingly assigned a Class. As such, it is of prominent importance that technological innovations are captured in the Rules while at the same time promoting industrial improvements for the safety of navigation and personnel and the respect of the environment.</w:t>
      </w:r>
    </w:p>
    <w:p w:rsidRPr="00362CCF" w:rsidR="00362CCF" w:rsidP="00362CCF" w:rsidRDefault="00362CCF" w14:paraId="5D4D69F1" w14:textId="638DBC86">
      <w:pPr>
        <w:spacing w:line="259" w:lineRule="auto"/>
        <w:rPr>
          <w:lang w:val="en-GB"/>
        </w:rPr>
      </w:pPr>
      <w:r w:rsidRPr="7B45BCD0">
        <w:rPr>
          <w:lang w:val="en-GB"/>
        </w:rPr>
        <w:t>When it comes to machinery and equipment to be installed on classed ships, the Rules often refer to a relevant and acceptable National or International Standard. A fundamental tool available for the assurance of equipment compliance is provided by the Type Approval, an impartial Certification system that provides independent third-party certification to a product’s conformity with specific standards or specifications.</w:t>
      </w:r>
    </w:p>
    <w:p w:rsidRPr="00362CCF" w:rsidR="00362CCF" w:rsidP="007951D9" w:rsidRDefault="00362CCF" w14:paraId="7DE61EA2" w14:textId="1CD299CE">
      <w:pPr>
        <w:spacing w:line="259" w:lineRule="auto"/>
        <w:rPr>
          <w:lang w:val="en-GB"/>
        </w:rPr>
      </w:pPr>
      <w:r w:rsidRPr="76C272FB">
        <w:rPr>
          <w:lang w:val="en-GB"/>
        </w:rPr>
        <w:t>Currently the LR Rules cover fuel cell power installations [</w:t>
      </w:r>
      <w:r w:rsidRPr="76C272FB" w:rsidR="0064173A">
        <w:rPr>
          <w:lang w:val="en-GB"/>
        </w:rPr>
        <w:t>7</w:t>
      </w:r>
      <w:r w:rsidRPr="76C272FB">
        <w:rPr>
          <w:lang w:val="en-GB"/>
        </w:rPr>
        <w:t>] and the fuel cell power system and modules are required to comply with the relevant parts of the International Electrotechnical Commission (IEC) standard IEC 62282 [</w:t>
      </w:r>
      <w:r w:rsidRPr="76C272FB" w:rsidR="0064173A">
        <w:rPr>
          <w:lang w:val="en-GB"/>
        </w:rPr>
        <w:t>8</w:t>
      </w:r>
      <w:r w:rsidRPr="76C272FB">
        <w:rPr>
          <w:lang w:val="en-GB"/>
        </w:rPr>
        <w:t>]</w:t>
      </w:r>
      <w:r w:rsidRPr="76C272FB" w:rsidR="007962BE">
        <w:rPr>
          <w:lang w:val="en-GB"/>
        </w:rPr>
        <w:t xml:space="preserve"> and</w:t>
      </w:r>
      <w:r w:rsidRPr="76C272FB">
        <w:rPr>
          <w:lang w:val="en-GB"/>
        </w:rPr>
        <w:t xml:space="preserve"> [</w:t>
      </w:r>
      <w:r w:rsidRPr="76C272FB" w:rsidR="0064173A">
        <w:rPr>
          <w:lang w:val="en-GB"/>
        </w:rPr>
        <w:t>9</w:t>
      </w:r>
      <w:r w:rsidRPr="76C272FB">
        <w:rPr>
          <w:lang w:val="en-GB"/>
        </w:rPr>
        <w:t>]</w:t>
      </w:r>
      <w:r w:rsidRPr="76C272FB" w:rsidR="00F16CAA">
        <w:rPr>
          <w:lang w:val="en-GB"/>
        </w:rPr>
        <w:t>, respectively</w:t>
      </w:r>
      <w:r w:rsidRPr="76C272FB">
        <w:rPr>
          <w:lang w:val="en-GB"/>
        </w:rPr>
        <w:t>. The LR Rules for Fuel Cell power installation capture and are consistent with the IMO interim guidelines.</w:t>
      </w:r>
    </w:p>
    <w:p w:rsidRPr="00362CCF" w:rsidR="00362CCF" w:rsidP="00362CCF" w:rsidRDefault="00362CCF" w14:paraId="00323620" w14:textId="248AF6AE">
      <w:pPr>
        <w:spacing w:line="259" w:lineRule="auto"/>
        <w:rPr>
          <w:lang w:val="en-GB"/>
        </w:rPr>
      </w:pPr>
      <w:r w:rsidRPr="7B45BCD0">
        <w:rPr>
          <w:lang w:val="en-GB"/>
        </w:rPr>
        <w:t>Batteries based on Li-ion chemistry are covered by the LR Rules [</w:t>
      </w:r>
      <w:r w:rsidRPr="7B45BCD0" w:rsidR="0064173A">
        <w:rPr>
          <w:lang w:val="en-GB"/>
        </w:rPr>
        <w:t>10</w:t>
      </w:r>
      <w:r w:rsidRPr="7B45BCD0">
        <w:rPr>
          <w:lang w:val="en-GB"/>
        </w:rPr>
        <w:t>] and are required to be designed and tested according to IEC 62619 [</w:t>
      </w:r>
      <w:r w:rsidRPr="7B45BCD0" w:rsidR="00F50BB0">
        <w:rPr>
          <w:lang w:val="en-GB"/>
        </w:rPr>
        <w:t>11</w:t>
      </w:r>
      <w:r w:rsidRPr="7B45BCD0">
        <w:rPr>
          <w:lang w:val="en-GB"/>
        </w:rPr>
        <w:t>] and IEC 62620 [</w:t>
      </w:r>
      <w:r w:rsidRPr="7B45BCD0" w:rsidR="00F50BB0">
        <w:rPr>
          <w:lang w:val="en-GB"/>
        </w:rPr>
        <w:t>12</w:t>
      </w:r>
      <w:r w:rsidRPr="7B45BCD0">
        <w:rPr>
          <w:lang w:val="en-GB"/>
        </w:rPr>
        <w:t>] and to satisfy the requirements of the dedicated LR Type Approval System Test Specification [</w:t>
      </w:r>
      <w:r w:rsidRPr="7B45BCD0" w:rsidR="00F50BB0">
        <w:rPr>
          <w:lang w:val="en-GB"/>
        </w:rPr>
        <w:t>13</w:t>
      </w:r>
      <w:r w:rsidRPr="7B45BCD0">
        <w:rPr>
          <w:lang w:val="en-GB"/>
        </w:rPr>
        <w:t>].</w:t>
      </w:r>
    </w:p>
    <w:p w:rsidRPr="00362CCF" w:rsidR="00362CCF" w:rsidP="004A5ECF" w:rsidRDefault="00362CCF" w14:paraId="2153141D" w14:textId="581B4382">
      <w:pPr>
        <w:spacing w:line="259" w:lineRule="auto"/>
        <w:rPr>
          <w:lang w:val="en-GB"/>
        </w:rPr>
      </w:pPr>
      <w:r w:rsidRPr="7B45BCD0">
        <w:rPr>
          <w:lang w:val="en-GB"/>
        </w:rPr>
        <w:lastRenderedPageBreak/>
        <w:t>It is to be noted that both fuel cells and large batteries installations, but also in general other sources of electrical power, are likely to be integrated onboard within each other and with other types of power sources such as diesel-driven generators to supply the overall main electrical power demand. This is defined as a hybrid electrical power system, and relevant requirements [</w:t>
      </w:r>
      <w:r w:rsidRPr="7B45BCD0" w:rsidR="00F50BB0">
        <w:rPr>
          <w:lang w:val="en-GB"/>
        </w:rPr>
        <w:t>14</w:t>
      </w:r>
      <w:r w:rsidRPr="7B45BCD0">
        <w:rPr>
          <w:lang w:val="en-GB"/>
        </w:rPr>
        <w:t>] are in place to ensure that dependability targets and safety are achieved.</w:t>
      </w:r>
    </w:p>
    <w:p w:rsidR="00362CCF" w:rsidP="000E7A5F" w:rsidRDefault="4CB79AB2" w14:paraId="6FA8355B" w14:textId="073DCAF0">
      <w:pPr>
        <w:spacing w:line="259" w:lineRule="auto"/>
        <w:rPr>
          <w:lang w:val="en-GB"/>
        </w:rPr>
      </w:pPr>
      <w:r w:rsidRPr="256CA627">
        <w:rPr>
          <w:lang w:val="en-GB"/>
        </w:rPr>
        <w:t>Furthermore, LR Rules and Requirements [</w:t>
      </w:r>
      <w:r w:rsidRPr="256CA627" w:rsidR="5D3ADA6A">
        <w:rPr>
          <w:lang w:val="en-GB"/>
        </w:rPr>
        <w:t>15</w:t>
      </w:r>
      <w:r w:rsidRPr="256CA627">
        <w:rPr>
          <w:lang w:val="en-GB"/>
        </w:rPr>
        <w:t xml:space="preserve">] </w:t>
      </w:r>
      <w:r w:rsidRPr="256CA627" w:rsidR="2B744F2C">
        <w:rPr>
          <w:lang w:val="en-GB"/>
        </w:rPr>
        <w:t xml:space="preserve">are available </w:t>
      </w:r>
      <w:r w:rsidRPr="256CA627">
        <w:rPr>
          <w:lang w:val="en-GB"/>
        </w:rPr>
        <w:t>for the use of gases (e.g., natural gas, hydrogen, ammonia) or low-flashpoint fuels (e.g., methanol, ethanol – refer also to [</w:t>
      </w:r>
      <w:r w:rsidRPr="256CA627" w:rsidR="5D3ADA6A">
        <w:rPr>
          <w:lang w:val="en-GB"/>
        </w:rPr>
        <w:t>16</w:t>
      </w:r>
      <w:r w:rsidRPr="256CA627">
        <w:rPr>
          <w:lang w:val="en-GB"/>
        </w:rPr>
        <w:t>])</w:t>
      </w:r>
      <w:r w:rsidRPr="256CA627" w:rsidR="2B744F2C">
        <w:rPr>
          <w:lang w:val="en-GB"/>
        </w:rPr>
        <w:t>. These</w:t>
      </w:r>
      <w:r w:rsidRPr="256CA627">
        <w:rPr>
          <w:lang w:val="en-GB"/>
        </w:rPr>
        <w:t xml:space="preserve"> captur</w:t>
      </w:r>
      <w:r w:rsidRPr="256CA627" w:rsidR="2B744F2C">
        <w:rPr>
          <w:lang w:val="en-GB"/>
        </w:rPr>
        <w:t>e and are consistent with</w:t>
      </w:r>
      <w:r w:rsidRPr="256CA627">
        <w:rPr>
          <w:lang w:val="en-GB"/>
        </w:rPr>
        <w:t xml:space="preserve"> the IMO </w:t>
      </w:r>
      <w:proofErr w:type="spellStart"/>
      <w:r w:rsidRPr="256CA627">
        <w:rPr>
          <w:lang w:val="en-GB"/>
        </w:rPr>
        <w:t>IGF</w:t>
      </w:r>
      <w:proofErr w:type="spellEnd"/>
      <w:r w:rsidRPr="256CA627">
        <w:rPr>
          <w:lang w:val="en-GB"/>
        </w:rPr>
        <w:t xml:space="preserve"> Code. Currently, functional requirements for natural gas fuel are included. For other fuels, the compliance to the requirements for natural gas must be demonstrated through alternative design/risk-based certification.</w:t>
      </w:r>
    </w:p>
    <w:p w:rsidR="005C5D4B" w:rsidP="005C5D4B" w:rsidRDefault="005C5D4B" w14:paraId="30A55273" w14:textId="756DA53E">
      <w:pPr>
        <w:pStyle w:val="Heading1"/>
        <w:rPr>
          <w:lang w:val="en-GB"/>
        </w:rPr>
      </w:pPr>
      <w:r>
        <w:rPr>
          <w:lang w:val="en-GB"/>
        </w:rPr>
        <w:t>Alternative design and risk-based certification</w:t>
      </w:r>
    </w:p>
    <w:p w:rsidR="00A94100" w:rsidP="005C5D4B" w:rsidRDefault="005C5D4B" w14:paraId="03F8A4D7" w14:textId="715EFC82">
      <w:pPr>
        <w:pStyle w:val="Heading2"/>
        <w:rPr>
          <w:lang w:val="en-GB"/>
        </w:rPr>
      </w:pPr>
      <w:r>
        <w:rPr>
          <w:lang w:val="en-GB"/>
        </w:rPr>
        <w:t>Alternative design</w:t>
      </w:r>
    </w:p>
    <w:p w:rsidR="000E2045" w:rsidP="00BC583A" w:rsidRDefault="0077063F" w14:paraId="3C558847" w14:textId="44C46F8E">
      <w:pPr>
        <w:pStyle w:val="NoindentNormal"/>
        <w:rPr>
          <w:lang w:val="en-GB"/>
        </w:rPr>
      </w:pPr>
      <w:r>
        <w:rPr>
          <w:lang w:val="en-GB"/>
        </w:rPr>
        <w:t>As described in above paragraphs</w:t>
      </w:r>
      <w:r w:rsidR="00320767">
        <w:rPr>
          <w:lang w:val="en-GB"/>
        </w:rPr>
        <w:t>,</w:t>
      </w:r>
      <w:r>
        <w:rPr>
          <w:lang w:val="en-GB"/>
        </w:rPr>
        <w:t xml:space="preserve"> the expanding market of the cruise and yacht industry, together with the adoption of </w:t>
      </w:r>
      <w:r w:rsidR="00CA28B8">
        <w:rPr>
          <w:lang w:val="en-GB"/>
        </w:rPr>
        <w:t xml:space="preserve">new technologies, </w:t>
      </w:r>
      <w:r>
        <w:rPr>
          <w:lang w:val="en-GB"/>
        </w:rPr>
        <w:t>novel and unconventional arrangements</w:t>
      </w:r>
      <w:r w:rsidR="00320767">
        <w:rPr>
          <w:lang w:val="en-GB"/>
        </w:rPr>
        <w:t xml:space="preserve">, </w:t>
      </w:r>
      <w:proofErr w:type="gramStart"/>
      <w:r w:rsidR="00320767">
        <w:rPr>
          <w:lang w:val="en-GB"/>
        </w:rPr>
        <w:t>equipment</w:t>
      </w:r>
      <w:proofErr w:type="gramEnd"/>
      <w:r>
        <w:rPr>
          <w:lang w:val="en-GB"/>
        </w:rPr>
        <w:t xml:space="preserve"> and systems, requires suitable </w:t>
      </w:r>
      <w:r w:rsidR="00E20F99">
        <w:rPr>
          <w:lang w:val="en-GB"/>
        </w:rPr>
        <w:t xml:space="preserve">statutory </w:t>
      </w:r>
      <w:r>
        <w:rPr>
          <w:lang w:val="en-GB"/>
        </w:rPr>
        <w:t>regulatory tools for ensuring that the SOLAS safety objectives and relevant functional requirements are suitably</w:t>
      </w:r>
      <w:r w:rsidR="00E20F99">
        <w:rPr>
          <w:lang w:val="en-GB"/>
        </w:rPr>
        <w:t xml:space="preserve"> and effectively</w:t>
      </w:r>
      <w:r>
        <w:rPr>
          <w:lang w:val="en-GB"/>
        </w:rPr>
        <w:t xml:space="preserve"> met.</w:t>
      </w:r>
    </w:p>
    <w:p w:rsidR="00CA28B8" w:rsidP="132193BD" w:rsidRDefault="00CA28B8" w14:paraId="2EE49E66" w14:textId="14D0C260">
      <w:pPr>
        <w:rPr>
          <w:lang w:val="en-GB"/>
        </w:rPr>
      </w:pPr>
      <w:r w:rsidRPr="132193BD" w:rsidR="00CA28B8">
        <w:rPr>
          <w:lang w:val="en-GB"/>
        </w:rPr>
        <w:t xml:space="preserve">When new technologies are proposed to be installed on board, it is quite typical that the current applicable regulatory framework does not </w:t>
      </w:r>
      <w:r w:rsidRPr="132193BD" w:rsidR="00324E7B">
        <w:rPr>
          <w:lang w:val="en-GB"/>
        </w:rPr>
        <w:t xml:space="preserve">provide specific prescriptive </w:t>
      </w:r>
      <w:r w:rsidRPr="132193BD" w:rsidR="00CA28B8">
        <w:rPr>
          <w:lang w:val="en-GB"/>
        </w:rPr>
        <w:t>requirements,</w:t>
      </w:r>
      <w:r w:rsidRPr="132193BD" w:rsidR="00107CED">
        <w:rPr>
          <w:lang w:val="en-GB"/>
        </w:rPr>
        <w:t xml:space="preserve"> or the current regulatory framework is not developed for </w:t>
      </w:r>
      <w:r w:rsidRPr="132193BD" w:rsidR="000F58E9">
        <w:rPr>
          <w:lang w:val="en-GB"/>
        </w:rPr>
        <w:t>considering</w:t>
      </w:r>
      <w:r w:rsidRPr="132193BD" w:rsidR="00107CED">
        <w:rPr>
          <w:lang w:val="en-GB"/>
        </w:rPr>
        <w:t xml:space="preserve"> this new technology solution.</w:t>
      </w:r>
      <w:r w:rsidR="00107CED">
        <w:rPr/>
        <w:t xml:space="preserve"> Cases should also be mentioned,</w:t>
      </w:r>
      <w:r w:rsidRPr="132193BD" w:rsidR="00107CED">
        <w:rPr>
          <w:lang w:val="en-GB"/>
        </w:rPr>
        <w:t xml:space="preserve"> where the </w:t>
      </w:r>
      <w:r w:rsidRPr="132193BD" w:rsidR="00107CED">
        <w:rPr>
          <w:lang w:val="en-GB"/>
        </w:rPr>
        <w:t>traditional</w:t>
      </w:r>
      <w:r w:rsidRPr="132193BD" w:rsidR="00107CED">
        <w:rPr>
          <w:lang w:val="en-GB"/>
        </w:rPr>
        <w:t xml:space="preserve"> </w:t>
      </w:r>
      <w:r w:rsidRPr="132193BD" w:rsidR="00107CED">
        <w:rPr>
          <w:lang w:val="en-GB"/>
        </w:rPr>
        <w:t xml:space="preserve">shipboard </w:t>
      </w:r>
      <w:r w:rsidRPr="132193BD" w:rsidR="00107CED">
        <w:rPr>
          <w:lang w:val="en-GB"/>
        </w:rPr>
        <w:t xml:space="preserve">arrangements </w:t>
      </w:r>
      <w:r w:rsidRPr="132193BD" w:rsidR="00107CED">
        <w:rPr>
          <w:lang w:val="en-GB"/>
        </w:rPr>
        <w:t>and systems are installed</w:t>
      </w:r>
      <w:r w:rsidRPr="132193BD" w:rsidR="00107CED">
        <w:rPr>
          <w:lang w:val="en-GB"/>
        </w:rPr>
        <w:t xml:space="preserve"> </w:t>
      </w:r>
      <w:r w:rsidRPr="132193BD" w:rsidR="00107CED">
        <w:rPr>
          <w:lang w:val="en-GB"/>
        </w:rPr>
        <w:t>in configurations alternative to those prescribed by existing requirements</w:t>
      </w:r>
      <w:r w:rsidRPr="132193BD" w:rsidR="00107CED">
        <w:rPr>
          <w:lang w:val="en-GB"/>
        </w:rPr>
        <w:t xml:space="preserve"> e.g., main vertical zones extending more than the SOLAS limitations, lifeboat with carrying capacity exceeding the maximum capacity of 150 persons and </w:t>
      </w:r>
      <w:r w:rsidRPr="132193BD" w:rsidR="00202DFF">
        <w:rPr>
          <w:lang w:val="en-GB"/>
        </w:rPr>
        <w:t xml:space="preserve">fire doors larger than those </w:t>
      </w:r>
      <w:r w:rsidRPr="132193BD" w:rsidR="00741E7D">
        <w:rPr>
          <w:lang w:val="en-GB"/>
        </w:rPr>
        <w:t xml:space="preserve">actually </w:t>
      </w:r>
      <w:r w:rsidRPr="132193BD" w:rsidR="00202DFF">
        <w:rPr>
          <w:lang w:val="en-GB"/>
        </w:rPr>
        <w:t>fire</w:t>
      </w:r>
      <w:r w:rsidRPr="132193BD" w:rsidR="00202DFF">
        <w:rPr>
          <w:lang w:val="en-GB"/>
        </w:rPr>
        <w:t xml:space="preserve"> tested</w:t>
      </w:r>
      <w:r w:rsidRPr="132193BD" w:rsidR="00107CED">
        <w:rPr>
          <w:lang w:val="en-GB"/>
        </w:rPr>
        <w:t>.</w:t>
      </w:r>
    </w:p>
    <w:p w:rsidR="00BC583A" w:rsidP="000E2045" w:rsidRDefault="00202DFF" w14:paraId="4992867B" w14:textId="7BBA2481">
      <w:pPr>
        <w:rPr>
          <w:lang w:val="en-GB"/>
        </w:rPr>
      </w:pPr>
      <w:r>
        <w:rPr>
          <w:lang w:val="en-GB"/>
        </w:rPr>
        <w:t>Where</w:t>
      </w:r>
      <w:r w:rsidR="00107CED">
        <w:rPr>
          <w:lang w:val="en-GB"/>
        </w:rPr>
        <w:t xml:space="preserve"> </w:t>
      </w:r>
      <w:r w:rsidRPr="00CA28B8" w:rsidR="00CA28B8">
        <w:rPr>
          <w:lang w:val="en-GB"/>
        </w:rPr>
        <w:t>fire safety design or arrangements deviate from the prescriptive requirements of th</w:t>
      </w:r>
      <w:r w:rsidR="00107CED">
        <w:rPr>
          <w:lang w:val="en-GB"/>
        </w:rPr>
        <w:t>e SOLAS Chapters (Ch. II-1, Ch. II and Ch. III)</w:t>
      </w:r>
      <w:r w:rsidR="00923630">
        <w:rPr>
          <w:lang w:val="en-GB"/>
        </w:rPr>
        <w:t>,</w:t>
      </w:r>
      <w:r>
        <w:rPr>
          <w:lang w:val="en-GB"/>
        </w:rPr>
        <w:t xml:space="preserve"> Alternative Design and Arrangement </w:t>
      </w:r>
      <w:r w:rsidR="00DA2A4A">
        <w:rPr>
          <w:lang w:val="en-GB"/>
        </w:rPr>
        <w:t xml:space="preserve">(hereinafter “AD &amp; A”) </w:t>
      </w:r>
      <w:r>
        <w:rPr>
          <w:lang w:val="en-GB"/>
        </w:rPr>
        <w:t xml:space="preserve">shall be carried out in accordance with applicable regulations </w:t>
      </w:r>
      <w:r w:rsidR="00DA2A4A">
        <w:rPr>
          <w:lang w:val="en-GB"/>
        </w:rPr>
        <w:t>(SOLAS Reg, II-1/55, Reg. II-2/</w:t>
      </w:r>
      <w:proofErr w:type="gramStart"/>
      <w:r w:rsidR="00DA2A4A">
        <w:rPr>
          <w:lang w:val="en-GB"/>
        </w:rPr>
        <w:t>17</w:t>
      </w:r>
      <w:proofErr w:type="gramEnd"/>
      <w:r w:rsidR="00DA2A4A">
        <w:rPr>
          <w:lang w:val="en-GB"/>
        </w:rPr>
        <w:t xml:space="preserve"> and Reg. III/38) </w:t>
      </w:r>
      <w:r>
        <w:rPr>
          <w:lang w:val="en-GB"/>
        </w:rPr>
        <w:t>and</w:t>
      </w:r>
      <w:r w:rsidR="00923630">
        <w:rPr>
          <w:lang w:val="en-GB"/>
        </w:rPr>
        <w:t xml:space="preserve"> dedicated</w:t>
      </w:r>
      <w:r>
        <w:rPr>
          <w:lang w:val="en-GB"/>
        </w:rPr>
        <w:t xml:space="preserve"> IMO MSC Circulars</w:t>
      </w:r>
      <w:r w:rsidR="00BC583A">
        <w:rPr>
          <w:lang w:val="en-GB"/>
        </w:rPr>
        <w:t>.</w:t>
      </w:r>
      <w:r w:rsidR="00DA2A4A">
        <w:rPr>
          <w:lang w:val="en-GB"/>
        </w:rPr>
        <w:t xml:space="preserve"> </w:t>
      </w:r>
      <w:r w:rsidRPr="00BC583A" w:rsidR="00BC583A">
        <w:rPr>
          <w:lang w:val="en-GB"/>
        </w:rPr>
        <w:t xml:space="preserve">The process for analysing </w:t>
      </w:r>
      <w:r w:rsidR="00BC583A">
        <w:rPr>
          <w:lang w:val="en-GB"/>
        </w:rPr>
        <w:t xml:space="preserve">the </w:t>
      </w:r>
      <w:r w:rsidRPr="00BC583A" w:rsidR="00BC583A">
        <w:rPr>
          <w:lang w:val="en-GB"/>
        </w:rPr>
        <w:t>safety equivalency</w:t>
      </w:r>
      <w:r w:rsidR="00BC583A">
        <w:rPr>
          <w:lang w:val="en-GB"/>
        </w:rPr>
        <w:t xml:space="preserve"> </w:t>
      </w:r>
      <w:r w:rsidRPr="00BC583A" w:rsidR="00BC583A">
        <w:rPr>
          <w:lang w:val="en-GB"/>
        </w:rPr>
        <w:t xml:space="preserve">for alternative designs and arrangements is </w:t>
      </w:r>
      <w:r w:rsidR="00923630">
        <w:rPr>
          <w:lang w:val="en-GB"/>
        </w:rPr>
        <w:t xml:space="preserve">extensively </w:t>
      </w:r>
      <w:r w:rsidRPr="00BC583A" w:rsidR="00BC583A">
        <w:rPr>
          <w:lang w:val="en-GB"/>
        </w:rPr>
        <w:t>outlined in</w:t>
      </w:r>
      <w:r w:rsidR="00BC583A">
        <w:rPr>
          <w:lang w:val="en-GB"/>
        </w:rPr>
        <w:t xml:space="preserve"> </w:t>
      </w:r>
      <w:r w:rsidRPr="00BC583A" w:rsidR="00BC583A">
        <w:rPr>
          <w:lang w:val="en-GB"/>
        </w:rPr>
        <w:t xml:space="preserve">IMO circulars MSC/Circ. 1002 </w:t>
      </w:r>
      <w:r w:rsidR="00BC583A">
        <w:rPr>
          <w:lang w:val="en-GB"/>
        </w:rPr>
        <w:t>“</w:t>
      </w:r>
      <w:r w:rsidRPr="00BC583A" w:rsidR="00BC583A">
        <w:rPr>
          <w:lang w:val="en-GB"/>
        </w:rPr>
        <w:t>Guidelines on Alternative</w:t>
      </w:r>
      <w:r w:rsidR="00BC583A">
        <w:rPr>
          <w:lang w:val="en-GB"/>
        </w:rPr>
        <w:t xml:space="preserve"> </w:t>
      </w:r>
      <w:r w:rsidRPr="00BC583A" w:rsidR="00BC583A">
        <w:rPr>
          <w:lang w:val="en-GB"/>
        </w:rPr>
        <w:t>Design and Arrangements for Fire Safety</w:t>
      </w:r>
      <w:r w:rsidR="00BC583A">
        <w:rPr>
          <w:lang w:val="en-GB"/>
        </w:rPr>
        <w:t>”</w:t>
      </w:r>
      <w:r w:rsidRPr="00BC583A" w:rsidR="00BC583A">
        <w:rPr>
          <w:lang w:val="en-GB"/>
        </w:rPr>
        <w:t>, its Corrigendum MSC.1/Circ. 1002/Corr.1</w:t>
      </w:r>
      <w:r w:rsidR="009565FD">
        <w:rPr>
          <w:lang w:val="en-GB"/>
        </w:rPr>
        <w:t xml:space="preserve">, </w:t>
      </w:r>
      <w:r w:rsidRPr="00BC583A" w:rsidR="00BC583A">
        <w:rPr>
          <w:lang w:val="en-GB"/>
        </w:rPr>
        <w:t>MSC.1/Circ. 1212 “Guidelines on Alternative Design</w:t>
      </w:r>
      <w:r w:rsidR="00BC583A">
        <w:rPr>
          <w:lang w:val="en-GB"/>
        </w:rPr>
        <w:t xml:space="preserve"> </w:t>
      </w:r>
      <w:r w:rsidRPr="00BC583A" w:rsidR="00BC583A">
        <w:rPr>
          <w:lang w:val="en-GB"/>
        </w:rPr>
        <w:t>and Arrangements for SOLAS Chapters II-1 and III”</w:t>
      </w:r>
      <w:r w:rsidR="00BC583A">
        <w:rPr>
          <w:lang w:val="en-GB"/>
        </w:rPr>
        <w:t xml:space="preserve"> </w:t>
      </w:r>
      <w:r w:rsidR="009565FD">
        <w:rPr>
          <w:lang w:val="en-GB"/>
        </w:rPr>
        <w:t xml:space="preserve">and </w:t>
      </w:r>
      <w:r w:rsidRPr="00BC583A" w:rsidR="00BC583A">
        <w:rPr>
          <w:lang w:val="en-GB"/>
        </w:rPr>
        <w:t xml:space="preserve">MSC.1/Circular.1455 </w:t>
      </w:r>
      <w:r w:rsidR="00BC583A">
        <w:rPr>
          <w:lang w:val="en-GB"/>
        </w:rPr>
        <w:t>“</w:t>
      </w:r>
      <w:r w:rsidRPr="00BC583A" w:rsidR="00BC583A">
        <w:rPr>
          <w:lang w:val="en-GB"/>
        </w:rPr>
        <w:t>Guidelines for the Approval of Alternatives and Equivalents as Provided for in Various IMO Instruments</w:t>
      </w:r>
      <w:r w:rsidR="00BC583A">
        <w:rPr>
          <w:lang w:val="en-GB"/>
        </w:rPr>
        <w:t>”</w:t>
      </w:r>
      <w:r w:rsidRPr="00BC583A" w:rsidR="00BC583A">
        <w:rPr>
          <w:lang w:val="en-GB"/>
        </w:rPr>
        <w:t>.</w:t>
      </w:r>
    </w:p>
    <w:p w:rsidR="000E2045" w:rsidP="000E2045" w:rsidRDefault="000E2045" w14:paraId="7507635D" w14:textId="004480C5">
      <w:pPr>
        <w:rPr>
          <w:lang w:val="en-GB"/>
        </w:rPr>
      </w:pPr>
      <w:r w:rsidRPr="132193BD" w:rsidR="000E2045">
        <w:rPr>
          <w:lang w:val="en-GB"/>
        </w:rPr>
        <w:t>The fundamental requirement of AD</w:t>
      </w:r>
      <w:r w:rsidRPr="132193BD" w:rsidR="000E2045">
        <w:rPr>
          <w:lang w:val="en-GB"/>
        </w:rPr>
        <w:t xml:space="preserve"> </w:t>
      </w:r>
      <w:r w:rsidRPr="132193BD" w:rsidR="000E2045">
        <w:rPr>
          <w:lang w:val="en-GB"/>
        </w:rPr>
        <w:t>&amp;</w:t>
      </w:r>
      <w:r w:rsidRPr="132193BD" w:rsidR="000E2045">
        <w:rPr>
          <w:lang w:val="en-GB"/>
        </w:rPr>
        <w:t xml:space="preserve"> </w:t>
      </w:r>
      <w:r w:rsidRPr="132193BD" w:rsidR="000E2045">
        <w:rPr>
          <w:lang w:val="en-GB"/>
        </w:rPr>
        <w:t xml:space="preserve">A is </w:t>
      </w:r>
      <w:r w:rsidRPr="132193BD" w:rsidR="000E2045">
        <w:rPr>
          <w:lang w:val="en-GB"/>
        </w:rPr>
        <w:t xml:space="preserve">to </w:t>
      </w:r>
      <w:r w:rsidRPr="132193BD" w:rsidR="000E2045">
        <w:rPr>
          <w:lang w:val="en-GB"/>
        </w:rPr>
        <w:t>demonstrate</w:t>
      </w:r>
      <w:r w:rsidRPr="132193BD" w:rsidR="000E2045">
        <w:rPr>
          <w:lang w:val="en-GB"/>
        </w:rPr>
        <w:t xml:space="preserve"> </w:t>
      </w:r>
      <w:r w:rsidRPr="132193BD" w:rsidR="000E2045">
        <w:rPr>
          <w:lang w:val="en-GB"/>
        </w:rPr>
        <w:t>an equivalent level of safety</w:t>
      </w:r>
      <w:r w:rsidRPr="132193BD" w:rsidR="000E2045">
        <w:rPr>
          <w:lang w:val="en-GB"/>
        </w:rPr>
        <w:t xml:space="preserve"> for the adopted solution</w:t>
      </w:r>
      <w:r w:rsidRPr="132193BD" w:rsidR="000E2045">
        <w:rPr>
          <w:lang w:val="en-GB"/>
        </w:rPr>
        <w:t>.</w:t>
      </w:r>
      <w:r w:rsidRPr="132193BD" w:rsidR="000E2045">
        <w:rPr>
          <w:lang w:val="en-GB"/>
        </w:rPr>
        <w:t xml:space="preserve"> AD </w:t>
      </w:r>
      <w:r w:rsidRPr="132193BD" w:rsidR="000E2045">
        <w:rPr>
          <w:lang w:val="en-GB"/>
        </w:rPr>
        <w:t xml:space="preserve">&amp; A </w:t>
      </w:r>
      <w:r w:rsidRPr="132193BD" w:rsidR="000E2045">
        <w:rPr>
          <w:lang w:val="en-GB"/>
        </w:rPr>
        <w:t xml:space="preserve">can </w:t>
      </w:r>
      <w:r w:rsidRPr="132193BD" w:rsidR="000E2045">
        <w:rPr>
          <w:lang w:val="en-GB"/>
        </w:rPr>
        <w:t>facilitate</w:t>
      </w:r>
      <w:r w:rsidRPr="132193BD" w:rsidR="000E2045">
        <w:rPr>
          <w:lang w:val="en-GB"/>
        </w:rPr>
        <w:t xml:space="preserve"> </w:t>
      </w:r>
      <w:r w:rsidRPr="132193BD" w:rsidR="000E2045">
        <w:rPr>
          <w:lang w:val="en-GB"/>
        </w:rPr>
        <w:t xml:space="preserve">design innovation by </w:t>
      </w:r>
      <w:r w:rsidRPr="132193BD" w:rsidR="000E2045">
        <w:rPr>
          <w:lang w:val="en-GB"/>
        </w:rPr>
        <w:t>providing</w:t>
      </w:r>
      <w:r w:rsidRPr="132193BD" w:rsidR="000E2045">
        <w:rPr>
          <w:lang w:val="en-GB"/>
        </w:rPr>
        <w:t xml:space="preserve"> a</w:t>
      </w:r>
      <w:r w:rsidRPr="132193BD" w:rsidR="000E2045">
        <w:rPr>
          <w:lang w:val="en-GB"/>
        </w:rPr>
        <w:t xml:space="preserve">n alternative </w:t>
      </w:r>
      <w:r w:rsidRPr="132193BD" w:rsidR="000E2045">
        <w:rPr>
          <w:lang w:val="en-GB"/>
        </w:rPr>
        <w:t>methodology</w:t>
      </w:r>
      <w:r w:rsidRPr="132193BD" w:rsidR="000E2045">
        <w:rPr>
          <w:lang w:val="en-GB"/>
        </w:rPr>
        <w:t xml:space="preserve"> </w:t>
      </w:r>
      <w:r w:rsidRPr="132193BD" w:rsidR="000E2045">
        <w:rPr>
          <w:lang w:val="en-GB"/>
        </w:rPr>
        <w:t xml:space="preserve">to </w:t>
      </w:r>
      <w:r w:rsidRPr="132193BD" w:rsidR="000E2045">
        <w:rPr>
          <w:lang w:val="en-GB"/>
        </w:rPr>
        <w:t>demonstrate</w:t>
      </w:r>
      <w:r w:rsidRPr="132193BD" w:rsidR="000E2045">
        <w:rPr>
          <w:lang w:val="en-GB"/>
        </w:rPr>
        <w:t xml:space="preserve"> that an adequate level of safety has </w:t>
      </w:r>
      <w:r w:rsidRPr="132193BD" w:rsidR="009565FD">
        <w:rPr>
          <w:lang w:val="en-GB"/>
        </w:rPr>
        <w:t xml:space="preserve">satisfactorily </w:t>
      </w:r>
      <w:r w:rsidRPr="132193BD" w:rsidR="000E2045">
        <w:rPr>
          <w:lang w:val="en-GB"/>
        </w:rPr>
        <w:t>been achieved. AD</w:t>
      </w:r>
      <w:r w:rsidRPr="132193BD" w:rsidR="000E2045">
        <w:rPr>
          <w:lang w:val="en-GB"/>
        </w:rPr>
        <w:t xml:space="preserve"> </w:t>
      </w:r>
      <w:r w:rsidRPr="132193BD" w:rsidR="000E2045">
        <w:rPr>
          <w:lang w:val="en-GB"/>
        </w:rPr>
        <w:t>&amp;</w:t>
      </w:r>
      <w:r w:rsidRPr="132193BD" w:rsidR="000E2045">
        <w:rPr>
          <w:lang w:val="en-GB"/>
        </w:rPr>
        <w:t xml:space="preserve"> </w:t>
      </w:r>
      <w:r w:rsidRPr="132193BD" w:rsidR="000E2045">
        <w:rPr>
          <w:lang w:val="en-GB"/>
        </w:rPr>
        <w:t xml:space="preserve">A </w:t>
      </w:r>
      <w:r w:rsidRPr="132193BD" w:rsidR="000E2045">
        <w:rPr>
          <w:lang w:val="en-GB"/>
        </w:rPr>
        <w:t xml:space="preserve">can be considered </w:t>
      </w:r>
      <w:r w:rsidRPr="132193BD" w:rsidR="000E2045">
        <w:rPr>
          <w:lang w:val="en-GB"/>
        </w:rPr>
        <w:t>a form of goal</w:t>
      </w:r>
      <w:r w:rsidRPr="132193BD" w:rsidR="000E2045">
        <w:rPr>
          <w:lang w:val="en-GB"/>
        </w:rPr>
        <w:t>-</w:t>
      </w:r>
      <w:r w:rsidRPr="132193BD" w:rsidR="000E2045">
        <w:rPr>
          <w:lang w:val="en-GB"/>
        </w:rPr>
        <w:t>based legislation</w:t>
      </w:r>
      <w:r w:rsidRPr="132193BD" w:rsidR="003A2082">
        <w:rPr>
          <w:lang w:val="en-GB"/>
        </w:rPr>
        <w:t xml:space="preserve"> and it is </w:t>
      </w:r>
      <w:r w:rsidRPr="132193BD" w:rsidR="009565FD">
        <w:rPr>
          <w:lang w:val="en-GB"/>
        </w:rPr>
        <w:t xml:space="preserve">generally </w:t>
      </w:r>
      <w:r w:rsidRPr="132193BD" w:rsidR="003A2082">
        <w:rPr>
          <w:lang w:val="en-GB"/>
        </w:rPr>
        <w:t>based</w:t>
      </w:r>
      <w:r w:rsidRPr="132193BD" w:rsidR="003A2082">
        <w:rPr>
          <w:lang w:val="en-GB"/>
        </w:rPr>
        <w:t xml:space="preserve"> on a holistic risk assessment</w:t>
      </w:r>
      <w:r w:rsidRPr="132193BD" w:rsidR="000E2045">
        <w:rPr>
          <w:lang w:val="en-GB"/>
        </w:rPr>
        <w:t>.</w:t>
      </w:r>
    </w:p>
    <w:p w:rsidR="003A2082" w:rsidP="003A2082" w:rsidRDefault="00923630" w14:paraId="413EB14F" w14:textId="68FE884B">
      <w:pPr>
        <w:rPr>
          <w:lang w:val="en-GB"/>
        </w:rPr>
      </w:pPr>
      <w:r w:rsidRPr="132193BD" w:rsidR="00923630">
        <w:rPr>
          <w:lang w:val="en-GB"/>
        </w:rPr>
        <w:t xml:space="preserve">AD &amp; A </w:t>
      </w:r>
      <w:r w:rsidRPr="132193BD" w:rsidR="003A2082">
        <w:rPr>
          <w:lang w:val="en-GB"/>
        </w:rPr>
        <w:t>can</w:t>
      </w:r>
      <w:r w:rsidRPr="132193BD" w:rsidR="00F26A89">
        <w:rPr>
          <w:lang w:val="en-GB"/>
        </w:rPr>
        <w:t xml:space="preserve"> </w:t>
      </w:r>
      <w:r w:rsidRPr="132193BD" w:rsidR="003A2082">
        <w:rPr>
          <w:lang w:val="en-GB"/>
        </w:rPr>
        <w:t xml:space="preserve">extend to </w:t>
      </w:r>
      <w:r w:rsidRPr="132193BD" w:rsidR="00F26A89">
        <w:rPr>
          <w:lang w:val="en-GB"/>
        </w:rPr>
        <w:t xml:space="preserve">the </w:t>
      </w:r>
      <w:r w:rsidRPr="132193BD" w:rsidR="003A2082">
        <w:rPr>
          <w:lang w:val="en-GB"/>
        </w:rPr>
        <w:t xml:space="preserve">whole </w:t>
      </w:r>
      <w:r w:rsidRPr="132193BD" w:rsidR="00F26A89">
        <w:rPr>
          <w:lang w:val="en-GB"/>
        </w:rPr>
        <w:t xml:space="preserve">arrangement </w:t>
      </w:r>
      <w:r w:rsidRPr="132193BD" w:rsidR="003A2082">
        <w:rPr>
          <w:lang w:val="en-GB"/>
        </w:rPr>
        <w:t>of the</w:t>
      </w:r>
      <w:r w:rsidRPr="132193BD" w:rsidR="003A2082">
        <w:rPr>
          <w:lang w:val="en-GB"/>
        </w:rPr>
        <w:t xml:space="preserve"> </w:t>
      </w:r>
      <w:r w:rsidRPr="132193BD" w:rsidR="003A2082">
        <w:rPr>
          <w:lang w:val="en-GB"/>
        </w:rPr>
        <w:t xml:space="preserve">ship, or </w:t>
      </w:r>
      <w:r w:rsidRPr="132193BD" w:rsidR="00F26A89">
        <w:rPr>
          <w:lang w:val="en-GB"/>
        </w:rPr>
        <w:t xml:space="preserve">alternatively it </w:t>
      </w:r>
      <w:r w:rsidRPr="132193BD" w:rsidR="003A2082">
        <w:rPr>
          <w:lang w:val="en-GB"/>
        </w:rPr>
        <w:t xml:space="preserve">can be focused on </w:t>
      </w:r>
      <w:r w:rsidRPr="132193BD" w:rsidR="003A2082">
        <w:rPr>
          <w:lang w:val="en-GB"/>
        </w:rPr>
        <w:t>items</w:t>
      </w:r>
      <w:r w:rsidRPr="132193BD" w:rsidR="00F26A89">
        <w:rPr>
          <w:lang w:val="en-GB"/>
        </w:rPr>
        <w:t xml:space="preserve">, </w:t>
      </w:r>
      <w:r w:rsidRPr="132193BD" w:rsidR="003A2082">
        <w:rPr>
          <w:lang w:val="en-GB"/>
        </w:rPr>
        <w:t>systems</w:t>
      </w:r>
      <w:r w:rsidRPr="132193BD" w:rsidR="003A2082">
        <w:rPr>
          <w:lang w:val="en-GB"/>
        </w:rPr>
        <w:t xml:space="preserve"> </w:t>
      </w:r>
      <w:r w:rsidRPr="132193BD" w:rsidR="003A2082">
        <w:rPr>
          <w:lang w:val="en-GB"/>
        </w:rPr>
        <w:t>or individual components</w:t>
      </w:r>
      <w:r w:rsidRPr="132193BD" w:rsidR="00F26A89">
        <w:rPr>
          <w:lang w:val="en-GB"/>
        </w:rPr>
        <w:t>, part of an equipment</w:t>
      </w:r>
      <w:r w:rsidRPr="132193BD" w:rsidR="003A2082">
        <w:rPr>
          <w:lang w:val="en-GB"/>
        </w:rPr>
        <w:t>.</w:t>
      </w:r>
    </w:p>
    <w:p w:rsidRPr="002615F8" w:rsidR="002615F8" w:rsidP="002615F8" w:rsidRDefault="002615F8" w14:paraId="4C254FCB" w14:textId="4C199C46">
      <w:pPr>
        <w:rPr>
          <w:lang w:val="en-GB"/>
        </w:rPr>
      </w:pPr>
      <w:r w:rsidRPr="002615F8">
        <w:rPr>
          <w:lang w:val="en-GB"/>
        </w:rPr>
        <w:lastRenderedPageBreak/>
        <w:t xml:space="preserve">Currently </w:t>
      </w:r>
      <w:r>
        <w:rPr>
          <w:lang w:val="en-GB"/>
        </w:rPr>
        <w:t xml:space="preserve">only </w:t>
      </w:r>
      <w:r w:rsidRPr="002615F8">
        <w:rPr>
          <w:lang w:val="en-GB"/>
        </w:rPr>
        <w:t xml:space="preserve">the </w:t>
      </w:r>
      <w:proofErr w:type="spellStart"/>
      <w:r w:rsidRPr="002615F8">
        <w:rPr>
          <w:lang w:val="en-GB"/>
        </w:rPr>
        <w:t>IGF</w:t>
      </w:r>
      <w:proofErr w:type="spellEnd"/>
      <w:r w:rsidRPr="002615F8">
        <w:rPr>
          <w:lang w:val="en-GB"/>
        </w:rPr>
        <w:t xml:space="preserve"> Code includes detailed </w:t>
      </w:r>
      <w:r>
        <w:rPr>
          <w:lang w:val="en-GB"/>
        </w:rPr>
        <w:t xml:space="preserve">and specific </w:t>
      </w:r>
      <w:r w:rsidRPr="002615F8">
        <w:rPr>
          <w:lang w:val="en-GB"/>
        </w:rPr>
        <w:t>prescriptive requirements for natural gas applications</w:t>
      </w:r>
      <w:r>
        <w:rPr>
          <w:lang w:val="en-GB"/>
        </w:rPr>
        <w:t>, but a</w:t>
      </w:r>
      <w:r w:rsidRPr="002615F8">
        <w:rPr>
          <w:lang w:val="en-GB"/>
        </w:rPr>
        <w:t>ll other low flashpoint fuels or gases m</w:t>
      </w:r>
      <w:r>
        <w:rPr>
          <w:lang w:val="en-GB"/>
        </w:rPr>
        <w:t xml:space="preserve">ust generally </w:t>
      </w:r>
      <w:r w:rsidRPr="002615F8">
        <w:rPr>
          <w:lang w:val="en-GB"/>
        </w:rPr>
        <w:t xml:space="preserve">demonstrate an equivalent level of safety </w:t>
      </w:r>
      <w:r>
        <w:rPr>
          <w:lang w:val="en-GB"/>
        </w:rPr>
        <w:t xml:space="preserve">following the </w:t>
      </w:r>
      <w:r w:rsidRPr="002615F8">
        <w:rPr>
          <w:lang w:val="en-GB"/>
        </w:rPr>
        <w:t xml:space="preserve">Alternative Design methodology </w:t>
      </w:r>
      <w:r>
        <w:rPr>
          <w:lang w:val="en-GB"/>
        </w:rPr>
        <w:t xml:space="preserve">and applicable processes, </w:t>
      </w:r>
      <w:r w:rsidRPr="002615F8">
        <w:rPr>
          <w:lang w:val="en-GB"/>
        </w:rPr>
        <w:t xml:space="preserve">as specified in SOLAS </w:t>
      </w:r>
      <w:r>
        <w:rPr>
          <w:lang w:val="en-GB"/>
        </w:rPr>
        <w:t xml:space="preserve">Reg. </w:t>
      </w:r>
      <w:r w:rsidRPr="002615F8">
        <w:rPr>
          <w:lang w:val="en-GB"/>
        </w:rPr>
        <w:t>II-1</w:t>
      </w:r>
      <w:r>
        <w:rPr>
          <w:lang w:val="en-GB"/>
        </w:rPr>
        <w:t>/</w:t>
      </w:r>
      <w:r w:rsidRPr="002615F8">
        <w:rPr>
          <w:lang w:val="en-GB"/>
        </w:rPr>
        <w:t xml:space="preserve">55 and </w:t>
      </w:r>
      <w:r>
        <w:rPr>
          <w:lang w:val="en-GB"/>
        </w:rPr>
        <w:t xml:space="preserve">relevant IMO </w:t>
      </w:r>
      <w:r w:rsidRPr="002615F8">
        <w:rPr>
          <w:lang w:val="en-GB"/>
        </w:rPr>
        <w:t xml:space="preserve">guidelines </w:t>
      </w:r>
      <w:r>
        <w:rPr>
          <w:lang w:val="en-GB"/>
        </w:rPr>
        <w:t>(</w:t>
      </w:r>
      <w:r w:rsidRPr="002615F8">
        <w:rPr>
          <w:lang w:val="en-GB"/>
        </w:rPr>
        <w:t>MSC.1/Circ.1212 or MSC.1/Circ.1455</w:t>
      </w:r>
      <w:r>
        <w:rPr>
          <w:lang w:val="en-GB"/>
        </w:rPr>
        <w:t>)</w:t>
      </w:r>
      <w:r w:rsidRPr="002615F8">
        <w:rPr>
          <w:lang w:val="en-GB"/>
        </w:rPr>
        <w:t>.</w:t>
      </w:r>
    </w:p>
    <w:p w:rsidR="00BC583A" w:rsidP="002615F8" w:rsidRDefault="002615F8" w14:paraId="07C2265A" w14:textId="13939BA1">
      <w:pPr>
        <w:rPr>
          <w:lang w:val="en-GB"/>
        </w:rPr>
      </w:pPr>
      <w:r w:rsidRPr="002615F8">
        <w:rPr>
          <w:lang w:val="en-GB"/>
        </w:rPr>
        <w:t xml:space="preserve">However, where other </w:t>
      </w:r>
      <w:r>
        <w:rPr>
          <w:lang w:val="en-GB"/>
        </w:rPr>
        <w:t xml:space="preserve">specific </w:t>
      </w:r>
      <w:r w:rsidRPr="002615F8">
        <w:rPr>
          <w:lang w:val="en-GB"/>
        </w:rPr>
        <w:t xml:space="preserve">IMO </w:t>
      </w:r>
      <w:r>
        <w:rPr>
          <w:lang w:val="en-GB"/>
        </w:rPr>
        <w:t xml:space="preserve">guidelines </w:t>
      </w:r>
      <w:r w:rsidRPr="002615F8">
        <w:rPr>
          <w:lang w:val="en-GB"/>
        </w:rPr>
        <w:t xml:space="preserve">exist for </w:t>
      </w:r>
      <w:proofErr w:type="gramStart"/>
      <w:r w:rsidRPr="002615F8">
        <w:rPr>
          <w:lang w:val="en-GB"/>
        </w:rPr>
        <w:t>particular gases</w:t>
      </w:r>
      <w:proofErr w:type="gramEnd"/>
      <w:r w:rsidRPr="002615F8">
        <w:rPr>
          <w:lang w:val="en-GB"/>
        </w:rPr>
        <w:t xml:space="preserve"> or other low flashpoint</w:t>
      </w:r>
      <w:r>
        <w:rPr>
          <w:lang w:val="en-GB"/>
        </w:rPr>
        <w:t xml:space="preserve"> </w:t>
      </w:r>
      <w:r w:rsidRPr="002615F8">
        <w:rPr>
          <w:lang w:val="en-GB"/>
        </w:rPr>
        <w:t>fuels</w:t>
      </w:r>
      <w:r w:rsidR="002B3303">
        <w:rPr>
          <w:lang w:val="en-GB"/>
        </w:rPr>
        <w:t xml:space="preserve"> and are based on a prescriptive regulatory framework</w:t>
      </w:r>
      <w:r w:rsidRPr="002615F8">
        <w:rPr>
          <w:lang w:val="en-GB"/>
        </w:rPr>
        <w:t xml:space="preserve">, </w:t>
      </w:r>
      <w:r w:rsidR="00D62BF8">
        <w:rPr>
          <w:lang w:val="en-GB"/>
        </w:rPr>
        <w:t xml:space="preserve">(e. g. </w:t>
      </w:r>
      <w:r w:rsidRPr="00D62BF8" w:rsidR="00D62BF8">
        <w:rPr>
          <w:lang w:val="en-GB"/>
        </w:rPr>
        <w:t>MSC.1/Circ.1621, the Interim</w:t>
      </w:r>
      <w:r w:rsidR="00D62BF8">
        <w:rPr>
          <w:lang w:val="en-GB"/>
        </w:rPr>
        <w:t xml:space="preserve"> </w:t>
      </w:r>
      <w:r w:rsidRPr="00D62BF8" w:rsidR="00D62BF8">
        <w:rPr>
          <w:lang w:val="en-GB"/>
        </w:rPr>
        <w:t>Guidelines for the Safety of Ships Using Methyl/Ethyl Alcohol as Fuel</w:t>
      </w:r>
      <w:r w:rsidR="00D62BF8">
        <w:rPr>
          <w:lang w:val="en-GB"/>
        </w:rPr>
        <w:t xml:space="preserve">), upon being agreed among the stakeholders and the Flag Administration, </w:t>
      </w:r>
      <w:r w:rsidRPr="002615F8">
        <w:rPr>
          <w:lang w:val="en-GB"/>
        </w:rPr>
        <w:t xml:space="preserve">these </w:t>
      </w:r>
      <w:r w:rsidR="00D62BF8">
        <w:rPr>
          <w:lang w:val="en-GB"/>
        </w:rPr>
        <w:t xml:space="preserve">guidelines </w:t>
      </w:r>
      <w:r w:rsidRPr="002615F8">
        <w:rPr>
          <w:lang w:val="en-GB"/>
        </w:rPr>
        <w:t>m</w:t>
      </w:r>
      <w:r w:rsidR="006471A4">
        <w:rPr>
          <w:lang w:val="en-GB"/>
        </w:rPr>
        <w:t>ight</w:t>
      </w:r>
      <w:r w:rsidRPr="002615F8">
        <w:rPr>
          <w:lang w:val="en-GB"/>
        </w:rPr>
        <w:t xml:space="preserve"> be applied in lieu of the Alternative Design</w:t>
      </w:r>
      <w:r w:rsidR="00D62BF8">
        <w:rPr>
          <w:lang w:val="en-GB"/>
        </w:rPr>
        <w:t xml:space="preserve"> </w:t>
      </w:r>
      <w:r w:rsidRPr="002615F8">
        <w:rPr>
          <w:lang w:val="en-GB"/>
        </w:rPr>
        <w:t>criteria.</w:t>
      </w:r>
    </w:p>
    <w:p w:rsidR="005C5D4B" w:rsidP="005C5D4B" w:rsidRDefault="0494FEAB" w14:paraId="5CDA4C53" w14:textId="2BF55F3D">
      <w:pPr>
        <w:pStyle w:val="Heading2"/>
        <w:rPr>
          <w:lang w:val="en-GB"/>
        </w:rPr>
      </w:pPr>
      <w:r w:rsidRPr="53A4CE07">
        <w:rPr>
          <w:lang w:val="en-GB"/>
        </w:rPr>
        <w:t xml:space="preserve">Lloyd’s Register </w:t>
      </w:r>
      <w:r w:rsidRPr="53A4CE07" w:rsidR="348FAB2E">
        <w:rPr>
          <w:lang w:val="en-GB"/>
        </w:rPr>
        <w:t>risk-based certification</w:t>
      </w:r>
    </w:p>
    <w:p w:rsidR="53A4CE07" w:rsidP="76C272FB" w:rsidRDefault="53A4CE07" w14:paraId="04457994" w14:textId="1FC2C31B">
      <w:pPr>
        <w:pStyle w:val="NoindentNormal"/>
        <w:rPr>
          <w:b/>
          <w:bCs/>
          <w:lang w:val="en-GB"/>
        </w:rPr>
      </w:pPr>
      <w:r w:rsidRPr="76C272FB">
        <w:rPr>
          <w:lang w:val="en-GB"/>
        </w:rPr>
        <w:t>As a mean to demonstrate the suitability and acceptability of a design also in the light of SOLAS requirements, LR has developed a structured tool of risk assessment process that in its last release has been defined Risk-based certification (RBC).</w:t>
      </w:r>
    </w:p>
    <w:p w:rsidR="53A4CE07" w:rsidP="3529857D" w:rsidRDefault="53A4CE07" w14:paraId="473E61F7" w14:textId="0B0D9ABB">
      <w:pPr>
        <w:spacing w:line="259" w:lineRule="auto"/>
        <w:rPr>
          <w:b/>
          <w:bCs/>
          <w:lang w:val="en-GB"/>
        </w:rPr>
      </w:pPr>
      <w:r w:rsidRPr="76C272FB">
        <w:rPr>
          <w:lang w:val="en-GB"/>
        </w:rPr>
        <w:t xml:space="preserve">This process is published in the dedicated Lloyds Register </w:t>
      </w:r>
      <w:r w:rsidRPr="76C272FB" w:rsidR="00B629D1">
        <w:rPr>
          <w:lang w:val="en-GB"/>
        </w:rPr>
        <w:t>S</w:t>
      </w:r>
      <w:r w:rsidRPr="76C272FB">
        <w:rPr>
          <w:lang w:val="en-GB"/>
        </w:rPr>
        <w:t>hip</w:t>
      </w:r>
      <w:r w:rsidRPr="76C272FB" w:rsidR="00B629D1">
        <w:rPr>
          <w:lang w:val="en-GB"/>
        </w:rPr>
        <w:t>R</w:t>
      </w:r>
      <w:r w:rsidRPr="76C272FB">
        <w:rPr>
          <w:lang w:val="en-GB"/>
        </w:rPr>
        <w:t>ight document</w:t>
      </w:r>
      <w:r w:rsidRPr="76C272FB" w:rsidR="0021271F">
        <w:rPr>
          <w:lang w:val="en-GB"/>
        </w:rPr>
        <w:t xml:space="preserve"> [17].</w:t>
      </w:r>
      <w:r w:rsidRPr="76C272FB">
        <w:rPr>
          <w:lang w:val="en-GB"/>
        </w:rPr>
        <w:t xml:space="preserve"> It is a unique guide for designers, owners, operators, and shipbuilders who need to embrace a process of certification for projects where a comprehensive set of detailed prescriptive requirements has not been developed yet in the international rules and regulations, such as for example the alternative fuels installations which are subject of the present article.</w:t>
      </w:r>
    </w:p>
    <w:p w:rsidR="0EF58FD3" w:rsidP="0EF58FD3" w:rsidRDefault="0EF58FD3" w14:paraId="11F37E74" w14:textId="53C405F1">
      <w:r w:rsidRPr="76C272FB">
        <w:rPr>
          <w:lang w:val="en-GB"/>
        </w:rPr>
        <w:t>The process is defined in stages</w:t>
      </w:r>
      <w:r w:rsidRPr="76C272FB" w:rsidR="00500502">
        <w:rPr>
          <w:lang w:val="en-GB"/>
        </w:rPr>
        <w:t xml:space="preserve">, summarized in </w:t>
      </w:r>
      <w:r w:rsidRPr="76C272FB" w:rsidR="00500502">
        <w:rPr>
          <w:b/>
          <w:bCs/>
          <w:lang w:val="en-GB"/>
        </w:rPr>
        <w:t>Figure 1</w:t>
      </w:r>
      <w:r w:rsidRPr="76C272FB" w:rsidR="00500502">
        <w:rPr>
          <w:lang w:val="en-GB"/>
        </w:rPr>
        <w:t>,</w:t>
      </w:r>
      <w:r w:rsidRPr="76C272FB">
        <w:rPr>
          <w:lang w:val="en-GB"/>
        </w:rPr>
        <w:t xml:space="preserve"> and the stages as </w:t>
      </w:r>
      <w:proofErr w:type="gramStart"/>
      <w:r w:rsidRPr="76C272FB">
        <w:rPr>
          <w:lang w:val="en-GB"/>
        </w:rPr>
        <w:t>well  as</w:t>
      </w:r>
      <w:proofErr w:type="gramEnd"/>
      <w:r w:rsidRPr="76C272FB">
        <w:rPr>
          <w:lang w:val="en-GB"/>
        </w:rPr>
        <w:t xml:space="preserve"> the overall process given by RBC are consistent with the requirements described in the IMO MSC.1/Circular.1455 and MSC.1/Circular.1212/Rev.1.</w:t>
      </w:r>
    </w:p>
    <w:p w:rsidR="0EF58FD3" w:rsidP="0EF58FD3" w:rsidRDefault="0EF58FD3" w14:paraId="4A0B25EE" w14:textId="13AA94AC">
      <w:pPr>
        <w:rPr>
          <w:lang w:val="en-GB"/>
        </w:rPr>
      </w:pPr>
      <w:r w:rsidRPr="3529857D">
        <w:rPr>
          <w:lang w:val="en-GB"/>
        </w:rPr>
        <w:t xml:space="preserve"> </w:t>
      </w:r>
      <w:r w:rsidR="00563846">
        <w:rPr>
          <w:noProof/>
          <w:lang w:val="en-GB"/>
        </w:rPr>
        <w:drawing>
          <wp:inline distT="0" distB="0" distL="0" distR="0" wp14:anchorId="5287032C" wp14:editId="199944E2">
            <wp:extent cx="4462145" cy="1060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2145" cy="1060450"/>
                    </a:xfrm>
                    <a:prstGeom prst="rect">
                      <a:avLst/>
                    </a:prstGeom>
                    <a:noFill/>
                    <a:ln>
                      <a:noFill/>
                    </a:ln>
                  </pic:spPr>
                </pic:pic>
              </a:graphicData>
            </a:graphic>
          </wp:inline>
        </w:drawing>
      </w:r>
    </w:p>
    <w:p w:rsidR="00563846" w:rsidP="00563846" w:rsidRDefault="00563846" w14:paraId="12165784" w14:textId="0007D0B4">
      <w:pPr>
        <w:pStyle w:val="CaptionShort"/>
      </w:pPr>
      <w:r>
        <w:rPr>
          <w:b/>
        </w:rPr>
        <w:t>Figure 1.</w:t>
      </w:r>
      <w:r>
        <w:t xml:space="preserve"> Risk Based Certification (RBC) process</w:t>
      </w:r>
    </w:p>
    <w:p w:rsidR="3529857D" w:rsidP="0A4D45C3" w:rsidRDefault="3529857D" w14:paraId="4D3F94E0" w14:textId="492CA4A7">
      <w:pPr>
        <w:spacing w:line="259" w:lineRule="auto"/>
      </w:pPr>
    </w:p>
    <w:p w:rsidR="0EF58FD3" w:rsidP="76C272FB" w:rsidRDefault="0EF58FD3" w14:paraId="31B970C8" w14:textId="610726EF">
      <w:pPr>
        <w:spacing w:line="259" w:lineRule="auto"/>
      </w:pPr>
      <w:r>
        <w:t>RBC-1 – Design and Safety Statement is the basis of the definition of a project where the boundaries of the investigation are set, and the stakeholders are identified.</w:t>
      </w:r>
    </w:p>
    <w:p w:rsidR="0EF58FD3" w:rsidP="76C272FB" w:rsidRDefault="0EF58FD3" w14:paraId="7125A6B7" w14:textId="125F2C45">
      <w:pPr>
        <w:spacing w:line="259" w:lineRule="auto"/>
      </w:pPr>
      <w:r>
        <w:t>RBC-2 – Risk Assessment is a Hazard Identification (</w:t>
      </w:r>
      <w:proofErr w:type="spellStart"/>
      <w:r>
        <w:t>HazId</w:t>
      </w:r>
      <w:proofErr w:type="spellEnd"/>
      <w:r>
        <w:t>) type risk assessment. This means that the likelihood of events is estimated, for example, a fuel leak from a damaged valve, in addition to identifying causes, recording prevention and mitigation measures, and estimating consequences (i.e., harm to persons). Consequences and their likelihood are also individually categorized and combined to provide risk ratings. These risk ratings are then compared against criteria to judge if the risk of an event is ‘low’ or has been ‘mitigated as necessary’ (refer to Ch. 3 Risk Criteria). Only if the risk is shown to be ‘low’ or ‘mitigated as necessary’ it can be ‘accepted’ (i.e., a ‘high’ risk can never be accepted).</w:t>
      </w:r>
    </w:p>
    <w:p w:rsidR="0EF58FD3" w:rsidP="3529857D" w:rsidRDefault="0EF58FD3" w14:paraId="17B7A9EB" w14:textId="4F5D1B09">
      <w:pPr>
        <w:spacing w:line="259" w:lineRule="auto"/>
      </w:pPr>
      <w:r>
        <w:lastRenderedPageBreak/>
        <w:t xml:space="preserve">Normally from the outcome of the stage RBC-2 but often also in the light of other inputs, a stage RBC-3 – Supporting Studies may be considered necessary to further investigate some aspects of the design. For example: to help address details that were unknown at the RBC-2 stage or uncertainties in risk assessment inputs; and to confirm the suitability of design options or changes. Gas dispersion and explosion analysis can be examples of supporting studies for hydrogen installation. The type and depth of the study needs to be commensurate with the ‘level’ of risk and the severity of potential consequences. </w:t>
      </w:r>
    </w:p>
    <w:p w:rsidR="00D5006D" w:rsidP="76C272FB" w:rsidRDefault="0EF58FD3" w14:paraId="75687396" w14:textId="1657F91E">
      <w:pPr>
        <w:spacing w:line="259" w:lineRule="auto"/>
      </w:pPr>
      <w:r>
        <w:t>The RBC-4 – Final Design Assessment is to be performed on a mature design and its purpose is to determine if further modifications or refinements are required for ‘acceptance’ of the risks presented by the design, summarizes the justification of why the design should be accepted by LR and/or the regulator (e.g., National Administration), and provides input to design appraisal and the normal rigors of third-party certification.</w:t>
      </w:r>
    </w:p>
    <w:p w:rsidR="00044FF2" w:rsidP="00044FF2" w:rsidRDefault="00492154" w14:paraId="4BC0B07F" w14:textId="296168D7">
      <w:pPr>
        <w:pStyle w:val="Heading1"/>
      </w:pPr>
      <w:r>
        <w:t>Case studies</w:t>
      </w:r>
    </w:p>
    <w:p w:rsidR="000D0079" w:rsidP="3529857D" w:rsidRDefault="6A750D69" w14:paraId="0A280259" w14:textId="6EA56090">
      <w:pPr>
        <w:pStyle w:val="NoindentNormal"/>
        <w:spacing w:line="259" w:lineRule="auto"/>
      </w:pPr>
      <w:r>
        <w:t>We are currently participating in</w:t>
      </w:r>
      <w:r w:rsidR="1DC697F3">
        <w:t xml:space="preserve"> several projects </w:t>
      </w:r>
      <w:r w:rsidR="0628EA14">
        <w:t xml:space="preserve">of different types, such as classification, </w:t>
      </w:r>
      <w:r w:rsidR="2DE21406">
        <w:t xml:space="preserve">risk </w:t>
      </w:r>
      <w:r w:rsidR="2DC66E46">
        <w:t>assessment</w:t>
      </w:r>
      <w:r w:rsidR="68E09DBB">
        <w:t xml:space="preserve"> and research in collaboration with other partners</w:t>
      </w:r>
      <w:r w:rsidR="664623BC">
        <w:t>.</w:t>
      </w:r>
    </w:p>
    <w:p w:rsidR="3529857D" w:rsidP="000D0079" w:rsidRDefault="0022497C" w14:paraId="3C4471F4" w14:textId="4765D659">
      <w:pPr>
        <w:spacing w:line="259" w:lineRule="auto"/>
      </w:pPr>
      <w:r>
        <w:t>Among the research projects</w:t>
      </w:r>
      <w:r w:rsidR="00B66C80">
        <w:t>,</w:t>
      </w:r>
      <w:r>
        <w:t xml:space="preserve"> </w:t>
      </w:r>
      <w:proofErr w:type="spellStart"/>
      <w:proofErr w:type="gramStart"/>
      <w:r w:rsidR="00370AC1">
        <w:t>R</w:t>
      </w:r>
      <w:r w:rsidR="00526C73">
        <w:t>EShiP</w:t>
      </w:r>
      <w:proofErr w:type="spellEnd"/>
      <w:proofErr w:type="gramEnd"/>
      <w:r w:rsidR="00526C73">
        <w:t xml:space="preserve"> </w:t>
      </w:r>
      <w:r w:rsidR="00B66C80">
        <w:t xml:space="preserve">[18] </w:t>
      </w:r>
      <w:r w:rsidR="00C112B7">
        <w:t xml:space="preserve">aimed to the </w:t>
      </w:r>
      <w:r w:rsidR="006C24D4">
        <w:t>identificatio</w:t>
      </w:r>
      <w:r w:rsidR="004E6DD9">
        <w:t>n,</w:t>
      </w:r>
      <w:r w:rsidR="00DC6B45">
        <w:t xml:space="preserve"> concept</w:t>
      </w:r>
      <w:r w:rsidR="004E6DD9">
        <w:t xml:space="preserve"> engineering and risk-based </w:t>
      </w:r>
      <w:r w:rsidR="00202A9A">
        <w:t>certification</w:t>
      </w:r>
      <w:r w:rsidR="006C24D4">
        <w:t xml:space="preserve"> of a ship </w:t>
      </w:r>
      <w:r w:rsidR="00E927C4">
        <w:t xml:space="preserve">whose main power demand could be supplied by </w:t>
      </w:r>
      <w:r w:rsidR="00DC6B45">
        <w:t xml:space="preserve">a combination of fuel cells and </w:t>
      </w:r>
      <w:r w:rsidR="00604854">
        <w:t xml:space="preserve">lithium </w:t>
      </w:r>
      <w:r w:rsidR="00DC6B45">
        <w:t>batteries</w:t>
      </w:r>
      <w:r w:rsidR="004E6DD9">
        <w:t>.</w:t>
      </w:r>
      <w:r w:rsidR="00C112B7">
        <w:t xml:space="preserve"> </w:t>
      </w:r>
      <w:r w:rsidR="00202A9A">
        <w:t xml:space="preserve">Current Direct [19] is a project </w:t>
      </w:r>
      <w:r w:rsidR="002806FF">
        <w:t xml:space="preserve">focusing on the development </w:t>
      </w:r>
      <w:r w:rsidR="00F35D15">
        <w:t xml:space="preserve">and certification </w:t>
      </w:r>
      <w:r w:rsidR="002806FF">
        <w:t xml:space="preserve">of a </w:t>
      </w:r>
      <w:r w:rsidR="00F35D15">
        <w:t>Li-ion based, swappable containerized solution</w:t>
      </w:r>
      <w:r w:rsidR="000D0079">
        <w:t xml:space="preserve"> as a main source of electrical power.</w:t>
      </w:r>
    </w:p>
    <w:p w:rsidR="3529857D" w:rsidP="3529857D" w:rsidRDefault="00474AC7" w14:paraId="5F09A926" w14:textId="0D73A91A">
      <w:pPr>
        <w:spacing w:line="259" w:lineRule="auto"/>
      </w:pPr>
      <w:r w:rsidR="00474AC7">
        <w:rPr/>
        <w:t>Several Y</w:t>
      </w:r>
      <w:r w:rsidR="00361F8F">
        <w:rPr/>
        <w:t xml:space="preserve">achts </w:t>
      </w:r>
      <w:r w:rsidR="00BE1C3D">
        <w:rPr/>
        <w:t xml:space="preserve">with lithium batteries and hybrid </w:t>
      </w:r>
      <w:r w:rsidR="00A61E76">
        <w:rPr/>
        <w:t>power systems</w:t>
      </w:r>
      <w:r w:rsidR="00BF32BA">
        <w:rPr/>
        <w:t xml:space="preserve"> have been recently delivered and classified</w:t>
      </w:r>
      <w:r w:rsidR="007361C7">
        <w:rPr/>
        <w:t xml:space="preserve"> (</w:t>
      </w:r>
      <w:r w:rsidR="007361C7">
        <w:rPr/>
        <w:t>Cerri</w:t>
      </w:r>
      <w:r w:rsidR="007361C7">
        <w:rPr/>
        <w:t xml:space="preserve"> </w:t>
      </w:r>
      <w:r w:rsidR="00681B54">
        <w:rPr/>
        <w:t>Cantieri</w:t>
      </w:r>
      <w:r w:rsidR="00681B54">
        <w:rPr/>
        <w:t xml:space="preserve"> </w:t>
      </w:r>
      <w:r w:rsidR="00681B54">
        <w:rPr/>
        <w:t>Navali</w:t>
      </w:r>
      <w:r w:rsidR="00681B54">
        <w:rPr/>
        <w:t xml:space="preserve"> MY</w:t>
      </w:r>
      <w:r w:rsidR="007361C7">
        <w:rPr/>
        <w:t xml:space="preserve"> </w:t>
      </w:r>
      <w:proofErr w:type="spellStart"/>
      <w:r w:rsidR="007361C7">
        <w:rPr/>
        <w:t>Vanadis</w:t>
      </w:r>
      <w:proofErr w:type="spellEnd"/>
      <w:r w:rsidR="007361C7">
        <w:rPr/>
        <w:t xml:space="preserve">, </w:t>
      </w:r>
      <w:r w:rsidR="008A0DF7">
        <w:rPr/>
        <w:t>Benetti</w:t>
      </w:r>
      <w:r w:rsidR="00A61E76">
        <w:rPr/>
        <w:t xml:space="preserve"> MY</w:t>
      </w:r>
      <w:r w:rsidR="008A0DF7">
        <w:rPr/>
        <w:t xml:space="preserve"> Luminosity</w:t>
      </w:r>
      <w:r w:rsidR="0073713E">
        <w:rPr/>
        <w:t xml:space="preserve">) while other </w:t>
      </w:r>
      <w:r w:rsidR="009805D5">
        <w:rPr/>
        <w:t xml:space="preserve">projects are ongoing. </w:t>
      </w:r>
      <w:r w:rsidR="003C1A85">
        <w:rPr/>
        <w:t xml:space="preserve">Other </w:t>
      </w:r>
      <w:r w:rsidR="00E845D1">
        <w:rPr/>
        <w:t>current Yacht projects are considering the installation</w:t>
      </w:r>
      <w:r w:rsidR="00687121">
        <w:rPr/>
        <w:t xml:space="preserve"> of</w:t>
      </w:r>
      <w:r w:rsidR="00F658B6">
        <w:rPr/>
        <w:t xml:space="preserve"> </w:t>
      </w:r>
      <w:r w:rsidR="00F658B6">
        <w:rPr/>
        <w:t>PEMFC</w:t>
      </w:r>
      <w:r w:rsidR="00F658B6">
        <w:rPr/>
        <w:t xml:space="preserve"> fueled by H</w:t>
      </w:r>
      <w:r w:rsidRPr="132193BD" w:rsidR="00F658B6">
        <w:rPr>
          <w:vertAlign w:val="subscript"/>
        </w:rPr>
        <w:t>2</w:t>
      </w:r>
      <w:r w:rsidR="00F658B6">
        <w:rPr/>
        <w:t xml:space="preserve"> obtained from methanol</w:t>
      </w:r>
      <w:r w:rsidR="00687121">
        <w:rPr/>
        <w:t xml:space="preserve"> reforming</w:t>
      </w:r>
      <w:r w:rsidR="00F658B6">
        <w:rPr/>
        <w:t xml:space="preserve"> </w:t>
      </w:r>
      <w:r w:rsidR="00687121">
        <w:rPr/>
        <w:t>or generating sets running on methanol fuel.</w:t>
      </w:r>
    </w:p>
    <w:p w:rsidR="00B05D6E" w:rsidP="2157D31D" w:rsidRDefault="00D977A8" w14:paraId="44BB7AD5" w14:textId="620E82D8">
      <w:pPr>
        <w:spacing w:line="259" w:lineRule="auto"/>
      </w:pPr>
      <w:r>
        <w:t xml:space="preserve">The cruise industry is no exception to the trend. In addition, it is expected that some areas of particular interest for cruise routes, such as the </w:t>
      </w:r>
      <w:proofErr w:type="spellStart"/>
      <w:r w:rsidR="2157D31D">
        <w:t>Geirangerfjord</w:t>
      </w:r>
      <w:proofErr w:type="spellEnd"/>
      <w:r>
        <w:t xml:space="preserve"> in Norway, will become restricted to zero-emissions ships only </w:t>
      </w:r>
      <w:proofErr w:type="gramStart"/>
      <w:r>
        <w:t>in the near future</w:t>
      </w:r>
      <w:proofErr w:type="gramEnd"/>
      <w:r>
        <w:t xml:space="preserve">. This has pushed cruise vessel owners, together with yards, designers, OEMs, </w:t>
      </w:r>
      <w:proofErr w:type="gramStart"/>
      <w:r>
        <w:t>Class</w:t>
      </w:r>
      <w:proofErr w:type="gramEnd"/>
      <w:r>
        <w:t xml:space="preserve"> and other partners into the development of ships, which can sail for some time in zero-emissions conditions. To meet these goals, for certain projects, technologies such as multi-MW fuels cells and matching LH</w:t>
      </w:r>
      <w:r w:rsidRPr="76C272FB">
        <w:rPr>
          <w:vertAlign w:val="subscript"/>
        </w:rPr>
        <w:t>2</w:t>
      </w:r>
      <w:r>
        <w:t xml:space="preserve"> storage and handling arrangements have been chosen and are currently being developed for the purpose.</w:t>
      </w:r>
    </w:p>
    <w:p w:rsidR="00B05D6E" w:rsidP="3529857D" w:rsidRDefault="00B05D6E" w14:paraId="67640FE0" w14:textId="77777777">
      <w:pPr>
        <w:pStyle w:val="HeadingUnn1"/>
      </w:pPr>
      <w:r>
        <w:t>References</w:t>
      </w:r>
    </w:p>
    <w:p w:rsidR="3529857D" w:rsidP="00276B21" w:rsidRDefault="00581F54" w14:paraId="0530F1FF" w14:textId="0146E01B">
      <w:pPr>
        <w:pStyle w:val="References"/>
        <w:numPr>
          <w:ilvl w:val="0"/>
          <w:numId w:val="13"/>
        </w:numPr>
        <w:tabs>
          <w:tab w:val="num" w:pos="255"/>
        </w:tabs>
        <w:ind w:left="369" w:hanging="369"/>
      </w:pPr>
      <w:r>
        <w:rPr>
          <w:snapToGrid w:val="0"/>
        </w:rPr>
        <w:tab/>
      </w:r>
      <w:proofErr w:type="spellStart"/>
      <w:r w:rsidR="3529857D">
        <w:t>O’Hayre</w:t>
      </w:r>
      <w:proofErr w:type="spellEnd"/>
      <w:r w:rsidR="3529857D">
        <w:t xml:space="preserve"> R, Cha S-W, Colella </w:t>
      </w:r>
      <w:proofErr w:type="spellStart"/>
      <w:r w:rsidR="3529857D">
        <w:t>WG</w:t>
      </w:r>
      <w:proofErr w:type="spellEnd"/>
      <w:r w:rsidR="3529857D">
        <w:t>, Prinz FB. Fuel cell fundamentals; Third edition. John Wiley &amp; Sons, Inc., 2016.</w:t>
      </w:r>
    </w:p>
    <w:p w:rsidR="3529857D" w:rsidP="00276B21" w:rsidRDefault="00581F54" w14:paraId="3701B3A9" w14:textId="4022E297">
      <w:pPr>
        <w:pStyle w:val="References"/>
        <w:numPr>
          <w:ilvl w:val="0"/>
          <w:numId w:val="13"/>
        </w:numPr>
        <w:tabs>
          <w:tab w:val="num" w:pos="255"/>
        </w:tabs>
        <w:ind w:left="369" w:hanging="369"/>
      </w:pPr>
      <w:r>
        <w:rPr>
          <w:snapToGrid w:val="0"/>
        </w:rPr>
        <w:tab/>
      </w:r>
      <w:r w:rsidR="3529857D">
        <w:t xml:space="preserve">Van </w:t>
      </w:r>
      <w:proofErr w:type="spellStart"/>
      <w:r w:rsidR="3529857D">
        <w:t>Howecke</w:t>
      </w:r>
      <w:proofErr w:type="spellEnd"/>
      <w:r w:rsidR="3529857D">
        <w:t xml:space="preserve"> L, et al. Challenges in the use of hydrogen for maritime applications; Energy Environ. Sci., 2021, 14, 815.</w:t>
      </w:r>
    </w:p>
    <w:p w:rsidR="3529857D" w:rsidP="00276B21" w:rsidRDefault="00581F54" w14:paraId="2A20975C" w14:textId="442AE3CA">
      <w:pPr>
        <w:pStyle w:val="References"/>
        <w:numPr>
          <w:ilvl w:val="0"/>
          <w:numId w:val="13"/>
        </w:numPr>
        <w:tabs>
          <w:tab w:val="num" w:pos="255"/>
        </w:tabs>
        <w:ind w:left="369" w:hanging="369"/>
      </w:pPr>
      <w:r>
        <w:rPr>
          <w:snapToGrid w:val="0"/>
        </w:rPr>
        <w:tab/>
      </w:r>
      <w:r w:rsidR="3529857D">
        <w:t>Study on electrical energy storage for ships. EMSA, 2020.</w:t>
      </w:r>
    </w:p>
    <w:p w:rsidRPr="006362F8" w:rsidR="006362F8" w:rsidP="00276B21" w:rsidRDefault="00A8551F" w14:paraId="3C71A3B6" w14:textId="5B41B9DA">
      <w:pPr>
        <w:pStyle w:val="References"/>
        <w:numPr>
          <w:ilvl w:val="0"/>
          <w:numId w:val="13"/>
        </w:numPr>
        <w:tabs>
          <w:tab w:val="num" w:pos="255"/>
        </w:tabs>
        <w:ind w:left="369" w:hanging="369"/>
      </w:pPr>
      <w:r>
        <w:rPr>
          <w:snapToGrid w:val="0"/>
        </w:rPr>
        <w:t>IMO</w:t>
      </w:r>
      <w:r w:rsidR="00BC2AD4">
        <w:rPr>
          <w:snapToGrid w:val="0"/>
        </w:rPr>
        <w:t xml:space="preserve">. </w:t>
      </w:r>
      <w:proofErr w:type="spellStart"/>
      <w:r w:rsidR="006362F8">
        <w:rPr>
          <w:snapToGrid w:val="0"/>
        </w:rPr>
        <w:t>IGF</w:t>
      </w:r>
      <w:proofErr w:type="spellEnd"/>
      <w:r w:rsidR="006362F8">
        <w:rPr>
          <w:snapToGrid w:val="0"/>
        </w:rPr>
        <w:t xml:space="preserve"> Code</w:t>
      </w:r>
      <w:r w:rsidR="00BC2AD4">
        <w:rPr>
          <w:snapToGrid w:val="0"/>
        </w:rPr>
        <w:t xml:space="preserve"> – International code of safety for ships using gases or other low-flashpoint fuels.</w:t>
      </w:r>
    </w:p>
    <w:p w:rsidRPr="006362F8" w:rsidR="006362F8" w:rsidP="00276B21" w:rsidRDefault="00DB3C6D" w14:paraId="5054E361" w14:textId="6112AB10">
      <w:pPr>
        <w:pStyle w:val="References"/>
        <w:numPr>
          <w:ilvl w:val="0"/>
          <w:numId w:val="13"/>
        </w:numPr>
        <w:tabs>
          <w:tab w:val="num" w:pos="255"/>
        </w:tabs>
        <w:ind w:left="369" w:hanging="369"/>
      </w:pPr>
      <w:r>
        <w:rPr>
          <w:snapToGrid w:val="0"/>
        </w:rPr>
        <w:lastRenderedPageBreak/>
        <w:t>IMO. MSC.1/Circ 1621. Interim guidelines for the safety of ships using methyl/ethyl alcohol as fuel</w:t>
      </w:r>
      <w:r w:rsidR="007D38A7">
        <w:rPr>
          <w:snapToGrid w:val="0"/>
        </w:rPr>
        <w:t>, 7 December 2020.</w:t>
      </w:r>
    </w:p>
    <w:p w:rsidRPr="00EF5802" w:rsidR="006362F8" w:rsidP="00276B21" w:rsidRDefault="00DB3C6D" w14:paraId="7A1EBE7E" w14:textId="64A454CF">
      <w:pPr>
        <w:pStyle w:val="References"/>
        <w:numPr>
          <w:ilvl w:val="0"/>
          <w:numId w:val="13"/>
        </w:numPr>
        <w:tabs>
          <w:tab w:val="num" w:pos="255"/>
        </w:tabs>
        <w:ind w:left="369" w:hanging="369"/>
      </w:pPr>
      <w:r>
        <w:rPr>
          <w:snapToGrid w:val="0"/>
        </w:rPr>
        <w:t xml:space="preserve">IMO. </w:t>
      </w:r>
      <w:r w:rsidR="00285F7D">
        <w:t>CCC 7/WP.3. Annex 1 – Draft MSC Circular – Interim guidelines for the safety of ships using fuel cell power installations, 9 September 2021.</w:t>
      </w:r>
    </w:p>
    <w:p w:rsidR="00EF5802" w:rsidP="00EF5802" w:rsidRDefault="00EF5802" w14:paraId="0DC6A3DF" w14:textId="46D5BF4C">
      <w:pPr>
        <w:pStyle w:val="References"/>
        <w:numPr>
          <w:ilvl w:val="0"/>
          <w:numId w:val="13"/>
        </w:numPr>
        <w:tabs>
          <w:tab w:val="num" w:pos="255"/>
        </w:tabs>
        <w:ind w:left="369" w:hanging="369"/>
      </w:pPr>
      <w:r>
        <w:t>Lloyd’s Register. Notice No. 4 to the Rules and Regulations for the Classification of Ships, July 2021, Part 5, Chapter 26.</w:t>
      </w:r>
    </w:p>
    <w:p w:rsidR="00EF5802" w:rsidP="00EF5802" w:rsidRDefault="00EF5802" w14:paraId="18896D78" w14:textId="2A0E8B39">
      <w:pPr>
        <w:pStyle w:val="References"/>
        <w:numPr>
          <w:ilvl w:val="0"/>
          <w:numId w:val="13"/>
        </w:numPr>
        <w:tabs>
          <w:tab w:val="num" w:pos="255"/>
        </w:tabs>
        <w:ind w:left="369" w:hanging="369"/>
      </w:pPr>
      <w:r>
        <w:t>IEC 62282-2-100:2020 Fuel cell technologies – Part 2-100: Fuel cell modules – Safety</w:t>
      </w:r>
    </w:p>
    <w:p w:rsidR="00EF5802" w:rsidP="00EF5802" w:rsidRDefault="00EF5802" w14:paraId="6B3944B2" w14:textId="5E1175F7">
      <w:pPr>
        <w:pStyle w:val="References"/>
        <w:numPr>
          <w:ilvl w:val="0"/>
          <w:numId w:val="13"/>
        </w:numPr>
        <w:tabs>
          <w:tab w:val="num" w:pos="255"/>
        </w:tabs>
        <w:ind w:left="369" w:hanging="369"/>
      </w:pPr>
      <w:r>
        <w:t>IEC 62282-3-100 :2019 Fuel cell technologies – Part 3-100: Stationary fuel cell power systems – Safety</w:t>
      </w:r>
    </w:p>
    <w:p w:rsidR="00EF5802" w:rsidP="00EF5802" w:rsidRDefault="00EF5802" w14:paraId="0D10D001" w14:textId="32AEC2AB">
      <w:pPr>
        <w:pStyle w:val="References"/>
        <w:numPr>
          <w:ilvl w:val="0"/>
          <w:numId w:val="13"/>
        </w:numPr>
        <w:tabs>
          <w:tab w:val="num" w:pos="255"/>
        </w:tabs>
        <w:ind w:left="369" w:hanging="369"/>
      </w:pPr>
      <w:r>
        <w:t>Lloyd’s Register. Rules and Regulations for the Classification of Ships, July 2021, Part 6, Chapter 2, Section 12.</w:t>
      </w:r>
    </w:p>
    <w:p w:rsidR="00EF5802" w:rsidP="00EF5802" w:rsidRDefault="00EF5802" w14:paraId="59087AB2" w14:textId="756EE6C5">
      <w:pPr>
        <w:pStyle w:val="References"/>
        <w:numPr>
          <w:ilvl w:val="0"/>
          <w:numId w:val="13"/>
        </w:numPr>
        <w:tabs>
          <w:tab w:val="num" w:pos="255"/>
        </w:tabs>
        <w:ind w:left="369" w:hanging="369"/>
      </w:pPr>
      <w:r>
        <w:t>IEC 62619:2017 Secondary cells and batteries containing alkaline or other non-acid electrolytes – Safety requirements for secondary lithium cells and batteries, for use in industrial applications.</w:t>
      </w:r>
    </w:p>
    <w:p w:rsidR="00EF5802" w:rsidP="00EF5802" w:rsidRDefault="00EF5802" w14:paraId="3557F1AE" w14:textId="3A980CCD">
      <w:pPr>
        <w:pStyle w:val="References"/>
        <w:numPr>
          <w:ilvl w:val="0"/>
          <w:numId w:val="13"/>
        </w:numPr>
        <w:tabs>
          <w:tab w:val="num" w:pos="255"/>
        </w:tabs>
        <w:ind w:left="369" w:hanging="369"/>
      </w:pPr>
      <w:r>
        <w:t>IEC 62620:2015 Secondary cells and batteries containing alkaline or other non-acid electrolytes — Secondary lithium cells and batteries for use in industrial applications</w:t>
      </w:r>
    </w:p>
    <w:p w:rsidR="00EF5802" w:rsidP="00EF5802" w:rsidRDefault="00EF5802" w14:paraId="09DF7316" w14:textId="762FEA6A">
      <w:pPr>
        <w:pStyle w:val="References"/>
        <w:numPr>
          <w:ilvl w:val="0"/>
          <w:numId w:val="13"/>
        </w:numPr>
        <w:tabs>
          <w:tab w:val="num" w:pos="255"/>
        </w:tabs>
        <w:ind w:left="369" w:hanging="369"/>
      </w:pPr>
      <w:r>
        <w:t>Lloyd’s Register. Type Approval System – Test Specification Number 5 – Type testing for lithium battery systems, March 2019.</w:t>
      </w:r>
    </w:p>
    <w:p w:rsidR="00EF5802" w:rsidP="00EF5802" w:rsidRDefault="00EF5802" w14:paraId="5C4EC26C" w14:textId="2740CB76">
      <w:pPr>
        <w:pStyle w:val="References"/>
        <w:numPr>
          <w:ilvl w:val="0"/>
          <w:numId w:val="13"/>
        </w:numPr>
        <w:tabs>
          <w:tab w:val="num" w:pos="255"/>
        </w:tabs>
        <w:ind w:left="369" w:hanging="369"/>
      </w:pPr>
      <w:r>
        <w:t>Lloyd’s Register. Rules and Regulations for the Classification of Ships, July 2021, Part 6, Chapter 2, Section 24.</w:t>
      </w:r>
    </w:p>
    <w:p w:rsidR="00EF5802" w:rsidP="00EF5802" w:rsidRDefault="00EF5802" w14:paraId="54858240" w14:textId="7BCA3785">
      <w:pPr>
        <w:pStyle w:val="References"/>
        <w:numPr>
          <w:ilvl w:val="0"/>
          <w:numId w:val="13"/>
        </w:numPr>
        <w:tabs>
          <w:tab w:val="num" w:pos="255"/>
        </w:tabs>
        <w:ind w:left="369" w:hanging="369"/>
      </w:pPr>
      <w:r>
        <w:t>Lloyd’s Register. Rules and Regulations for the Classification of Ships using Gases or other Low-flashpoint Fuels, July 2021.</w:t>
      </w:r>
    </w:p>
    <w:p w:rsidR="00EF5802" w:rsidP="00EF5802" w:rsidRDefault="00EF5802" w14:paraId="6C4E8E7A" w14:textId="17C0D85D">
      <w:pPr>
        <w:pStyle w:val="References"/>
        <w:numPr>
          <w:ilvl w:val="0"/>
          <w:numId w:val="13"/>
        </w:numPr>
        <w:tabs>
          <w:tab w:val="num" w:pos="255"/>
        </w:tabs>
        <w:ind w:left="369" w:hanging="369"/>
      </w:pPr>
      <w:r>
        <w:t>Lloyd’s Register. Notice No. 1 to the Rules and Regulations for the Classification of Ships using Gases or other Low-flashpoint Fuels, July 2021, Appendix LR1.</w:t>
      </w:r>
    </w:p>
    <w:p w:rsidR="00AE1751" w:rsidP="00581F54" w:rsidRDefault="0066708F" w14:paraId="04C1E928" w14:textId="217EDA2E">
      <w:pPr>
        <w:pStyle w:val="References"/>
        <w:numPr>
          <w:ilvl w:val="0"/>
          <w:numId w:val="13"/>
        </w:numPr>
        <w:tabs>
          <w:tab w:val="num" w:pos="255"/>
        </w:tabs>
        <w:ind w:left="369" w:hanging="369"/>
        <w:rPr>
          <w:snapToGrid w:val="0"/>
        </w:rPr>
      </w:pPr>
      <w:r>
        <w:rPr>
          <w:snapToGrid w:val="0"/>
        </w:rPr>
        <w:t xml:space="preserve">Lloyd’s Register. </w:t>
      </w:r>
      <w:r w:rsidRPr="00054FAD" w:rsidR="00054FAD">
        <w:rPr>
          <w:snapToGrid w:val="0"/>
        </w:rPr>
        <w:t>ShipRight Design and Construction Risk Based Certification (RBC)</w:t>
      </w:r>
      <w:r w:rsidR="00A8551F">
        <w:rPr>
          <w:snapToGrid w:val="0"/>
        </w:rPr>
        <w:t>,</w:t>
      </w:r>
      <w:r w:rsidRPr="00054FAD" w:rsidR="00054FAD">
        <w:rPr>
          <w:snapToGrid w:val="0"/>
        </w:rPr>
        <w:t xml:space="preserve"> September 2021</w:t>
      </w:r>
      <w:r w:rsidR="00A8551F">
        <w:rPr>
          <w:snapToGrid w:val="0"/>
        </w:rPr>
        <w:t>.</w:t>
      </w:r>
    </w:p>
    <w:p w:rsidR="00113E2E" w:rsidP="00581F54" w:rsidRDefault="007E34EC" w14:paraId="1A84ED1B" w14:textId="7642BF55">
      <w:pPr>
        <w:pStyle w:val="References"/>
        <w:numPr>
          <w:ilvl w:val="0"/>
          <w:numId w:val="13"/>
        </w:numPr>
        <w:tabs>
          <w:tab w:val="num" w:pos="255"/>
        </w:tabs>
        <w:ind w:left="369" w:hanging="369"/>
        <w:rPr>
          <w:snapToGrid w:val="0"/>
        </w:rPr>
      </w:pPr>
      <w:r w:rsidRPr="00616E07">
        <w:rPr>
          <w:snapToGrid w:val="0"/>
        </w:rPr>
        <w:t>Cadenaro F,</w:t>
      </w:r>
      <w:r w:rsidR="00616E07">
        <w:rPr>
          <w:snapToGrid w:val="0"/>
        </w:rPr>
        <w:t xml:space="preserve"> Roiaz M,</w:t>
      </w:r>
      <w:r w:rsidRPr="00616E07">
        <w:rPr>
          <w:snapToGrid w:val="0"/>
        </w:rPr>
        <w:t xml:space="preserve"> Lavagnini I, </w:t>
      </w:r>
      <w:proofErr w:type="spellStart"/>
      <w:r w:rsidRPr="00616E07">
        <w:rPr>
          <w:snapToGrid w:val="0"/>
        </w:rPr>
        <w:t>Dall’Armi</w:t>
      </w:r>
      <w:proofErr w:type="spellEnd"/>
      <w:r w:rsidRPr="00616E07">
        <w:rPr>
          <w:snapToGrid w:val="0"/>
        </w:rPr>
        <w:t xml:space="preserve"> C, Chinese T, et al., The </w:t>
      </w:r>
      <w:proofErr w:type="spellStart"/>
      <w:r w:rsidRPr="00616E07">
        <w:rPr>
          <w:snapToGrid w:val="0"/>
        </w:rPr>
        <w:t>REShiP</w:t>
      </w:r>
      <w:proofErr w:type="spellEnd"/>
      <w:r w:rsidRPr="00616E07">
        <w:rPr>
          <w:snapToGrid w:val="0"/>
        </w:rPr>
        <w:t xml:space="preserve"> Project: Renewable Energy Ship Propulsion</w:t>
      </w:r>
      <w:r w:rsidRPr="00616E07" w:rsidR="00616E07">
        <w:rPr>
          <w:snapToGrid w:val="0"/>
        </w:rPr>
        <w:t xml:space="preserve">. </w:t>
      </w:r>
      <w:r w:rsidRPr="00616E07" w:rsidR="00DF51F8">
        <w:rPr>
          <w:snapToGrid w:val="0"/>
        </w:rPr>
        <w:t>NAV</w:t>
      </w:r>
      <w:r w:rsidRPr="00616E07" w:rsidR="00871E31">
        <w:rPr>
          <w:snapToGrid w:val="0"/>
        </w:rPr>
        <w:t xml:space="preserve"> 2022 Contribution</w:t>
      </w:r>
      <w:r w:rsidRPr="00616E07" w:rsidR="00616E07">
        <w:rPr>
          <w:snapToGrid w:val="0"/>
        </w:rPr>
        <w:t>, J</w:t>
      </w:r>
      <w:r w:rsidR="00616E07">
        <w:rPr>
          <w:snapToGrid w:val="0"/>
        </w:rPr>
        <w:t>une 2022.</w:t>
      </w:r>
    </w:p>
    <w:p w:rsidRPr="00CD55D1" w:rsidR="00616E07" w:rsidP="00581F54" w:rsidRDefault="00616E07" w14:paraId="51C0C8A4" w14:textId="7CD7A046">
      <w:pPr>
        <w:pStyle w:val="References"/>
        <w:numPr>
          <w:ilvl w:val="0"/>
          <w:numId w:val="13"/>
        </w:numPr>
        <w:tabs>
          <w:tab w:val="num" w:pos="255"/>
        </w:tabs>
        <w:ind w:left="369" w:hanging="369"/>
        <w:rPr>
          <w:snapToGrid w:val="0"/>
        </w:rPr>
      </w:pPr>
      <w:r w:rsidRPr="00CD55D1">
        <w:rPr>
          <w:snapToGrid w:val="0"/>
        </w:rPr>
        <w:t xml:space="preserve">Scialla P, Roiaz M, </w:t>
      </w:r>
      <w:proofErr w:type="spellStart"/>
      <w:r w:rsidRPr="00CD55D1">
        <w:rPr>
          <w:snapToGrid w:val="0"/>
        </w:rPr>
        <w:t>Kostos</w:t>
      </w:r>
      <w:proofErr w:type="spellEnd"/>
      <w:r w:rsidRPr="00CD55D1">
        <w:rPr>
          <w:snapToGrid w:val="0"/>
        </w:rPr>
        <w:t xml:space="preserve"> R, </w:t>
      </w:r>
      <w:proofErr w:type="spellStart"/>
      <w:r w:rsidRPr="00CD55D1">
        <w:rPr>
          <w:snapToGrid w:val="0"/>
        </w:rPr>
        <w:t>Rasanen</w:t>
      </w:r>
      <w:proofErr w:type="spellEnd"/>
      <w:r w:rsidRPr="00CD55D1">
        <w:rPr>
          <w:snapToGrid w:val="0"/>
        </w:rPr>
        <w:t xml:space="preserve"> J-E, </w:t>
      </w:r>
      <w:proofErr w:type="spellStart"/>
      <w:r w:rsidRPr="00CD55D1" w:rsidR="00CD55D1">
        <w:rPr>
          <w:snapToGrid w:val="0"/>
        </w:rPr>
        <w:t>Kontosfyris</w:t>
      </w:r>
      <w:proofErr w:type="spellEnd"/>
      <w:r w:rsidRPr="00CD55D1" w:rsidR="00CD55D1">
        <w:rPr>
          <w:snapToGrid w:val="0"/>
        </w:rPr>
        <w:t xml:space="preserve"> D, A Swappabl</w:t>
      </w:r>
      <w:r w:rsidR="00CD55D1">
        <w:rPr>
          <w:snapToGrid w:val="0"/>
        </w:rPr>
        <w:t>e Battery to Reduce Emissions of Ships</w:t>
      </w:r>
      <w:r w:rsidR="0022497C">
        <w:rPr>
          <w:snapToGrid w:val="0"/>
        </w:rPr>
        <w:t xml:space="preserve">. </w:t>
      </w:r>
      <w:r w:rsidRPr="00616E07" w:rsidR="0022497C">
        <w:rPr>
          <w:snapToGrid w:val="0"/>
        </w:rPr>
        <w:t>NAV 2022 Contribution, J</w:t>
      </w:r>
      <w:r w:rsidR="0022497C">
        <w:rPr>
          <w:snapToGrid w:val="0"/>
        </w:rPr>
        <w:t>une 2022.</w:t>
      </w:r>
    </w:p>
    <w:p w:rsidRPr="00CD55D1" w:rsidR="0EF58FD3" w:rsidP="007C40D1" w:rsidRDefault="0EF58FD3" w14:paraId="55D6FEF6" w14:textId="3B80F84B">
      <w:pPr>
        <w:pStyle w:val="References"/>
        <w:rPr>
          <w:rFonts w:eastAsia="Times New Roman"/>
        </w:rPr>
      </w:pPr>
    </w:p>
    <w:sectPr w:rsidRPr="00CD55D1" w:rsidR="0EF58FD3">
      <w:pgSz w:w="11907" w:h="16840" w:orient="portrait"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6854" w:rsidRDefault="00476854" w14:paraId="6647C28B" w14:textId="77777777">
      <w:r>
        <w:separator/>
      </w:r>
    </w:p>
  </w:endnote>
  <w:endnote w:type="continuationSeparator" w:id="0">
    <w:p w:rsidR="00476854" w:rsidRDefault="00476854" w14:paraId="7F789D5B" w14:textId="77777777">
      <w:r>
        <w:continuationSeparator/>
      </w:r>
    </w:p>
  </w:endnote>
  <w:endnote w:type="continuationNotice" w:id="1">
    <w:p w:rsidR="00476854" w:rsidRDefault="00476854" w14:paraId="2B4AA6D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6854" w:rsidRDefault="00476854" w14:paraId="1A545DDC" w14:textId="77777777">
      <w:r>
        <w:separator/>
      </w:r>
    </w:p>
  </w:footnote>
  <w:footnote w:type="continuationSeparator" w:id="0">
    <w:p w:rsidR="00476854" w:rsidRDefault="00476854" w14:paraId="1920C88F" w14:textId="77777777">
      <w:r>
        <w:continuationSeparator/>
      </w:r>
    </w:p>
  </w:footnote>
  <w:footnote w:type="continuationNotice" w:id="1">
    <w:p w:rsidR="00476854" w:rsidRDefault="00476854" w14:paraId="2EAE622F" w14:textId="77777777"/>
  </w:footnote>
  <w:footnote w:id="2">
    <w:p w:rsidRPr="006161C2" w:rsidR="00B05D6E" w:rsidRDefault="00B05D6E" w14:paraId="11002A17" w14:textId="4B51A627">
      <w:pPr>
        <w:pStyle w:val="FootnoteText"/>
        <w:rPr>
          <w:rStyle w:val="FootnoteChar"/>
          <w:szCs w:val="16"/>
        </w:rPr>
      </w:pPr>
      <w:r>
        <w:rPr>
          <w:rStyle w:val="FootnoteReference"/>
        </w:rPr>
        <w:footnoteRef/>
      </w:r>
      <w:r>
        <w:rPr>
          <w:rStyle w:val="FootnoteChar"/>
        </w:rPr>
        <w:t xml:space="preserve"> Corresponding Author</w:t>
      </w:r>
      <w:r w:rsidRPr="006161C2" w:rsidR="006161C2">
        <w:rPr>
          <w:sz w:val="16"/>
          <w:szCs w:val="16"/>
          <w:lang w:val="en-GB"/>
        </w:rPr>
        <w:t xml:space="preserve">, </w:t>
      </w:r>
      <w:r w:rsidR="00BA5B10">
        <w:rPr>
          <w:sz w:val="16"/>
          <w:szCs w:val="16"/>
          <w:lang w:val="en-GB"/>
        </w:rPr>
        <w:t>Lloyd’s Register EMEA</w:t>
      </w:r>
      <w:r w:rsidRPr="006161C2" w:rsidR="006161C2">
        <w:rPr>
          <w:sz w:val="16"/>
          <w:szCs w:val="16"/>
          <w:lang w:val="en-GB"/>
        </w:rPr>
        <w:t xml:space="preserve">, </w:t>
      </w:r>
      <w:r w:rsidR="00BA5B10">
        <w:rPr>
          <w:sz w:val="16"/>
          <w:szCs w:val="16"/>
          <w:lang w:val="en-GB"/>
        </w:rPr>
        <w:t>Trieste Technical Support Office</w:t>
      </w:r>
      <w:r w:rsidRPr="006161C2" w:rsidR="006161C2">
        <w:rPr>
          <w:sz w:val="16"/>
          <w:szCs w:val="16"/>
          <w:lang w:val="en-GB"/>
        </w:rPr>
        <w:t xml:space="preserve">, </w:t>
      </w:r>
      <w:r w:rsidR="00BA5B10">
        <w:rPr>
          <w:sz w:val="16"/>
          <w:szCs w:val="16"/>
          <w:lang w:val="en-GB"/>
        </w:rPr>
        <w:t>Galleria Protti 1</w:t>
      </w:r>
      <w:r w:rsidRPr="006161C2" w:rsidR="006161C2">
        <w:rPr>
          <w:sz w:val="16"/>
          <w:szCs w:val="16"/>
          <w:lang w:val="en-GB"/>
        </w:rPr>
        <w:t xml:space="preserve">, </w:t>
      </w:r>
      <w:r w:rsidR="00BA5B10">
        <w:rPr>
          <w:sz w:val="16"/>
          <w:szCs w:val="16"/>
          <w:lang w:val="en-GB"/>
        </w:rPr>
        <w:t>3412</w:t>
      </w:r>
      <w:r w:rsidR="00E51A15">
        <w:rPr>
          <w:sz w:val="16"/>
          <w:szCs w:val="16"/>
          <w:lang w:val="en-GB"/>
        </w:rPr>
        <w:t>1</w:t>
      </w:r>
      <w:r w:rsidR="008D4702">
        <w:rPr>
          <w:sz w:val="16"/>
          <w:szCs w:val="16"/>
          <w:lang w:val="en-GB"/>
        </w:rPr>
        <w:t xml:space="preserve"> Trieste</w:t>
      </w:r>
      <w:r w:rsidRPr="006161C2" w:rsidR="006161C2">
        <w:rPr>
          <w:sz w:val="16"/>
          <w:szCs w:val="16"/>
          <w:lang w:val="en-GB"/>
        </w:rPr>
        <w:t xml:space="preserve">, </w:t>
      </w:r>
      <w:r w:rsidR="008D4702">
        <w:rPr>
          <w:sz w:val="16"/>
          <w:szCs w:val="16"/>
          <w:lang w:val="en-GB"/>
        </w:rPr>
        <w:t>Italy</w:t>
      </w:r>
      <w:r w:rsidRPr="006161C2" w:rsidR="006161C2">
        <w:rPr>
          <w:sz w:val="16"/>
          <w:szCs w:val="16"/>
          <w:lang w:val="en-GB"/>
        </w:rPr>
        <w:t xml:space="preserve">; E-mail: </w:t>
      </w:r>
      <w:r w:rsidR="008D4702">
        <w:rPr>
          <w:sz w:val="16"/>
          <w:szCs w:val="16"/>
          <w:lang w:val="en-GB"/>
        </w:rPr>
        <w:t>matteo.roiaz@lr.org</w:t>
      </w:r>
      <w:r w:rsidRPr="006161C2" w:rsidR="006161C2">
        <w:rPr>
          <w:sz w:val="16"/>
          <w:szCs w:val="16"/>
          <w:lang w:val="en-GB"/>
        </w:rPr>
        <w:t>.</w:t>
      </w:r>
    </w:p>
  </w:footnote>
</w:footnotes>
</file>

<file path=word/intelligence.xml><?xml version="1.0" encoding="utf-8"?>
<int:Intelligence xmlns:int="http://schemas.microsoft.com/office/intelligence/2019/intelligence">
  <int:IntelligenceSettings/>
  <int:Manifest>
    <int:WordHash hashCode="s2oTnybUsf0Ugl" id="tJK88VMb"/>
    <int:WordHash hashCode="l5/pG1UliNcUGb" id="zWiPi6br"/>
    <int:ParagraphRange paragraphId="1720763524" textId="906605835" start="360" length="3" invalidationStart="360" invalidationLength="3" id="ayvU1drw"/>
    <int:ParagraphRange paragraphId="1720763524" textId="1800899303" start="372" length="3" invalidationStart="372" invalidationLength="3" id="rwGD2rPY"/>
    <int:WordHash hashCode="MtI8PHj1CY4x8D" id="CNNbM5uV"/>
    <int:WordHash hashCode="2tXChwjl1OYvP3" id="72uasR8B"/>
    <int:ParagraphRange paragraphId="1720763524" textId="1970765743" start="372" length="3" invalidationStart="372" invalidationLength="3" id="CHvzoWHz"/>
    <int:WordHash hashCode="T4+LwVbxc02iZI" id="qqAzT7Jg"/>
    <int:ParagraphRange paragraphId="1813812292" textId="1802262884" start="188" length="4" invalidationStart="188" invalidationLength="4" id="qMB9rC7G"/>
    <int:ParagraphRange paragraphId="71661972" textId="532857627" start="0" length="247" invalidationStart="0" invalidationLength="247" id="1S0Egy05"/>
    <int:WordHash hashCode="K+WjK7/5Ty249I" id="oZGjQmje"/>
    <int:ParagraphRange paragraphId="229578972" textId="48879899" start="6" length="6" invalidationStart="6" invalidationLength="6" id="12S35Bsa"/>
    <int:WordHash hashCode="ncZTIlwuRkjLYC" id="hkersTYl"/>
    <int:ParagraphRange paragraphId="184726654" textId="1965003462" start="35" length="8" invalidationStart="35" invalidationLength="8" id="9R3l7lii"/>
    <int:ParagraphRange paragraphId="184726654" textId="1965003462" start="610" length="4" invalidationStart="610" invalidationLength="4" id="UlrMEeDy"/>
    <int:ParagraphRange paragraphId="301170292" textId="1405355505" start="76" length="8" invalidationStart="76" invalidationLength="8" id="MPe5D4gI"/>
    <int:ParagraphRange paragraphId="1898292919" textId="394509049" start="307" length="7" invalidationStart="307" invalidationLength="7" id="3dfqUvQc"/>
    <int:ParagraphRange paragraphId="786734694" textId="349225568" start="640" length="13" invalidationStart="640" invalidationLength="13" id="j0ae8MLi"/>
  </int:Manifest>
  <int:Observations>
    <int:Content id="tJK88VMb">
      <int:Rejection type="AugLoop_Acronyms_AcronymsCritique"/>
    </int:Content>
    <int:Content id="zWiPi6br">
      <int:Rejection type="AugLoop_Acronyms_AcronymsCritique"/>
    </int:Content>
    <int:Content id="ayvU1drw">
      <int:Rejection type="LegacyProofing"/>
    </int:Content>
    <int:Content id="rwGD2rPY">
      <int:Rejection type="LegacyProofing"/>
    </int:Content>
    <int:Content id="CNNbM5uV">
      <int:Rejection type="LegacyProofing"/>
    </int:Content>
    <int:Content id="72uasR8B">
      <int:Rejection type="LegacyProofing"/>
    </int:Content>
    <int:Content id="CHvzoWHz">
      <int:Rejection type="LegacyProofing"/>
    </int:Content>
    <int:Content id="qqAzT7Jg">
      <int:Rejection type="AugLoop_Text_Critique"/>
    </int:Content>
    <int:Content id="qMB9rC7G">
      <int:Rejection type="LegacyProofing"/>
    </int:Content>
    <int:Content id="1S0Egy05">
      <int:Rejection type="WordDesignerDefaultAnnotation"/>
    </int:Content>
    <int:Content id="oZGjQmje">
      <int:Rejection type="LegacyProofing"/>
    </int:Content>
    <int:Content id="12S35Bsa">
      <int:Rejection type="LegacyProofing"/>
    </int:Content>
    <int:Content id="hkersTYl">
      <int:Rejection type="LegacyProofing"/>
    </int:Content>
    <int:Content id="9R3l7lii">
      <int:Rejection type="LegacyProofing"/>
    </int:Content>
    <int:Content id="UlrMEeDy">
      <int:Rejection type="LegacyProofing"/>
    </int:Content>
    <int:Content id="MPe5D4gI">
      <int:Rejection type="LegacyProofing"/>
    </int:Content>
    <int:Content id="3dfqUvQc">
      <int:Rejection type="LegacyProofing"/>
    </int:Content>
    <int:Content id="j0ae8ML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87F22BC"/>
    <w:multiLevelType w:val="hybridMultilevel"/>
    <w:tmpl w:val="012667E2"/>
    <w:lvl w:ilvl="0" w:tplc="865AC200">
      <w:start w:val="1"/>
      <w:numFmt w:val="decimal"/>
      <w:lvlText w:val="[%1]"/>
      <w:lvlJc w:val="left"/>
      <w:pPr>
        <w:ind w:left="975" w:hanging="360"/>
      </w:pPr>
      <w:rPr>
        <w:rFonts w:hint="default"/>
      </w:rPr>
    </w:lvl>
    <w:lvl w:ilvl="1" w:tplc="04100019" w:tentative="1">
      <w:start w:val="1"/>
      <w:numFmt w:val="lowerLetter"/>
      <w:lvlText w:val="%2."/>
      <w:lvlJc w:val="left"/>
      <w:pPr>
        <w:ind w:left="1695" w:hanging="360"/>
      </w:pPr>
    </w:lvl>
    <w:lvl w:ilvl="2" w:tplc="0410001B" w:tentative="1">
      <w:start w:val="1"/>
      <w:numFmt w:val="lowerRoman"/>
      <w:lvlText w:val="%3."/>
      <w:lvlJc w:val="right"/>
      <w:pPr>
        <w:ind w:left="2415" w:hanging="180"/>
      </w:pPr>
    </w:lvl>
    <w:lvl w:ilvl="3" w:tplc="0410000F" w:tentative="1">
      <w:start w:val="1"/>
      <w:numFmt w:val="decimal"/>
      <w:lvlText w:val="%4."/>
      <w:lvlJc w:val="left"/>
      <w:pPr>
        <w:ind w:left="3135" w:hanging="360"/>
      </w:pPr>
    </w:lvl>
    <w:lvl w:ilvl="4" w:tplc="04100019" w:tentative="1">
      <w:start w:val="1"/>
      <w:numFmt w:val="lowerLetter"/>
      <w:lvlText w:val="%5."/>
      <w:lvlJc w:val="left"/>
      <w:pPr>
        <w:ind w:left="3855" w:hanging="360"/>
      </w:pPr>
    </w:lvl>
    <w:lvl w:ilvl="5" w:tplc="0410001B" w:tentative="1">
      <w:start w:val="1"/>
      <w:numFmt w:val="lowerRoman"/>
      <w:lvlText w:val="%6."/>
      <w:lvlJc w:val="right"/>
      <w:pPr>
        <w:ind w:left="4575" w:hanging="180"/>
      </w:pPr>
    </w:lvl>
    <w:lvl w:ilvl="6" w:tplc="0410000F" w:tentative="1">
      <w:start w:val="1"/>
      <w:numFmt w:val="decimal"/>
      <w:lvlText w:val="%7."/>
      <w:lvlJc w:val="left"/>
      <w:pPr>
        <w:ind w:left="5295" w:hanging="360"/>
      </w:pPr>
    </w:lvl>
    <w:lvl w:ilvl="7" w:tplc="04100019" w:tentative="1">
      <w:start w:val="1"/>
      <w:numFmt w:val="lowerLetter"/>
      <w:lvlText w:val="%8."/>
      <w:lvlJc w:val="left"/>
      <w:pPr>
        <w:ind w:left="6015" w:hanging="360"/>
      </w:pPr>
    </w:lvl>
    <w:lvl w:ilvl="8" w:tplc="0410001B" w:tentative="1">
      <w:start w:val="1"/>
      <w:numFmt w:val="lowerRoman"/>
      <w:lvlText w:val="%9."/>
      <w:lvlJc w:val="right"/>
      <w:pPr>
        <w:ind w:left="6735" w:hanging="180"/>
      </w:pPr>
    </w:lvl>
  </w:abstractNum>
  <w:abstractNum w:abstractNumId="3" w15:restartNumberingAfterBreak="0">
    <w:nsid w:val="50BB51F1"/>
    <w:multiLevelType w:val="multilevel"/>
    <w:tmpl w:val="D558440E"/>
    <w:lvl w:ilvl="0">
      <w:start w:val="1"/>
      <w:numFmt w:val="bullet"/>
      <w:pStyle w:val="Listbul"/>
      <w:lvlText w:val=""/>
      <w:lvlJc w:val="left"/>
      <w:pPr>
        <w:tabs>
          <w:tab w:val="num" w:pos="717"/>
        </w:tabs>
        <w:ind w:left="717" w:hanging="360"/>
      </w:pPr>
      <w:rPr>
        <w:rFonts w:hint="default" w:ascii="Symbol" w:hAnsi="Symbol"/>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hint="default" w:ascii="Wingdings" w:hAnsi="Wingdings" w:cs="Wingdings"/>
      </w:rPr>
    </w:lvl>
    <w:lvl w:ilvl="3">
      <w:start w:val="1"/>
      <w:numFmt w:val="bullet"/>
      <w:lvlText w:val=""/>
      <w:lvlJc w:val="left"/>
      <w:pPr>
        <w:tabs>
          <w:tab w:val="num" w:pos="2877"/>
        </w:tabs>
        <w:ind w:left="2877" w:hanging="360"/>
      </w:pPr>
      <w:rPr>
        <w:rFonts w:hint="default" w:ascii="Symbol" w:hAnsi="Symbol" w:cs="Symbol"/>
      </w:rPr>
    </w:lvl>
    <w:lvl w:ilvl="4">
      <w:start w:val="1"/>
      <w:numFmt w:val="bullet"/>
      <w:lvlText w:val="o"/>
      <w:lvlJc w:val="left"/>
      <w:pPr>
        <w:tabs>
          <w:tab w:val="num" w:pos="3597"/>
        </w:tabs>
        <w:ind w:left="3597" w:hanging="360"/>
      </w:pPr>
      <w:rPr>
        <w:rFonts w:hint="default" w:ascii="Courier New" w:hAnsi="Courier New" w:cs="Courier New"/>
      </w:rPr>
    </w:lvl>
    <w:lvl w:ilvl="5">
      <w:start w:val="1"/>
      <w:numFmt w:val="bullet"/>
      <w:lvlText w:val=""/>
      <w:lvlJc w:val="left"/>
      <w:pPr>
        <w:tabs>
          <w:tab w:val="num" w:pos="4317"/>
        </w:tabs>
        <w:ind w:left="4317" w:hanging="360"/>
      </w:pPr>
      <w:rPr>
        <w:rFonts w:hint="default" w:ascii="Wingdings" w:hAnsi="Wingdings" w:cs="Wingdings"/>
      </w:rPr>
    </w:lvl>
    <w:lvl w:ilvl="6">
      <w:start w:val="1"/>
      <w:numFmt w:val="bullet"/>
      <w:lvlText w:val=""/>
      <w:lvlJc w:val="left"/>
      <w:pPr>
        <w:tabs>
          <w:tab w:val="num" w:pos="5037"/>
        </w:tabs>
        <w:ind w:left="5037" w:hanging="360"/>
      </w:pPr>
      <w:rPr>
        <w:rFonts w:hint="default" w:ascii="Symbol" w:hAnsi="Symbol" w:cs="Symbol"/>
      </w:rPr>
    </w:lvl>
    <w:lvl w:ilvl="7">
      <w:start w:val="1"/>
      <w:numFmt w:val="bullet"/>
      <w:lvlText w:val="o"/>
      <w:lvlJc w:val="left"/>
      <w:pPr>
        <w:tabs>
          <w:tab w:val="num" w:pos="5757"/>
        </w:tabs>
        <w:ind w:left="5757" w:hanging="360"/>
      </w:pPr>
      <w:rPr>
        <w:rFonts w:hint="default" w:ascii="Courier New" w:hAnsi="Courier New" w:cs="Courier New"/>
      </w:rPr>
    </w:lvl>
    <w:lvl w:ilvl="8">
      <w:start w:val="1"/>
      <w:numFmt w:val="bullet"/>
      <w:lvlText w:val=""/>
      <w:lvlJc w:val="left"/>
      <w:pPr>
        <w:tabs>
          <w:tab w:val="num" w:pos="6477"/>
        </w:tabs>
        <w:ind w:left="6477" w:hanging="360"/>
      </w:pPr>
      <w:rPr>
        <w:rFonts w:hint="default" w:ascii="Wingdings" w:hAnsi="Wingdings" w:cs="Wingdings"/>
      </w:rPr>
    </w:lvl>
  </w:abstractNum>
  <w:abstractNum w:abstractNumId="4" w15:restartNumberingAfterBreak="0">
    <w:nsid w:val="57B032BB"/>
    <w:multiLevelType w:val="multilevel"/>
    <w:tmpl w:val="88DE16C6"/>
    <w:lvl w:ilvl="0">
      <w:start w:val="1"/>
      <w:numFmt w:val="bullet"/>
      <w:pStyle w:val="LISTdash"/>
      <w:lvlText w:val=""/>
      <w:lvlJc w:val="left"/>
      <w:pPr>
        <w:tabs>
          <w:tab w:val="num" w:pos="564"/>
        </w:tabs>
        <w:ind w:left="454" w:hanging="250"/>
      </w:pPr>
      <w:rPr>
        <w:rFonts w:hint="default" w:ascii="Symbol" w:hAnsi="Symbol"/>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hint="default" w:ascii="Symbol" w:hAnsi="Symbol"/>
        <w:b w:val="0"/>
        <w:i w:val="0"/>
        <w:sz w:val="20"/>
      </w:rPr>
    </w:lvl>
    <w:lvl w:ilvl="2">
      <w:start w:val="1"/>
      <w:numFmt w:val="bullet"/>
      <w:lvlText w:val=""/>
      <w:lvlJc w:val="left"/>
      <w:pPr>
        <w:tabs>
          <w:tab w:val="num" w:pos="927"/>
        </w:tabs>
        <w:ind w:left="204" w:firstLine="363"/>
      </w:pPr>
      <w:rPr>
        <w:rFonts w:hint="default" w:ascii="Symbol" w:hAnsi="Symbol"/>
        <w:b w:val="0"/>
        <w:i/>
        <w:sz w:val="24"/>
      </w:rPr>
    </w:lvl>
    <w:lvl w:ilvl="3">
      <w:start w:val="1"/>
      <w:numFmt w:val="decimal"/>
      <w:suff w:val="space"/>
      <w:lvlText w:val="%1.%2.%3.%4."/>
      <w:lvlJc w:val="left"/>
      <w:pPr>
        <w:ind w:left="204" w:firstLine="0"/>
      </w:pPr>
      <w:rPr>
        <w:rFonts w:hint="default" w:ascii="Times" w:hAnsi="Times"/>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5"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7"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8" w15:restartNumberingAfterBreak="0">
    <w:nsid w:val="749D7927"/>
    <w:multiLevelType w:val="multilevel"/>
    <w:tmpl w:val="1F9C18A8"/>
    <w:lvl w:ilvl="0">
      <w:start w:val="1"/>
      <w:numFmt w:val="decimal"/>
      <w:pStyle w:val="Heading1"/>
      <w:suff w:val="space"/>
      <w:lvlText w:val="%1."/>
      <w:lvlJc w:val="left"/>
      <w:pPr>
        <w:ind w:left="454" w:hanging="454"/>
      </w:pPr>
      <w:rPr>
        <w:rFonts w:hint="default" w:ascii="Times New Roman" w:hAnsi="Times New Roman"/>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ascii="Times New Roman" w:hAnsi="Times New Roman"/>
        <w:b w:val="0"/>
        <w:i/>
        <w:sz w:val="20"/>
      </w:rPr>
    </w:lvl>
    <w:lvl w:ilvl="2">
      <w:start w:val="1"/>
      <w:numFmt w:val="decimal"/>
      <w:pStyle w:val="Heading3"/>
      <w:suff w:val="space"/>
      <w:lvlText w:val="%1.%2.%3."/>
      <w:lvlJc w:val="left"/>
      <w:pPr>
        <w:ind w:left="0" w:firstLine="0"/>
      </w:pPr>
      <w:rPr>
        <w:rFonts w:hint="default" w:ascii="Times" w:hAnsi="Times"/>
        <w:b w:val="0"/>
        <w:i/>
        <w:sz w:val="20"/>
      </w:rPr>
    </w:lvl>
    <w:lvl w:ilvl="3">
      <w:start w:val="1"/>
      <w:numFmt w:val="decimal"/>
      <w:pStyle w:val="Heading4"/>
      <w:suff w:val="space"/>
      <w:lvlText w:val="%1.%2.%3.%4."/>
      <w:lvlJc w:val="left"/>
      <w:pPr>
        <w:ind w:left="0" w:firstLine="0"/>
      </w:pPr>
      <w:rPr>
        <w:rFonts w:hint="default" w:ascii="Times" w:hAnsi="Times"/>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9" w15:restartNumberingAfterBreak="0">
    <w:nsid w:val="76F27992"/>
    <w:multiLevelType w:val="hybridMultilevel"/>
    <w:tmpl w:val="8E28FDE8"/>
    <w:lvl w:ilvl="0" w:tplc="FFFFFFFF">
      <w:start w:val="1"/>
      <w:numFmt w:val="decimal"/>
      <w:lvlText w:val="[%1]"/>
      <w:lvlJc w:val="left"/>
      <w:pPr>
        <w:tabs>
          <w:tab w:val="num" w:pos="255"/>
        </w:tabs>
        <w:ind w:left="369" w:hanging="369"/>
      </w:pPr>
      <w:rPr>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8"/>
  </w:num>
  <w:num w:numId="5">
    <w:abstractNumId w:val="3"/>
  </w:num>
  <w:num w:numId="6">
    <w:abstractNumId w:val="7"/>
  </w:num>
  <w:num w:numId="7">
    <w:abstractNumId w:val="9"/>
  </w:num>
  <w:num w:numId="8">
    <w:abstractNumId w:val="5"/>
  </w:num>
  <w:num w:numId="9">
    <w:abstractNumId w:val="9"/>
  </w:num>
  <w:num w:numId="10">
    <w:abstractNumId w:val="1"/>
  </w:num>
  <w:num w:numId="11">
    <w:abstractNumId w:val="9"/>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trackRevisions w:val="false"/>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D1"/>
    <w:rsid w:val="00024C16"/>
    <w:rsid w:val="0003201C"/>
    <w:rsid w:val="00044F88"/>
    <w:rsid w:val="00044FF2"/>
    <w:rsid w:val="00054FAD"/>
    <w:rsid w:val="000645FA"/>
    <w:rsid w:val="00087524"/>
    <w:rsid w:val="00095CFF"/>
    <w:rsid w:val="000D0079"/>
    <w:rsid w:val="000E2045"/>
    <w:rsid w:val="000E7A5F"/>
    <w:rsid w:val="000F58E9"/>
    <w:rsid w:val="00107CED"/>
    <w:rsid w:val="00113E2E"/>
    <w:rsid w:val="0013431C"/>
    <w:rsid w:val="00190CC7"/>
    <w:rsid w:val="001B68F3"/>
    <w:rsid w:val="001C3401"/>
    <w:rsid w:val="001D675C"/>
    <w:rsid w:val="00202A9A"/>
    <w:rsid w:val="00202DFF"/>
    <w:rsid w:val="00204E35"/>
    <w:rsid w:val="0021271F"/>
    <w:rsid w:val="002155DE"/>
    <w:rsid w:val="0022497C"/>
    <w:rsid w:val="00244E04"/>
    <w:rsid w:val="002615F8"/>
    <w:rsid w:val="00276B21"/>
    <w:rsid w:val="002806FF"/>
    <w:rsid w:val="00281D0A"/>
    <w:rsid w:val="00285F7D"/>
    <w:rsid w:val="002B03A9"/>
    <w:rsid w:val="002B3303"/>
    <w:rsid w:val="002C4829"/>
    <w:rsid w:val="002F7A0F"/>
    <w:rsid w:val="00311136"/>
    <w:rsid w:val="00320767"/>
    <w:rsid w:val="00324E7B"/>
    <w:rsid w:val="00361F8F"/>
    <w:rsid w:val="00362CCF"/>
    <w:rsid w:val="00363118"/>
    <w:rsid w:val="00370AC1"/>
    <w:rsid w:val="00395F65"/>
    <w:rsid w:val="003A2082"/>
    <w:rsid w:val="003C1A85"/>
    <w:rsid w:val="003D4259"/>
    <w:rsid w:val="003D6D02"/>
    <w:rsid w:val="003E29CC"/>
    <w:rsid w:val="00416B72"/>
    <w:rsid w:val="00460B4D"/>
    <w:rsid w:val="00474AC7"/>
    <w:rsid w:val="00476854"/>
    <w:rsid w:val="00482E62"/>
    <w:rsid w:val="004830CE"/>
    <w:rsid w:val="00492154"/>
    <w:rsid w:val="004A5ECF"/>
    <w:rsid w:val="004B25CF"/>
    <w:rsid w:val="004C29F5"/>
    <w:rsid w:val="004E6DD9"/>
    <w:rsid w:val="00500502"/>
    <w:rsid w:val="0050099D"/>
    <w:rsid w:val="00526C73"/>
    <w:rsid w:val="005301AA"/>
    <w:rsid w:val="00536C0D"/>
    <w:rsid w:val="00563846"/>
    <w:rsid w:val="00564F05"/>
    <w:rsid w:val="00574021"/>
    <w:rsid w:val="00581F54"/>
    <w:rsid w:val="00593FF9"/>
    <w:rsid w:val="005A5491"/>
    <w:rsid w:val="005B49D1"/>
    <w:rsid w:val="005C2C8B"/>
    <w:rsid w:val="005C4C3A"/>
    <w:rsid w:val="005C5D4B"/>
    <w:rsid w:val="005D2807"/>
    <w:rsid w:val="005D5D01"/>
    <w:rsid w:val="00604854"/>
    <w:rsid w:val="006161C2"/>
    <w:rsid w:val="00616E07"/>
    <w:rsid w:val="006269F9"/>
    <w:rsid w:val="00631672"/>
    <w:rsid w:val="006362F8"/>
    <w:rsid w:val="0064173A"/>
    <w:rsid w:val="006471A4"/>
    <w:rsid w:val="0066708F"/>
    <w:rsid w:val="00670412"/>
    <w:rsid w:val="00681A48"/>
    <w:rsid w:val="00681B54"/>
    <w:rsid w:val="00687121"/>
    <w:rsid w:val="006877CF"/>
    <w:rsid w:val="006C24D4"/>
    <w:rsid w:val="006D3AED"/>
    <w:rsid w:val="006D4DB7"/>
    <w:rsid w:val="006E0ABF"/>
    <w:rsid w:val="0070293F"/>
    <w:rsid w:val="007339D9"/>
    <w:rsid w:val="007361C7"/>
    <w:rsid w:val="0073713E"/>
    <w:rsid w:val="00741E7D"/>
    <w:rsid w:val="0077063F"/>
    <w:rsid w:val="0078042A"/>
    <w:rsid w:val="00791773"/>
    <w:rsid w:val="007951D9"/>
    <w:rsid w:val="007962BE"/>
    <w:rsid w:val="007B7535"/>
    <w:rsid w:val="007C40D1"/>
    <w:rsid w:val="007D38A7"/>
    <w:rsid w:val="007D4697"/>
    <w:rsid w:val="007E34EC"/>
    <w:rsid w:val="00803663"/>
    <w:rsid w:val="0085242B"/>
    <w:rsid w:val="00867F66"/>
    <w:rsid w:val="00871E31"/>
    <w:rsid w:val="008A0DF7"/>
    <w:rsid w:val="008A5ABE"/>
    <w:rsid w:val="008D106D"/>
    <w:rsid w:val="008D4702"/>
    <w:rsid w:val="008E2C9B"/>
    <w:rsid w:val="008E560C"/>
    <w:rsid w:val="008F1DE9"/>
    <w:rsid w:val="008F2819"/>
    <w:rsid w:val="00923630"/>
    <w:rsid w:val="00931AEF"/>
    <w:rsid w:val="009565FD"/>
    <w:rsid w:val="00967DFF"/>
    <w:rsid w:val="009805D5"/>
    <w:rsid w:val="00991B41"/>
    <w:rsid w:val="009E0CA9"/>
    <w:rsid w:val="00A02F9F"/>
    <w:rsid w:val="00A114A8"/>
    <w:rsid w:val="00A14527"/>
    <w:rsid w:val="00A37692"/>
    <w:rsid w:val="00A61593"/>
    <w:rsid w:val="00A61E76"/>
    <w:rsid w:val="00A630EF"/>
    <w:rsid w:val="00A754F1"/>
    <w:rsid w:val="00A81CE0"/>
    <w:rsid w:val="00A8551F"/>
    <w:rsid w:val="00A94100"/>
    <w:rsid w:val="00A94BB6"/>
    <w:rsid w:val="00A97379"/>
    <w:rsid w:val="00AE0F9E"/>
    <w:rsid w:val="00AE1751"/>
    <w:rsid w:val="00AE378E"/>
    <w:rsid w:val="00AE389B"/>
    <w:rsid w:val="00AF5582"/>
    <w:rsid w:val="00B05D6E"/>
    <w:rsid w:val="00B2670F"/>
    <w:rsid w:val="00B2ACE7"/>
    <w:rsid w:val="00B51B78"/>
    <w:rsid w:val="00B629D1"/>
    <w:rsid w:val="00B62F86"/>
    <w:rsid w:val="00B66C80"/>
    <w:rsid w:val="00B73D47"/>
    <w:rsid w:val="00BA5B10"/>
    <w:rsid w:val="00BB2F5A"/>
    <w:rsid w:val="00BC2AD4"/>
    <w:rsid w:val="00BC583A"/>
    <w:rsid w:val="00BE1C3D"/>
    <w:rsid w:val="00BF32BA"/>
    <w:rsid w:val="00C112B7"/>
    <w:rsid w:val="00C11F8F"/>
    <w:rsid w:val="00C129FF"/>
    <w:rsid w:val="00C131F8"/>
    <w:rsid w:val="00C13F59"/>
    <w:rsid w:val="00C35698"/>
    <w:rsid w:val="00C5514E"/>
    <w:rsid w:val="00C85496"/>
    <w:rsid w:val="00C97D11"/>
    <w:rsid w:val="00CA28B8"/>
    <w:rsid w:val="00CD103F"/>
    <w:rsid w:val="00CD55D1"/>
    <w:rsid w:val="00CF5C91"/>
    <w:rsid w:val="00D43317"/>
    <w:rsid w:val="00D5006D"/>
    <w:rsid w:val="00D50291"/>
    <w:rsid w:val="00D62BF8"/>
    <w:rsid w:val="00D72C10"/>
    <w:rsid w:val="00D77A56"/>
    <w:rsid w:val="00D82BC9"/>
    <w:rsid w:val="00D84EFD"/>
    <w:rsid w:val="00D977A8"/>
    <w:rsid w:val="00DA2A4A"/>
    <w:rsid w:val="00DA607F"/>
    <w:rsid w:val="00DB3C6D"/>
    <w:rsid w:val="00DC0924"/>
    <w:rsid w:val="00DC4892"/>
    <w:rsid w:val="00DC6B45"/>
    <w:rsid w:val="00DE132B"/>
    <w:rsid w:val="00DF51F8"/>
    <w:rsid w:val="00DF6C14"/>
    <w:rsid w:val="00E168A1"/>
    <w:rsid w:val="00E20F99"/>
    <w:rsid w:val="00E329F4"/>
    <w:rsid w:val="00E4497C"/>
    <w:rsid w:val="00E51A15"/>
    <w:rsid w:val="00E56348"/>
    <w:rsid w:val="00E845D1"/>
    <w:rsid w:val="00E927C4"/>
    <w:rsid w:val="00EA7758"/>
    <w:rsid w:val="00EB5457"/>
    <w:rsid w:val="00EC49E7"/>
    <w:rsid w:val="00ED3FEC"/>
    <w:rsid w:val="00EE461E"/>
    <w:rsid w:val="00EF55D7"/>
    <w:rsid w:val="00EF5802"/>
    <w:rsid w:val="00F07E64"/>
    <w:rsid w:val="00F07FC3"/>
    <w:rsid w:val="00F10914"/>
    <w:rsid w:val="00F16CAA"/>
    <w:rsid w:val="00F26A89"/>
    <w:rsid w:val="00F35D15"/>
    <w:rsid w:val="00F43170"/>
    <w:rsid w:val="00F50592"/>
    <w:rsid w:val="00F50BB0"/>
    <w:rsid w:val="00F658B6"/>
    <w:rsid w:val="00F75C92"/>
    <w:rsid w:val="00F916A5"/>
    <w:rsid w:val="00FA6BF8"/>
    <w:rsid w:val="00FD1D96"/>
    <w:rsid w:val="0136636B"/>
    <w:rsid w:val="01494CAD"/>
    <w:rsid w:val="015A96C1"/>
    <w:rsid w:val="0161CB84"/>
    <w:rsid w:val="017E4DE0"/>
    <w:rsid w:val="01E9A2BC"/>
    <w:rsid w:val="0218644B"/>
    <w:rsid w:val="02A6577E"/>
    <w:rsid w:val="0305E228"/>
    <w:rsid w:val="033F6124"/>
    <w:rsid w:val="047BB15D"/>
    <w:rsid w:val="0488FBB8"/>
    <w:rsid w:val="0494FEAB"/>
    <w:rsid w:val="04F908FE"/>
    <w:rsid w:val="0511FE8A"/>
    <w:rsid w:val="055C1F7D"/>
    <w:rsid w:val="0593676A"/>
    <w:rsid w:val="05CC64AC"/>
    <w:rsid w:val="05E62E1E"/>
    <w:rsid w:val="0628EA14"/>
    <w:rsid w:val="0639C596"/>
    <w:rsid w:val="065AB245"/>
    <w:rsid w:val="068AD7F0"/>
    <w:rsid w:val="06AA74EC"/>
    <w:rsid w:val="06DD70FC"/>
    <w:rsid w:val="06EC8DA9"/>
    <w:rsid w:val="07ACD868"/>
    <w:rsid w:val="07EB6455"/>
    <w:rsid w:val="080D1287"/>
    <w:rsid w:val="08331033"/>
    <w:rsid w:val="084907D4"/>
    <w:rsid w:val="08B9E380"/>
    <w:rsid w:val="08CEE795"/>
    <w:rsid w:val="08FF5BBC"/>
    <w:rsid w:val="0922043B"/>
    <w:rsid w:val="09BD4DB3"/>
    <w:rsid w:val="0A303E43"/>
    <w:rsid w:val="0A3FB3AD"/>
    <w:rsid w:val="0A4D45C3"/>
    <w:rsid w:val="0A5061A4"/>
    <w:rsid w:val="0B5E64BE"/>
    <w:rsid w:val="0BAC28AC"/>
    <w:rsid w:val="0C19A63C"/>
    <w:rsid w:val="0C3DBB14"/>
    <w:rsid w:val="0C52A283"/>
    <w:rsid w:val="0C7F87D5"/>
    <w:rsid w:val="0D14F113"/>
    <w:rsid w:val="0D7CFFC0"/>
    <w:rsid w:val="0E1B5836"/>
    <w:rsid w:val="0E629CFC"/>
    <w:rsid w:val="0E9E3B07"/>
    <w:rsid w:val="0EBEA24C"/>
    <w:rsid w:val="0EF58FD3"/>
    <w:rsid w:val="0F16EE0E"/>
    <w:rsid w:val="0F881CAC"/>
    <w:rsid w:val="0FA51BDF"/>
    <w:rsid w:val="0FB0B6D4"/>
    <w:rsid w:val="0FED5ABF"/>
    <w:rsid w:val="100344C8"/>
    <w:rsid w:val="107F83A4"/>
    <w:rsid w:val="10C09F47"/>
    <w:rsid w:val="114E4BCB"/>
    <w:rsid w:val="1152F8F8"/>
    <w:rsid w:val="11818D11"/>
    <w:rsid w:val="11A62DCE"/>
    <w:rsid w:val="11A846CF"/>
    <w:rsid w:val="11C7C836"/>
    <w:rsid w:val="1282DF20"/>
    <w:rsid w:val="12972E3A"/>
    <w:rsid w:val="12E540A4"/>
    <w:rsid w:val="12EEC959"/>
    <w:rsid w:val="1319D908"/>
    <w:rsid w:val="132193BD"/>
    <w:rsid w:val="13522AD9"/>
    <w:rsid w:val="1375BA47"/>
    <w:rsid w:val="13E2D74D"/>
    <w:rsid w:val="13EF6872"/>
    <w:rsid w:val="13F50E43"/>
    <w:rsid w:val="14109E1D"/>
    <w:rsid w:val="141C014D"/>
    <w:rsid w:val="14405E26"/>
    <w:rsid w:val="1448FECF"/>
    <w:rsid w:val="144FBD65"/>
    <w:rsid w:val="14EB6B84"/>
    <w:rsid w:val="151EA232"/>
    <w:rsid w:val="1543C859"/>
    <w:rsid w:val="1654FE34"/>
    <w:rsid w:val="16CBDF40"/>
    <w:rsid w:val="170E13A8"/>
    <w:rsid w:val="174A9CBF"/>
    <w:rsid w:val="1756B82A"/>
    <w:rsid w:val="176B896E"/>
    <w:rsid w:val="17D79BA0"/>
    <w:rsid w:val="17E78049"/>
    <w:rsid w:val="18520B29"/>
    <w:rsid w:val="18789AAA"/>
    <w:rsid w:val="18B8E2BE"/>
    <w:rsid w:val="18DF7CB4"/>
    <w:rsid w:val="18F8E17F"/>
    <w:rsid w:val="1933A011"/>
    <w:rsid w:val="193977B8"/>
    <w:rsid w:val="19C718A9"/>
    <w:rsid w:val="1A304BAE"/>
    <w:rsid w:val="1A3414EC"/>
    <w:rsid w:val="1B14B9FA"/>
    <w:rsid w:val="1B5BDBF8"/>
    <w:rsid w:val="1B616B9E"/>
    <w:rsid w:val="1BCE99B7"/>
    <w:rsid w:val="1BE0EE4E"/>
    <w:rsid w:val="1BFE8C91"/>
    <w:rsid w:val="1C1FDEE2"/>
    <w:rsid w:val="1C2B8A13"/>
    <w:rsid w:val="1C4BF158"/>
    <w:rsid w:val="1C5F462B"/>
    <w:rsid w:val="1CD9BC5A"/>
    <w:rsid w:val="1D0A649C"/>
    <w:rsid w:val="1D0B1CD7"/>
    <w:rsid w:val="1D0E6455"/>
    <w:rsid w:val="1D3E5385"/>
    <w:rsid w:val="1D561A21"/>
    <w:rsid w:val="1D7C6F38"/>
    <w:rsid w:val="1DC697F3"/>
    <w:rsid w:val="1DCB6796"/>
    <w:rsid w:val="1E20E4E7"/>
    <w:rsid w:val="1E268077"/>
    <w:rsid w:val="1E758CBB"/>
    <w:rsid w:val="1EABDACE"/>
    <w:rsid w:val="1ECFBCD5"/>
    <w:rsid w:val="1ED8A57F"/>
    <w:rsid w:val="1F337CDA"/>
    <w:rsid w:val="1F6D126B"/>
    <w:rsid w:val="1FBE3E9E"/>
    <w:rsid w:val="1FC73E6E"/>
    <w:rsid w:val="1FDF050A"/>
    <w:rsid w:val="20115D1C"/>
    <w:rsid w:val="20416DE6"/>
    <w:rsid w:val="207598E6"/>
    <w:rsid w:val="20B24992"/>
    <w:rsid w:val="20EB627F"/>
    <w:rsid w:val="2157D31D"/>
    <w:rsid w:val="21AD1997"/>
    <w:rsid w:val="21BE546E"/>
    <w:rsid w:val="21F29BDA"/>
    <w:rsid w:val="22ACBA8C"/>
    <w:rsid w:val="22B950C9"/>
    <w:rsid w:val="22C53963"/>
    <w:rsid w:val="22FE47B8"/>
    <w:rsid w:val="23609404"/>
    <w:rsid w:val="23D5678C"/>
    <w:rsid w:val="24197887"/>
    <w:rsid w:val="244E30BE"/>
    <w:rsid w:val="24A8AB0A"/>
    <w:rsid w:val="24B3E18B"/>
    <w:rsid w:val="24C93F58"/>
    <w:rsid w:val="24E40736"/>
    <w:rsid w:val="256CA627"/>
    <w:rsid w:val="25B74BBE"/>
    <w:rsid w:val="26206898"/>
    <w:rsid w:val="26558FB7"/>
    <w:rsid w:val="265D402B"/>
    <w:rsid w:val="266D4D0D"/>
    <w:rsid w:val="26B6880C"/>
    <w:rsid w:val="26FFACE0"/>
    <w:rsid w:val="2777128F"/>
    <w:rsid w:val="27C163F8"/>
    <w:rsid w:val="285B73E8"/>
    <w:rsid w:val="2890DF42"/>
    <w:rsid w:val="28AD6E94"/>
    <w:rsid w:val="28B5F039"/>
    <w:rsid w:val="28DDA766"/>
    <w:rsid w:val="296836FF"/>
    <w:rsid w:val="297C1C2D"/>
    <w:rsid w:val="2991CFEA"/>
    <w:rsid w:val="299501B0"/>
    <w:rsid w:val="2A3222A3"/>
    <w:rsid w:val="2A43C31C"/>
    <w:rsid w:val="2A59AE20"/>
    <w:rsid w:val="2A774C63"/>
    <w:rsid w:val="2B044B44"/>
    <w:rsid w:val="2B5219CA"/>
    <w:rsid w:val="2B744F2C"/>
    <w:rsid w:val="2B869F30"/>
    <w:rsid w:val="2B9BE824"/>
    <w:rsid w:val="2B9EE719"/>
    <w:rsid w:val="2C448D0A"/>
    <w:rsid w:val="2C452482"/>
    <w:rsid w:val="2C56397E"/>
    <w:rsid w:val="2C7242C7"/>
    <w:rsid w:val="2D0F63BA"/>
    <w:rsid w:val="2D607614"/>
    <w:rsid w:val="2D8A7E3E"/>
    <w:rsid w:val="2DC66E46"/>
    <w:rsid w:val="2DDD036C"/>
    <w:rsid w:val="2DE21406"/>
    <w:rsid w:val="2E13D4A4"/>
    <w:rsid w:val="2E5B8E1A"/>
    <w:rsid w:val="2E61E70E"/>
    <w:rsid w:val="2EF8670C"/>
    <w:rsid w:val="2F90B094"/>
    <w:rsid w:val="2FA4B88A"/>
    <w:rsid w:val="2FFBD13F"/>
    <w:rsid w:val="31AC563E"/>
    <w:rsid w:val="31D2B2CB"/>
    <w:rsid w:val="31EF87C0"/>
    <w:rsid w:val="31F0510E"/>
    <w:rsid w:val="3228E491"/>
    <w:rsid w:val="322C5F53"/>
    <w:rsid w:val="32F3BB41"/>
    <w:rsid w:val="330B81DD"/>
    <w:rsid w:val="33103B50"/>
    <w:rsid w:val="33472C52"/>
    <w:rsid w:val="3353BEFB"/>
    <w:rsid w:val="33813F8C"/>
    <w:rsid w:val="33862D22"/>
    <w:rsid w:val="33913643"/>
    <w:rsid w:val="33C9F521"/>
    <w:rsid w:val="33F72746"/>
    <w:rsid w:val="348FAB2E"/>
    <w:rsid w:val="34AC0BB1"/>
    <w:rsid w:val="34B598B8"/>
    <w:rsid w:val="34C1B423"/>
    <w:rsid w:val="34D870DB"/>
    <w:rsid w:val="3504D8C0"/>
    <w:rsid w:val="351A75B5"/>
    <w:rsid w:val="3529857D"/>
    <w:rsid w:val="356ACFBE"/>
    <w:rsid w:val="357D13A7"/>
    <w:rsid w:val="361E774A"/>
    <w:rsid w:val="3647DC12"/>
    <w:rsid w:val="3666D2D0"/>
    <w:rsid w:val="36A440E0"/>
    <w:rsid w:val="36C7D04E"/>
    <w:rsid w:val="372BE2EC"/>
    <w:rsid w:val="372EC808"/>
    <w:rsid w:val="3739C4BF"/>
    <w:rsid w:val="378FCE4C"/>
    <w:rsid w:val="37CED0EE"/>
    <w:rsid w:val="380DC182"/>
    <w:rsid w:val="381B84F0"/>
    <w:rsid w:val="383D818B"/>
    <w:rsid w:val="38A3AA08"/>
    <w:rsid w:val="38CEF74D"/>
    <w:rsid w:val="38E605AE"/>
    <w:rsid w:val="38F396B8"/>
    <w:rsid w:val="38F6CACB"/>
    <w:rsid w:val="399C8C67"/>
    <w:rsid w:val="39B14200"/>
    <w:rsid w:val="39EA5AED"/>
    <w:rsid w:val="3A4EC0AC"/>
    <w:rsid w:val="3A57EEA8"/>
    <w:rsid w:val="3A941898"/>
    <w:rsid w:val="3A9D3413"/>
    <w:rsid w:val="3ABA6DC5"/>
    <w:rsid w:val="3AFF31CD"/>
    <w:rsid w:val="3B0D398C"/>
    <w:rsid w:val="3B1F346B"/>
    <w:rsid w:val="3B3F0221"/>
    <w:rsid w:val="3B42F9CC"/>
    <w:rsid w:val="3B6393E2"/>
    <w:rsid w:val="3B702A1F"/>
    <w:rsid w:val="3B88238C"/>
    <w:rsid w:val="3C02392B"/>
    <w:rsid w:val="3C602E6C"/>
    <w:rsid w:val="3C7B4F07"/>
    <w:rsid w:val="3C8E9EC2"/>
    <w:rsid w:val="3D096ACA"/>
    <w:rsid w:val="3D826FF7"/>
    <w:rsid w:val="3D9765CA"/>
    <w:rsid w:val="3DA8422F"/>
    <w:rsid w:val="3DD6FFE4"/>
    <w:rsid w:val="3EB006E3"/>
    <w:rsid w:val="3F1F6106"/>
    <w:rsid w:val="3F71F4E9"/>
    <w:rsid w:val="3FEE6449"/>
    <w:rsid w:val="3FF2A58E"/>
    <w:rsid w:val="4056685E"/>
    <w:rsid w:val="4074F97A"/>
    <w:rsid w:val="40C9123F"/>
    <w:rsid w:val="41046C66"/>
    <w:rsid w:val="41552B2C"/>
    <w:rsid w:val="41D55409"/>
    <w:rsid w:val="4221D2DC"/>
    <w:rsid w:val="422ABB86"/>
    <w:rsid w:val="432247B7"/>
    <w:rsid w:val="43526D62"/>
    <w:rsid w:val="437AF403"/>
    <w:rsid w:val="44B66F71"/>
    <w:rsid w:val="44D70DA4"/>
    <w:rsid w:val="450B0DA0"/>
    <w:rsid w:val="451B9402"/>
    <w:rsid w:val="4579BE3D"/>
    <w:rsid w:val="4585D9A8"/>
    <w:rsid w:val="45BEE7FD"/>
    <w:rsid w:val="460B66D0"/>
    <w:rsid w:val="4613D4A8"/>
    <w:rsid w:val="46EB2C65"/>
    <w:rsid w:val="470A5A22"/>
    <w:rsid w:val="475FB08C"/>
    <w:rsid w:val="47E50AE3"/>
    <w:rsid w:val="48C4183D"/>
    <w:rsid w:val="48D1619D"/>
    <w:rsid w:val="49ABE4FE"/>
    <w:rsid w:val="49AF5632"/>
    <w:rsid w:val="4A51C2E7"/>
    <w:rsid w:val="4A8DE23F"/>
    <w:rsid w:val="4AD7500F"/>
    <w:rsid w:val="4B041AC0"/>
    <w:rsid w:val="4B1FDD6B"/>
    <w:rsid w:val="4B57272A"/>
    <w:rsid w:val="4B7D2684"/>
    <w:rsid w:val="4BA9CB49"/>
    <w:rsid w:val="4BBE7CC5"/>
    <w:rsid w:val="4C7090BA"/>
    <w:rsid w:val="4CB79AB2"/>
    <w:rsid w:val="4CD52EE6"/>
    <w:rsid w:val="4CEC869A"/>
    <w:rsid w:val="4CFACD14"/>
    <w:rsid w:val="4D0C1FE8"/>
    <w:rsid w:val="4D358C83"/>
    <w:rsid w:val="4D5F4554"/>
    <w:rsid w:val="4D6C720E"/>
    <w:rsid w:val="4DDE667F"/>
    <w:rsid w:val="4EA94DEB"/>
    <w:rsid w:val="4F09D606"/>
    <w:rsid w:val="4F3D471D"/>
    <w:rsid w:val="4F546EA9"/>
    <w:rsid w:val="4F9C7966"/>
    <w:rsid w:val="4FA7CBDA"/>
    <w:rsid w:val="4FAF21E8"/>
    <w:rsid w:val="4FD003FF"/>
    <w:rsid w:val="509DA3B1"/>
    <w:rsid w:val="50B80391"/>
    <w:rsid w:val="50E29AA0"/>
    <w:rsid w:val="51224541"/>
    <w:rsid w:val="51741062"/>
    <w:rsid w:val="519DFBFC"/>
    <w:rsid w:val="51B248BB"/>
    <w:rsid w:val="52607FA2"/>
    <w:rsid w:val="529647C8"/>
    <w:rsid w:val="531328B4"/>
    <w:rsid w:val="53742632"/>
    <w:rsid w:val="53A4CE07"/>
    <w:rsid w:val="540FC2CB"/>
    <w:rsid w:val="5501D0DC"/>
    <w:rsid w:val="551719D0"/>
    <w:rsid w:val="5524C8D2"/>
    <w:rsid w:val="552D6300"/>
    <w:rsid w:val="552DE44D"/>
    <w:rsid w:val="55330F4C"/>
    <w:rsid w:val="555A6082"/>
    <w:rsid w:val="55C04420"/>
    <w:rsid w:val="55E8E0EC"/>
    <w:rsid w:val="56AECF4A"/>
    <w:rsid w:val="57216813"/>
    <w:rsid w:val="575112D6"/>
    <w:rsid w:val="5764CB55"/>
    <w:rsid w:val="57BE40EF"/>
    <w:rsid w:val="57F0A587"/>
    <w:rsid w:val="57F277D9"/>
    <w:rsid w:val="58A0A07B"/>
    <w:rsid w:val="591A128F"/>
    <w:rsid w:val="597CC467"/>
    <w:rsid w:val="59D130C0"/>
    <w:rsid w:val="59DD0EC2"/>
    <w:rsid w:val="5A06806F"/>
    <w:rsid w:val="5A2EB799"/>
    <w:rsid w:val="5A3FAE8C"/>
    <w:rsid w:val="5A46E3D7"/>
    <w:rsid w:val="5A52B441"/>
    <w:rsid w:val="5AB0534A"/>
    <w:rsid w:val="5AB95DB2"/>
    <w:rsid w:val="5B05DC85"/>
    <w:rsid w:val="5B5C99D9"/>
    <w:rsid w:val="5B837C27"/>
    <w:rsid w:val="5C75DD6F"/>
    <w:rsid w:val="5CEB916B"/>
    <w:rsid w:val="5D34D2E5"/>
    <w:rsid w:val="5D3ADA6A"/>
    <w:rsid w:val="5D696E76"/>
    <w:rsid w:val="5D769713"/>
    <w:rsid w:val="5DAE6565"/>
    <w:rsid w:val="5DB32AC2"/>
    <w:rsid w:val="5E301B71"/>
    <w:rsid w:val="5E7DB0AB"/>
    <w:rsid w:val="5EACD93C"/>
    <w:rsid w:val="5EBC687F"/>
    <w:rsid w:val="5ECE8E62"/>
    <w:rsid w:val="5FAC9EA2"/>
    <w:rsid w:val="5FDD70F5"/>
    <w:rsid w:val="5FE2B89A"/>
    <w:rsid w:val="5FEE63CB"/>
    <w:rsid w:val="60514874"/>
    <w:rsid w:val="606B2811"/>
    <w:rsid w:val="608300BB"/>
    <w:rsid w:val="60D80E29"/>
    <w:rsid w:val="611A26E6"/>
    <w:rsid w:val="617BDC9F"/>
    <w:rsid w:val="62C7FC65"/>
    <w:rsid w:val="62DF1560"/>
    <w:rsid w:val="631D3113"/>
    <w:rsid w:val="6340E144"/>
    <w:rsid w:val="63585EE4"/>
    <w:rsid w:val="636E3783"/>
    <w:rsid w:val="63804A5F"/>
    <w:rsid w:val="638B5558"/>
    <w:rsid w:val="63AE90AA"/>
    <w:rsid w:val="63AF48E5"/>
    <w:rsid w:val="6450FD5F"/>
    <w:rsid w:val="64544133"/>
    <w:rsid w:val="64AC9E08"/>
    <w:rsid w:val="650636C0"/>
    <w:rsid w:val="652725B9"/>
    <w:rsid w:val="655F334A"/>
    <w:rsid w:val="65B189C4"/>
    <w:rsid w:val="65DB6018"/>
    <w:rsid w:val="66130DA7"/>
    <w:rsid w:val="664623BC"/>
    <w:rsid w:val="666BB8F8"/>
    <w:rsid w:val="66B7EB21"/>
    <w:rsid w:val="66D5C0DE"/>
    <w:rsid w:val="66F8695D"/>
    <w:rsid w:val="67180EEC"/>
    <w:rsid w:val="674F208D"/>
    <w:rsid w:val="68ADE6A0"/>
    <w:rsid w:val="68E09DBB"/>
    <w:rsid w:val="68E796EF"/>
    <w:rsid w:val="69008C7B"/>
    <w:rsid w:val="691885E8"/>
    <w:rsid w:val="6965EAAF"/>
    <w:rsid w:val="697DE41C"/>
    <w:rsid w:val="698DD62A"/>
    <w:rsid w:val="69A60A33"/>
    <w:rsid w:val="6A18F87E"/>
    <w:rsid w:val="6A343804"/>
    <w:rsid w:val="6A3564EF"/>
    <w:rsid w:val="6A6858C3"/>
    <w:rsid w:val="6A750D69"/>
    <w:rsid w:val="6AC16DD3"/>
    <w:rsid w:val="6ACD43EC"/>
    <w:rsid w:val="6B37A237"/>
    <w:rsid w:val="6B5B516D"/>
    <w:rsid w:val="6B999FF1"/>
    <w:rsid w:val="6BCA020A"/>
    <w:rsid w:val="6C958256"/>
    <w:rsid w:val="6CA7EAB5"/>
    <w:rsid w:val="6CAC7F8E"/>
    <w:rsid w:val="6D358CE8"/>
    <w:rsid w:val="6D5AB41A"/>
    <w:rsid w:val="6E116CA9"/>
    <w:rsid w:val="6E296616"/>
    <w:rsid w:val="6E41ADFF"/>
    <w:rsid w:val="6E481EF0"/>
    <w:rsid w:val="6EBB8EFB"/>
    <w:rsid w:val="6F0CDD6C"/>
    <w:rsid w:val="6F3A19A9"/>
    <w:rsid w:val="6F50A56B"/>
    <w:rsid w:val="6F89A97F"/>
    <w:rsid w:val="6FCB8F81"/>
    <w:rsid w:val="6FE3EF51"/>
    <w:rsid w:val="7007CF86"/>
    <w:rsid w:val="7050F45A"/>
    <w:rsid w:val="70B8B241"/>
    <w:rsid w:val="7123E649"/>
    <w:rsid w:val="713FA8F4"/>
    <w:rsid w:val="71E0C639"/>
    <w:rsid w:val="71F69454"/>
    <w:rsid w:val="71FBFB6A"/>
    <w:rsid w:val="72FA8B67"/>
    <w:rsid w:val="7315B69A"/>
    <w:rsid w:val="732E6842"/>
    <w:rsid w:val="73384121"/>
    <w:rsid w:val="733ED8D0"/>
    <w:rsid w:val="733F9ED7"/>
    <w:rsid w:val="7397CBCB"/>
    <w:rsid w:val="73A05CB3"/>
    <w:rsid w:val="73BBFDA0"/>
    <w:rsid w:val="73CB8935"/>
    <w:rsid w:val="73CC0A82"/>
    <w:rsid w:val="73EFB9B8"/>
    <w:rsid w:val="742EAA4C"/>
    <w:rsid w:val="747108BF"/>
    <w:rsid w:val="7494D2C9"/>
    <w:rsid w:val="74D3B8C5"/>
    <w:rsid w:val="7518CC5A"/>
    <w:rsid w:val="7558FCF1"/>
    <w:rsid w:val="755E6FF1"/>
    <w:rsid w:val="75DAFE44"/>
    <w:rsid w:val="7607C8F5"/>
    <w:rsid w:val="76C272FB"/>
    <w:rsid w:val="76C6F474"/>
    <w:rsid w:val="7723B1FF"/>
    <w:rsid w:val="7726F5D3"/>
    <w:rsid w:val="77859A89"/>
    <w:rsid w:val="77BE106B"/>
    <w:rsid w:val="77FD6284"/>
    <w:rsid w:val="7809C5F0"/>
    <w:rsid w:val="78B4E461"/>
    <w:rsid w:val="78D0A70C"/>
    <w:rsid w:val="799665C6"/>
    <w:rsid w:val="79A3CFE9"/>
    <w:rsid w:val="79B02F38"/>
    <w:rsid w:val="79BF0D2A"/>
    <w:rsid w:val="79F0E634"/>
    <w:rsid w:val="7A24E630"/>
    <w:rsid w:val="7A474ACB"/>
    <w:rsid w:val="7A69AA4E"/>
    <w:rsid w:val="7B3BF3B2"/>
    <w:rsid w:val="7B45BCD0"/>
    <w:rsid w:val="7B578736"/>
    <w:rsid w:val="7BFF427E"/>
    <w:rsid w:val="7C23FFE1"/>
    <w:rsid w:val="7C584EC8"/>
    <w:rsid w:val="7D27EF7E"/>
    <w:rsid w:val="7D5027A3"/>
    <w:rsid w:val="7D5D8ACF"/>
    <w:rsid w:val="7D9CF5ED"/>
    <w:rsid w:val="7E2CBA8D"/>
    <w:rsid w:val="7E4F4DC6"/>
    <w:rsid w:val="7E9C6411"/>
    <w:rsid w:val="7EB201F9"/>
    <w:rsid w:val="7F6EF576"/>
    <w:rsid w:val="7F7F015D"/>
    <w:rsid w:val="7F9AF6D9"/>
    <w:rsid w:val="7FE517CC"/>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DB8AC3"/>
  <w15:chartTrackingRefBased/>
  <w15:docId w15:val="{D7242F06-2183-455A-851A-79829E72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MS Mincho"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ind w:firstLine="357"/>
      <w:jc w:val="both"/>
    </w:pPr>
    <w:rPr>
      <w:szCs w:val="24"/>
      <w:lang w:val="en-US" w:eastAsia="ja-JP"/>
    </w:rPr>
  </w:style>
  <w:style w:type="paragraph" w:styleId="Heading1">
    <w:name w:val="heading 1"/>
    <w:basedOn w:val="Normal"/>
    <w:next w:val="NoindentNormal"/>
    <w:qFormat/>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indentNormal" w:customStyle="1">
    <w:name w:val="NoindentNormal"/>
    <w:basedOn w:val="Normal"/>
    <w:next w:val="Normal"/>
    <w:pPr>
      <w:ind w:firstLine="0"/>
    </w:pPr>
  </w:style>
  <w:style w:type="paragraph" w:styleId="Citaat1" w:customStyle="1">
    <w:name w:val="Citaat1"/>
    <w:basedOn w:val="Normal"/>
    <w:pPr>
      <w:ind w:left="204"/>
    </w:pPr>
    <w:rPr>
      <w:sz w:val="18"/>
    </w:rPr>
  </w:style>
  <w:style w:type="paragraph" w:styleId="Abstract" w:customStyle="1">
    <w:name w:val="Abstract"/>
    <w:basedOn w:val="Normal"/>
    <w:pPr>
      <w:adjustRightInd w:val="0"/>
      <w:snapToGrid w:val="0"/>
      <w:spacing w:before="480"/>
      <w:ind w:left="851" w:right="851" w:firstLine="0"/>
    </w:pPr>
    <w:rPr>
      <w:sz w:val="16"/>
    </w:rPr>
  </w:style>
  <w:style w:type="paragraph" w:styleId="Affiliation" w:customStyle="1">
    <w:name w:val="Affiliation"/>
    <w:basedOn w:val="Normal"/>
    <w:pPr>
      <w:ind w:firstLine="0"/>
      <w:jc w:val="center"/>
    </w:pPr>
    <w:rPr>
      <w:i/>
    </w:rPr>
  </w:style>
  <w:style w:type="paragraph" w:styleId="Equation" w:customStyle="1">
    <w:name w:val="Equation"/>
    <w:basedOn w:val="Normal"/>
    <w:pPr>
      <w:tabs>
        <w:tab w:val="left" w:pos="6781"/>
      </w:tabs>
      <w:spacing w:before="240" w:after="240"/>
      <w:ind w:left="454" w:firstLine="0"/>
      <w:jc w:val="left"/>
    </w:pPr>
  </w:style>
  <w:style w:type="paragraph" w:styleId="Footnote" w:customStyle="1">
    <w:name w:val="Footnote"/>
    <w:basedOn w:val="Normal"/>
    <w:pPr>
      <w:ind w:firstLine="136"/>
    </w:pPr>
    <w:rPr>
      <w:sz w:val="16"/>
    </w:rPr>
  </w:style>
  <w:style w:type="paragraph" w:styleId="LISTalph" w:customStyle="1">
    <w:name w:val="LISTalph"/>
    <w:basedOn w:val="Normal"/>
    <w:pPr>
      <w:numPr>
        <w:numId w:val="1"/>
      </w:numPr>
      <w:tabs>
        <w:tab w:val="left" w:pos="499"/>
      </w:tabs>
    </w:pPr>
  </w:style>
  <w:style w:type="paragraph" w:styleId="LISTdash" w:customStyle="1">
    <w:name w:val="LISTdash"/>
    <w:basedOn w:val="Normal"/>
    <w:pPr>
      <w:numPr>
        <w:numId w:val="2"/>
      </w:numPr>
      <w:tabs>
        <w:tab w:val="left" w:pos="454"/>
      </w:tabs>
      <w:adjustRightInd w:val="0"/>
      <w:snapToGrid w:val="0"/>
    </w:pPr>
  </w:style>
  <w:style w:type="paragraph" w:styleId="LISTnum" w:customStyle="1">
    <w:name w:val="LISTnum"/>
    <w:basedOn w:val="Normal"/>
    <w:pPr>
      <w:numPr>
        <w:numId w:val="6"/>
      </w:numPr>
      <w:adjustRightInd w:val="0"/>
      <w:snapToGrid w:val="0"/>
      <w:ind w:left="714" w:hanging="357"/>
    </w:pPr>
  </w:style>
  <w:style w:type="paragraph" w:styleId="References" w:customStyle="1">
    <w:name w:val="References"/>
    <w:basedOn w:val="Normal"/>
    <w:pPr>
      <w:tabs>
        <w:tab w:val="left" w:pos="85"/>
      </w:tabs>
      <w:ind w:firstLine="0"/>
    </w:pPr>
    <w:rPr>
      <w:sz w:val="16"/>
    </w:rPr>
  </w:style>
  <w:style w:type="paragraph" w:styleId="Table" w:customStyle="1">
    <w:name w:val="Table"/>
    <w:basedOn w:val="Normal"/>
    <w:pPr>
      <w:spacing w:before="60" w:after="60"/>
      <w:ind w:firstLine="0"/>
      <w:jc w:val="left"/>
    </w:pPr>
    <w:rPr>
      <w:sz w:val="16"/>
    </w:rPr>
  </w:style>
  <w:style w:type="paragraph" w:styleId="Title">
    <w:name w:val="Title"/>
    <w:basedOn w:val="Normal"/>
    <w:next w:val="Normal"/>
    <w:qFormat/>
    <w:pPr>
      <w:spacing w:before="480" w:after="320"/>
      <w:ind w:firstLine="0"/>
      <w:jc w:val="center"/>
    </w:pPr>
    <w:rPr>
      <w:noProof/>
      <w:kern w:val="28"/>
      <w:sz w:val="40"/>
    </w:rPr>
  </w:style>
  <w:style w:type="paragraph" w:styleId="Author" w:customStyle="1">
    <w:name w:val="Author"/>
    <w:basedOn w:val="Normal"/>
    <w:pPr>
      <w:ind w:firstLine="0"/>
      <w:jc w:val="center"/>
    </w:pPr>
  </w:style>
  <w:style w:type="paragraph" w:styleId="Caption">
    <w:name w:val="caption"/>
    <w:basedOn w:val="Normal"/>
    <w:next w:val="Normal"/>
    <w:qFormat/>
    <w:pPr>
      <w:spacing w:before="80" w:after="80"/>
      <w:ind w:firstLine="0"/>
    </w:pPr>
    <w:rPr>
      <w:sz w:val="16"/>
    </w:rPr>
  </w:style>
  <w:style w:type="paragraph" w:styleId="LISTDescription" w:customStyle="1">
    <w:name w:val="LISTDescription"/>
    <w:basedOn w:val="Normal"/>
    <w:pPr>
      <w:ind w:left="454" w:hanging="454"/>
    </w:pPr>
  </w:style>
  <w:style w:type="paragraph" w:styleId="Notes" w:customStyle="1">
    <w:name w:val="Notes"/>
    <w:basedOn w:val="Normal"/>
    <w:rPr>
      <w:sz w:val="16"/>
    </w:rPr>
  </w:style>
  <w:style w:type="paragraph" w:styleId="BodyText">
    <w:name w:val="Body Text"/>
    <w:basedOn w:val="Normal"/>
    <w:semiHidden/>
    <w:pPr>
      <w:spacing w:after="120"/>
    </w:pPr>
  </w:style>
  <w:style w:type="paragraph" w:styleId="CaptionLong" w:customStyle="1">
    <w:name w:val="CaptionLong"/>
    <w:basedOn w:val="Normal"/>
    <w:pPr>
      <w:spacing w:before="80" w:after="80"/>
      <w:ind w:firstLine="0"/>
    </w:pPr>
    <w:rPr>
      <w:sz w:val="16"/>
    </w:rPr>
  </w:style>
  <w:style w:type="paragraph" w:styleId="HeadingUnn1" w:customStyle="1">
    <w:name w:val="HeadingUnn1"/>
    <w:basedOn w:val="Heading1"/>
    <w:next w:val="NoindentNormal"/>
    <w:pPr>
      <w:numPr>
        <w:numId w:val="0"/>
      </w:numPr>
    </w:pPr>
    <w:rPr>
      <w:bCs w:val="0"/>
    </w:rPr>
  </w:style>
  <w:style w:type="paragraph" w:styleId="HeadingUnn2" w:customStyle="1">
    <w:name w:val="HeadingUnn2"/>
    <w:basedOn w:val="Heading2"/>
    <w:next w:val="NoindentNormal"/>
    <w:pPr>
      <w:numPr>
        <w:ilvl w:val="0"/>
        <w:numId w:val="0"/>
      </w:numPr>
    </w:pPr>
  </w:style>
  <w:style w:type="paragraph" w:styleId="HeadingUnn3" w:customStyle="1">
    <w:name w:val="HeadingUnn3"/>
    <w:basedOn w:val="Heading3"/>
    <w:next w:val="NoindentNormal"/>
    <w:pPr>
      <w:numPr>
        <w:ilvl w:val="0"/>
        <w:numId w:val="0"/>
      </w:numPr>
    </w:pPr>
  </w:style>
  <w:style w:type="paragraph" w:styleId="HeadingUnn4" w:customStyle="1">
    <w:name w:val="HeadingUnn4"/>
    <w:basedOn w:val="Heading4"/>
    <w:next w:val="NoindentNormal"/>
    <w:pPr>
      <w:numPr>
        <w:ilvl w:val="0"/>
        <w:numId w:val="0"/>
      </w:numPr>
    </w:pPr>
  </w:style>
  <w:style w:type="paragraph" w:styleId="HeadingUnn5" w:customStyle="1">
    <w:name w:val="HeadingUnn5"/>
    <w:basedOn w:val="Heading5"/>
    <w:next w:val="Normal"/>
    <w:pPr>
      <w:numPr>
        <w:ilvl w:val="0"/>
        <w:numId w:val="0"/>
      </w:numPr>
      <w:spacing w:before="120"/>
    </w:pPr>
  </w:style>
  <w:style w:type="paragraph" w:styleId="ListNumber">
    <w:name w:val="List Number"/>
    <w:basedOn w:val="Normal"/>
    <w:semiHidden/>
    <w:pPr>
      <w:numPr>
        <w:numId w:val="3"/>
      </w:numPr>
    </w:pPr>
  </w:style>
  <w:style w:type="paragraph" w:styleId="CaptionShort" w:customStyle="1">
    <w:name w:val="CaptionShort"/>
    <w:basedOn w:val="Normal"/>
    <w:pPr>
      <w:spacing w:before="80" w:after="80"/>
      <w:ind w:firstLine="0"/>
      <w:jc w:val="center"/>
    </w:pPr>
    <w:rPr>
      <w:sz w:val="16"/>
    </w:rPr>
  </w:style>
  <w:style w:type="paragraph" w:styleId="Listbul" w:customStyle="1">
    <w:name w:val="Listbul"/>
    <w:basedOn w:val="Normal"/>
    <w:pPr>
      <w:numPr>
        <w:numId w:val="5"/>
      </w:numPr>
    </w:pPr>
  </w:style>
  <w:style w:type="paragraph" w:styleId="Keywords" w:customStyle="1">
    <w:name w:val="Keywords"/>
    <w:basedOn w:val="Abstract"/>
    <w:next w:val="Heading1"/>
    <w:pPr>
      <w:spacing w:before="240" w:after="240"/>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styleId="FootnoteChar" w:customStyle="1">
    <w:name w:val="Footnote Char"/>
    <w:rPr>
      <w:rFonts w:eastAsia="MS Mincho"/>
      <w:sz w:val="16"/>
      <w:szCs w:val="24"/>
      <w:lang w:val="en-US" w:eastAsia="ja-JP" w:bidi="ar-SA"/>
    </w:rPr>
  </w:style>
  <w:style w:type="character" w:styleId="MTEquationSection" w:customStyle="1">
    <w:name w:val="MTEquationSection"/>
    <w:rPr>
      <w:i/>
      <w:vanish/>
      <w:color w:val="FF0000"/>
    </w:rPr>
  </w:style>
  <w:style w:type="paragraph" w:styleId="Header">
    <w:name w:val="header"/>
    <w:basedOn w:val="Normal"/>
    <w:link w:val="HeaderChar"/>
    <w:uiPriority w:val="99"/>
    <w:unhideWhenUsed/>
    <w:rsid w:val="00681A48"/>
    <w:pPr>
      <w:tabs>
        <w:tab w:val="center" w:pos="4513"/>
        <w:tab w:val="right" w:pos="9026"/>
      </w:tabs>
    </w:pPr>
  </w:style>
  <w:style w:type="character" w:styleId="HeaderChar" w:customStyle="1">
    <w:name w:val="Header Char"/>
    <w:basedOn w:val="DefaultParagraphFont"/>
    <w:link w:val="Header"/>
    <w:uiPriority w:val="99"/>
    <w:rsid w:val="00681A48"/>
    <w:rPr>
      <w:szCs w:val="24"/>
      <w:lang w:val="en-US" w:eastAsia="ja-JP"/>
    </w:rPr>
  </w:style>
  <w:style w:type="paragraph" w:styleId="Footer">
    <w:name w:val="footer"/>
    <w:basedOn w:val="Normal"/>
    <w:link w:val="FooterChar"/>
    <w:uiPriority w:val="99"/>
    <w:unhideWhenUsed/>
    <w:rsid w:val="00681A48"/>
    <w:pPr>
      <w:tabs>
        <w:tab w:val="center" w:pos="4513"/>
        <w:tab w:val="right" w:pos="9026"/>
      </w:tabs>
    </w:pPr>
  </w:style>
  <w:style w:type="character" w:styleId="FooterChar" w:customStyle="1">
    <w:name w:val="Footer Char"/>
    <w:basedOn w:val="DefaultParagraphFont"/>
    <w:link w:val="Footer"/>
    <w:uiPriority w:val="99"/>
    <w:rsid w:val="00681A48"/>
    <w:rPr>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microsoft.com/office/2019/09/relationships/intelligence" Target="intelligence.xml" Id="R1138ff36d7df4fbd"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mry\OneDrive%20-%20LR\Documents\LloydsRegister\NAV2022\IOSPressBookArticleWordTemplate%20with%20Text.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E4545-98BD-41ED-91AA-98229290453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IOSPressBookArticleWordTemplate with Text.dotx</ap:Template>
  <ap:Application>Microsoft Word for the web</ap:Application>
  <ap:DocSecurity>0</ap:DocSecurity>
  <ap:ScaleCrop>false</ap:ScaleCrop>
  <ap:Company>VTEX</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1</dc:title>
  <dc:subject/>
  <dc:creator>Roiaz, Matteo</dc:creator>
  <keywords/>
  <lastModifiedBy>Roiaz, Matteo</lastModifiedBy>
  <revision>203</revision>
  <lastPrinted>2008-10-24T17:15:00.0000000Z</lastPrinted>
  <dcterms:created xsi:type="dcterms:W3CDTF">2022-03-09T19:49:00.0000000Z</dcterms:created>
  <dcterms:modified xsi:type="dcterms:W3CDTF">2022-04-08T14:03:41.3436495Z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4c49b-ebde-4356-a4f6-d1d955faa706_Enabled">
    <vt:lpwstr>true</vt:lpwstr>
  </property>
  <property fmtid="{D5CDD505-2E9C-101B-9397-08002B2CF9AE}" pid="3" name="MSIP_Label_d5c4c49b-ebde-4356-a4f6-d1d955faa706_SetDate">
    <vt:lpwstr>2022-03-09T10:49:52Z</vt:lpwstr>
  </property>
  <property fmtid="{D5CDD505-2E9C-101B-9397-08002B2CF9AE}" pid="4" name="MSIP_Label_d5c4c49b-ebde-4356-a4f6-d1d955faa706_Method">
    <vt:lpwstr>Standard</vt:lpwstr>
  </property>
  <property fmtid="{D5CDD505-2E9C-101B-9397-08002B2CF9AE}" pid="5" name="MSIP_Label_d5c4c49b-ebde-4356-a4f6-d1d955faa706_Name">
    <vt:lpwstr>ConfidentialLR_LR</vt:lpwstr>
  </property>
  <property fmtid="{D5CDD505-2E9C-101B-9397-08002B2CF9AE}" pid="6" name="MSIP_Label_d5c4c49b-ebde-4356-a4f6-d1d955faa706_SiteId">
    <vt:lpwstr>4a3454a0-8cf4-4a9c-b1c0-6ce4d1495f82</vt:lpwstr>
  </property>
  <property fmtid="{D5CDD505-2E9C-101B-9397-08002B2CF9AE}" pid="7" name="MSIP_Label_d5c4c49b-ebde-4356-a4f6-d1d955faa706_ActionId">
    <vt:lpwstr>fa19830f-3aad-4aec-b96c-4c974ae7f3af</vt:lpwstr>
  </property>
  <property fmtid="{D5CDD505-2E9C-101B-9397-08002B2CF9AE}" pid="8" name="MSIP_Label_d5c4c49b-ebde-4356-a4f6-d1d955faa706_ContentBits">
    <vt:lpwstr>0</vt:lpwstr>
  </property>
  <property fmtid="{D5CDD505-2E9C-101B-9397-08002B2CF9AE}" pid="9" name="LR_Classification">
    <vt:lpwstr>Confidential - LR \ LR</vt:lpwstr>
  </property>
</Properties>
</file>